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1.xml" ContentType="application/vnd.openxmlformats-officedocument.themeOverride+xml"/>
  <Override PartName="/word/charts/chartEx1.xml" ContentType="application/vnd.ms-office.chartex+xml"/>
  <Override PartName="/word/charts/style5.xml" ContentType="application/vnd.ms-office.chartstyle+xml"/>
  <Override PartName="/word/charts/colors5.xml" ContentType="application/vnd.ms-office.chartcolorstyle+xml"/>
  <Override PartName="/word/charts/chartEx2.xml" ContentType="application/vnd.ms-office.chartex+xml"/>
  <Override PartName="/word/charts/style6.xml" ContentType="application/vnd.ms-office.chartstyle+xml"/>
  <Override PartName="/word/charts/colors6.xml" ContentType="application/vnd.ms-office.chartcolorstyle+xml"/>
  <Override PartName="/word/theme/themeOverride2.xml" ContentType="application/vnd.openxmlformats-officedocument.themeOverride+xml"/>
  <Override PartName="/word/charts/chart5.xml" ContentType="application/vnd.openxmlformats-officedocument.drawingml.chart+xml"/>
  <Override PartName="/word/charts/style7.xml" ContentType="application/vnd.ms-office.chartstyle+xml"/>
  <Override PartName="/word/charts/colors7.xml" ContentType="application/vnd.ms-office.chartcolorstyle+xml"/>
  <Override PartName="/word/theme/themeOverride3.xml" ContentType="application/vnd.openxmlformats-officedocument.themeOverride+xml"/>
  <Override PartName="/word/charts/chart6.xml" ContentType="application/vnd.openxmlformats-officedocument.drawingml.chart+xml"/>
  <Override PartName="/word/charts/style8.xml" ContentType="application/vnd.ms-office.chartstyle+xml"/>
  <Override PartName="/word/charts/colors8.xml" ContentType="application/vnd.ms-office.chartcolorstyle+xml"/>
  <Override PartName="/word/theme/themeOverride4.xml" ContentType="application/vnd.openxmlformats-officedocument.themeOverride+xml"/>
  <Override PartName="/word/charts/chart7.xml" ContentType="application/vnd.openxmlformats-officedocument.drawingml.chart+xml"/>
  <Override PartName="/word/charts/style9.xml" ContentType="application/vnd.ms-office.chartstyle+xml"/>
  <Override PartName="/word/charts/colors9.xml" ContentType="application/vnd.ms-office.chartcolorstyle+xml"/>
  <Override PartName="/word/theme/themeOverride5.xml" ContentType="application/vnd.openxmlformats-officedocument.themeOverride+xml"/>
  <Override PartName="/word/charts/chartEx3.xml" ContentType="application/vnd.ms-office.chartex+xml"/>
  <Override PartName="/word/charts/style10.xml" ContentType="application/vnd.ms-office.chartstyle+xml"/>
  <Override PartName="/word/charts/colors10.xml" ContentType="application/vnd.ms-office.chartcolorstyle+xml"/>
  <Override PartName="/word/theme/themeOverride6.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31E5EA7" w14:textId="40D2321B" w:rsidR="00DD6962" w:rsidRDefault="00C573E3" w:rsidP="006B2E9E">
      <w:pPr>
        <w:pStyle w:val="Heading1"/>
        <w:jc w:val="both"/>
        <w:rPr>
          <w:rFonts w:cs="Arial"/>
        </w:rPr>
      </w:pPr>
      <w:bookmarkStart w:id="0" w:name="_Toc2853734"/>
      <w:r w:rsidRPr="00CB0219">
        <w:rPr>
          <w:rFonts w:asciiTheme="majorHAnsi" w:hAnsiTheme="majorHAnsi"/>
          <w:noProof/>
          <w:color w:val="FFFFFF" w:themeColor="background1"/>
          <w:sz w:val="26"/>
          <w:shd w:val="clear" w:color="auto" w:fill="FFFFFF" w:themeFill="background1"/>
        </w:rPr>
        <w:drawing>
          <wp:anchor distT="36576" distB="36576" distL="36576" distR="36576" simplePos="0" relativeHeight="251658240" behindDoc="0" locked="0" layoutInCell="1" allowOverlap="1" wp14:anchorId="61A5933A" wp14:editId="7D749C1C">
            <wp:simplePos x="0" y="0"/>
            <wp:positionH relativeFrom="margin">
              <wp:align>right</wp:align>
            </wp:positionH>
            <wp:positionV relativeFrom="paragraph">
              <wp:posOffset>-4445</wp:posOffset>
            </wp:positionV>
            <wp:extent cx="1508613" cy="1407458"/>
            <wp:effectExtent l="0" t="0" r="0" b="2540"/>
            <wp:wrapNone/>
            <wp:docPr id="190" name="Picture 190" descr="logoroj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descr="logorojo"/>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508613" cy="1407458"/>
                    </a:xfrm>
                    <a:prstGeom prst="rect">
                      <a:avLst/>
                    </a:prstGeom>
                    <a:noFill/>
                    <a:ln>
                      <a:noFill/>
                    </a:ln>
                  </pic:spPr>
                </pic:pic>
              </a:graphicData>
            </a:graphic>
            <wp14:sizeRelH relativeFrom="page">
              <wp14:pctWidth>0</wp14:pctWidth>
            </wp14:sizeRelH>
            <wp14:sizeRelV relativeFrom="page">
              <wp14:pctHeight>0</wp14:pctHeight>
            </wp14:sizeRelV>
          </wp:anchor>
        </w:drawing>
      </w:r>
      <w:r w:rsidR="001316F4" w:rsidRPr="00CB0219">
        <w:rPr>
          <w:rFonts w:eastAsia="Arial"/>
          <w:noProof/>
          <w:color w:val="FFFFFF" w:themeColor="background1"/>
          <w:shd w:val="clear" w:color="auto" w:fill="FFFFFF" w:themeFill="background1"/>
        </w:rPr>
        <w:drawing>
          <wp:anchor distT="0" distB="0" distL="114300" distR="114300" simplePos="0" relativeHeight="251658241" behindDoc="0" locked="0" layoutInCell="1" allowOverlap="1" wp14:anchorId="5115D7CE" wp14:editId="649D9C45">
            <wp:simplePos x="0" y="0"/>
            <wp:positionH relativeFrom="margin">
              <wp:posOffset>139065</wp:posOffset>
            </wp:positionH>
            <wp:positionV relativeFrom="paragraph">
              <wp:posOffset>1905</wp:posOffset>
            </wp:positionV>
            <wp:extent cx="1508760" cy="1379915"/>
            <wp:effectExtent l="0" t="0" r="0" b="0"/>
            <wp:wrapTopAndBottom/>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A"/>
                    <pic:cNvPicPr>
                      <a:picLocks noChangeAspect="1" noChangeArrowheads="1"/>
                    </pic:cNvPicPr>
                  </pic:nvPicPr>
                  <pic:blipFill>
                    <a:blip r:embed="rId9">
                      <a:extLst>
                        <a:ext uri="{28A0092B-C50C-407E-A947-70E740481C1C}">
                          <a14:useLocalDpi xmlns:a14="http://schemas.microsoft.com/office/drawing/2010/main" val="0"/>
                        </a:ext>
                      </a:extLst>
                    </a:blip>
                    <a:stretch>
                      <a:fillRect/>
                    </a:stretch>
                  </pic:blipFill>
                  <pic:spPr bwMode="auto">
                    <a:xfrm>
                      <a:off x="0" y="0"/>
                      <a:ext cx="1508760" cy="137991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D6962" w:rsidRPr="00CB0219">
        <w:rPr>
          <w:rFonts w:cs="Arial"/>
          <w:color w:val="FFFFFF" w:themeColor="background1"/>
        </w:rPr>
        <w:t>Portada</w:t>
      </w:r>
      <w:bookmarkEnd w:id="0"/>
      <w:r w:rsidR="006E674D" w:rsidRPr="00DD6962">
        <w:rPr>
          <w:rFonts w:cs="Arial"/>
          <w:color w:val="FFFFFF" w:themeColor="background1"/>
        </w:rPr>
        <w:t xml:space="preserve"> </w:t>
      </w:r>
      <w:r w:rsidR="00DD6962" w:rsidRPr="00DD6962">
        <w:rPr>
          <w:rFonts w:cs="Arial"/>
          <w:color w:val="FFFFFF" w:themeColor="background1"/>
        </w:rPr>
        <w:t xml:space="preserve"> </w:t>
      </w:r>
      <w:r w:rsidR="00DD6962">
        <w:rPr>
          <w:rFonts w:cs="Arial"/>
        </w:rPr>
        <w:t xml:space="preserve">             </w:t>
      </w:r>
    </w:p>
    <w:p w14:paraId="5776B5FE" w14:textId="5953F330" w:rsidR="006E674D" w:rsidRPr="00CB0219" w:rsidRDefault="006E674D" w:rsidP="00CB0219">
      <w:pPr>
        <w:jc w:val="center"/>
      </w:pPr>
      <w:r w:rsidRPr="00F61E9E">
        <w:t>Universidad Nacional de Costa Rica</w:t>
      </w:r>
    </w:p>
    <w:p w14:paraId="0030A4E6" w14:textId="77777777" w:rsidR="006E674D" w:rsidRDefault="006E674D" w:rsidP="006E674D">
      <w:pPr>
        <w:spacing w:line="240" w:lineRule="auto"/>
        <w:jc w:val="center"/>
        <w:rPr>
          <w:rFonts w:cs="Arial"/>
        </w:rPr>
      </w:pPr>
      <w:r w:rsidRPr="00787DDC">
        <w:rPr>
          <w:rFonts w:cs="Arial"/>
        </w:rPr>
        <w:t xml:space="preserve">Facultad de Ciencias Sociales </w:t>
      </w:r>
    </w:p>
    <w:p w14:paraId="6532B3F0" w14:textId="77777777" w:rsidR="006E674D" w:rsidRPr="00787DDC" w:rsidRDefault="006E674D" w:rsidP="006E674D">
      <w:pPr>
        <w:spacing w:line="240" w:lineRule="auto"/>
        <w:jc w:val="center"/>
        <w:rPr>
          <w:rFonts w:cs="Arial"/>
        </w:rPr>
      </w:pPr>
    </w:p>
    <w:p w14:paraId="652DFAB8" w14:textId="77777777" w:rsidR="006E674D" w:rsidRDefault="006E674D" w:rsidP="006E674D">
      <w:pPr>
        <w:spacing w:line="240" w:lineRule="auto"/>
        <w:jc w:val="center"/>
        <w:rPr>
          <w:rFonts w:cs="Arial"/>
        </w:rPr>
      </w:pPr>
      <w:r w:rsidRPr="00055B14">
        <w:rPr>
          <w:rFonts w:cs="Arial"/>
        </w:rPr>
        <w:t>Escuela de Economía</w:t>
      </w:r>
    </w:p>
    <w:p w14:paraId="2FF848B9" w14:textId="77777777" w:rsidR="006E674D" w:rsidRDefault="006E674D" w:rsidP="006E674D">
      <w:pPr>
        <w:spacing w:line="240" w:lineRule="auto"/>
        <w:jc w:val="center"/>
      </w:pPr>
    </w:p>
    <w:p w14:paraId="630ABFEA" w14:textId="7F0781B2" w:rsidR="006E674D" w:rsidRPr="0020544B" w:rsidRDefault="006E674D" w:rsidP="006E674D">
      <w:pPr>
        <w:spacing w:line="240" w:lineRule="auto"/>
        <w:jc w:val="center"/>
        <w:rPr>
          <w:rFonts w:cs="Arial"/>
          <w:sz w:val="28"/>
          <w:szCs w:val="28"/>
        </w:rPr>
      </w:pPr>
      <w:r w:rsidRPr="0020544B">
        <w:rPr>
          <w:rFonts w:cs="Arial"/>
          <w:sz w:val="28"/>
          <w:szCs w:val="28"/>
        </w:rPr>
        <w:t xml:space="preserve">Incidencia del Impuesto al Valor Agregado, </w:t>
      </w:r>
      <w:r w:rsidR="00C83BBC">
        <w:rPr>
          <w:rFonts w:cs="Arial"/>
          <w:sz w:val="28"/>
          <w:szCs w:val="28"/>
        </w:rPr>
        <w:t>aplicación de</w:t>
      </w:r>
      <w:r w:rsidRPr="0020544B">
        <w:rPr>
          <w:rFonts w:cs="Arial"/>
          <w:sz w:val="28"/>
          <w:szCs w:val="28"/>
        </w:rPr>
        <w:t xml:space="preserve"> un Modelo de Equilibrio General Computable en Costa Rica.</w:t>
      </w:r>
    </w:p>
    <w:p w14:paraId="2E7164A0" w14:textId="77777777" w:rsidR="006E674D" w:rsidRPr="00055B14" w:rsidRDefault="006E674D" w:rsidP="006E674D">
      <w:pPr>
        <w:spacing w:line="240" w:lineRule="auto"/>
        <w:rPr>
          <w:rFonts w:cs="Arial"/>
        </w:rPr>
      </w:pPr>
    </w:p>
    <w:p w14:paraId="4F2E2830" w14:textId="77777777" w:rsidR="006E674D" w:rsidRDefault="006E674D" w:rsidP="006E674D">
      <w:pPr>
        <w:spacing w:line="240" w:lineRule="auto"/>
        <w:jc w:val="center"/>
        <w:rPr>
          <w:rFonts w:cs="Arial"/>
        </w:rPr>
      </w:pPr>
      <w:r w:rsidRPr="00055B14">
        <w:rPr>
          <w:rFonts w:cs="Arial"/>
        </w:rPr>
        <w:t xml:space="preserve">Proyecto de Graduación </w:t>
      </w:r>
    </w:p>
    <w:p w14:paraId="38C8A004" w14:textId="1E251B6F" w:rsidR="006E674D" w:rsidRDefault="006E674D" w:rsidP="006E674D">
      <w:pPr>
        <w:spacing w:line="240" w:lineRule="auto"/>
        <w:jc w:val="center"/>
        <w:rPr>
          <w:rFonts w:cs="Arial"/>
        </w:rPr>
      </w:pPr>
    </w:p>
    <w:p w14:paraId="109A33DD" w14:textId="17AB8D56" w:rsidR="005A1656" w:rsidRPr="005A1656" w:rsidRDefault="005A1656" w:rsidP="006E674D">
      <w:pPr>
        <w:spacing w:line="240" w:lineRule="auto"/>
        <w:jc w:val="center"/>
        <w:rPr>
          <w:rFonts w:cs="Arial"/>
        </w:rPr>
      </w:pPr>
      <w:r w:rsidRPr="005A1656">
        <w:rPr>
          <w:rFonts w:cs="Arial"/>
        </w:rPr>
        <w:t>Sustentante</w:t>
      </w:r>
      <w:r w:rsidR="00DE1B0D">
        <w:rPr>
          <w:rFonts w:cs="Arial"/>
        </w:rPr>
        <w:t>:</w:t>
      </w:r>
    </w:p>
    <w:p w14:paraId="1DD2145D" w14:textId="77777777" w:rsidR="005A1656" w:rsidRDefault="005A1656" w:rsidP="006E674D">
      <w:pPr>
        <w:spacing w:line="240" w:lineRule="auto"/>
        <w:jc w:val="center"/>
        <w:rPr>
          <w:rFonts w:cs="Arial"/>
        </w:rPr>
      </w:pPr>
    </w:p>
    <w:p w14:paraId="03AF867C" w14:textId="77777777" w:rsidR="006E674D" w:rsidRPr="000B1922" w:rsidRDefault="006E674D" w:rsidP="006E674D">
      <w:pPr>
        <w:spacing w:line="240" w:lineRule="auto"/>
        <w:jc w:val="center"/>
        <w:rPr>
          <w:rFonts w:cs="Arial"/>
        </w:rPr>
      </w:pPr>
      <w:r w:rsidRPr="000B1922">
        <w:rPr>
          <w:rFonts w:cs="Arial"/>
        </w:rPr>
        <w:t>Marlon Molina Corella</w:t>
      </w:r>
    </w:p>
    <w:p w14:paraId="7FC6EC07" w14:textId="77777777" w:rsidR="006E674D" w:rsidRDefault="006E674D" w:rsidP="006E674D">
      <w:pPr>
        <w:spacing w:line="240" w:lineRule="auto"/>
        <w:jc w:val="center"/>
        <w:rPr>
          <w:rFonts w:cs="Arial"/>
          <w:b/>
        </w:rPr>
      </w:pPr>
    </w:p>
    <w:p w14:paraId="0D59D676" w14:textId="77777777" w:rsidR="006E674D" w:rsidRPr="000B1922" w:rsidRDefault="006E674D" w:rsidP="006E674D">
      <w:pPr>
        <w:spacing w:line="240" w:lineRule="auto"/>
        <w:jc w:val="center"/>
        <w:rPr>
          <w:rFonts w:cs="Arial"/>
        </w:rPr>
      </w:pPr>
      <w:r w:rsidRPr="000B1922">
        <w:rPr>
          <w:rFonts w:cs="Arial"/>
        </w:rPr>
        <w:t>Campus Omar Dengo, Heredia.</w:t>
      </w:r>
    </w:p>
    <w:p w14:paraId="4A85218B" w14:textId="77777777" w:rsidR="006E674D" w:rsidRPr="00055B14" w:rsidRDefault="006E674D" w:rsidP="006E674D">
      <w:pPr>
        <w:spacing w:line="240" w:lineRule="auto"/>
        <w:rPr>
          <w:rFonts w:cs="Arial"/>
        </w:rPr>
      </w:pPr>
    </w:p>
    <w:p w14:paraId="70649F92" w14:textId="264907AD" w:rsidR="006E674D" w:rsidRDefault="00EA702E" w:rsidP="006E674D">
      <w:pPr>
        <w:spacing w:line="240" w:lineRule="auto"/>
        <w:jc w:val="center"/>
        <w:rPr>
          <w:rFonts w:cs="Arial"/>
        </w:rPr>
        <w:sectPr w:rsidR="006E674D" w:rsidSect="00166C42">
          <w:footerReference w:type="default" r:id="rId10"/>
          <w:footerReference w:type="first" r:id="rId11"/>
          <w:pgSz w:w="11906" w:h="16838"/>
          <w:pgMar w:top="1417" w:right="1701" w:bottom="1417" w:left="1701" w:header="708" w:footer="708" w:gutter="0"/>
          <w:pgNumType w:fmt="upperRoman"/>
          <w:cols w:space="708"/>
          <w:titlePg/>
          <w:docGrid w:linePitch="360"/>
        </w:sectPr>
      </w:pPr>
      <w:r>
        <w:rPr>
          <w:rFonts w:cs="Arial"/>
        </w:rPr>
        <w:t>Marzo</w:t>
      </w:r>
      <w:r w:rsidR="00041FD0">
        <w:rPr>
          <w:rFonts w:cs="Arial"/>
        </w:rPr>
        <w:t>,</w:t>
      </w:r>
      <w:r w:rsidR="006E674D" w:rsidRPr="00055B14">
        <w:rPr>
          <w:rFonts w:cs="Arial"/>
        </w:rPr>
        <w:t xml:space="preserve"> 201</w:t>
      </w:r>
      <w:r>
        <w:rPr>
          <w:rFonts w:cs="Arial"/>
        </w:rPr>
        <w:t>9</w:t>
      </w:r>
    </w:p>
    <w:p w14:paraId="2A4FEE2B" w14:textId="784A7213" w:rsidR="003B35E3" w:rsidRPr="006E674D" w:rsidRDefault="003347BA" w:rsidP="00E779D1">
      <w:pPr>
        <w:pStyle w:val="Heading1"/>
        <w:rPr>
          <w:rFonts w:cs="Arial"/>
        </w:rPr>
      </w:pPr>
      <w:bookmarkStart w:id="1" w:name="_Toc2853735"/>
      <w:r w:rsidRPr="00520A9C">
        <w:rPr>
          <w:rFonts w:eastAsia="Arial"/>
          <w:noProof/>
          <w:color w:val="FFFFFF" w:themeColor="background1"/>
        </w:rPr>
        <w:lastRenderedPageBreak/>
        <w:drawing>
          <wp:anchor distT="0" distB="0" distL="114300" distR="114300" simplePos="0" relativeHeight="251658242" behindDoc="0" locked="0" layoutInCell="1" allowOverlap="1" wp14:anchorId="69E77BA5" wp14:editId="67E703BE">
            <wp:simplePos x="0" y="0"/>
            <wp:positionH relativeFrom="margin">
              <wp:posOffset>139065</wp:posOffset>
            </wp:positionH>
            <wp:positionV relativeFrom="paragraph">
              <wp:posOffset>1905</wp:posOffset>
            </wp:positionV>
            <wp:extent cx="1508760" cy="1258606"/>
            <wp:effectExtent l="0" t="0" r="0" b="0"/>
            <wp:wrapTopAndBottom/>
            <wp:docPr id="191"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A"/>
                    <pic:cNvPicPr>
                      <a:picLocks noChangeAspect="1" noChangeArrowheads="1"/>
                    </pic:cNvPicPr>
                  </pic:nvPicPr>
                  <pic:blipFill>
                    <a:blip r:embed="rId9">
                      <a:extLst>
                        <a:ext uri="{28A0092B-C50C-407E-A947-70E740481C1C}">
                          <a14:useLocalDpi xmlns:a14="http://schemas.microsoft.com/office/drawing/2010/main" val="0"/>
                        </a:ext>
                      </a:extLst>
                    </a:blip>
                    <a:stretch>
                      <a:fillRect/>
                    </a:stretch>
                  </pic:blipFill>
                  <pic:spPr bwMode="auto">
                    <a:xfrm>
                      <a:off x="0" y="0"/>
                      <a:ext cx="1508760" cy="1258606"/>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6E674D" w:rsidRPr="00520A9C">
        <w:rPr>
          <w:rFonts w:asciiTheme="majorHAnsi" w:hAnsiTheme="majorHAnsi"/>
          <w:noProof/>
          <w:color w:val="FFFFFF" w:themeColor="background1"/>
          <w:sz w:val="26"/>
        </w:rPr>
        <w:drawing>
          <wp:anchor distT="36576" distB="36576" distL="36576" distR="36576" simplePos="0" relativeHeight="251658243" behindDoc="0" locked="0" layoutInCell="1" allowOverlap="1" wp14:anchorId="234619FA" wp14:editId="787BD881">
            <wp:simplePos x="0" y="0"/>
            <wp:positionH relativeFrom="margin">
              <wp:align>right</wp:align>
            </wp:positionH>
            <wp:positionV relativeFrom="paragraph">
              <wp:posOffset>-2540</wp:posOffset>
            </wp:positionV>
            <wp:extent cx="1508760" cy="1273934"/>
            <wp:effectExtent l="0" t="0" r="0" b="2540"/>
            <wp:wrapNone/>
            <wp:docPr id="192" name="Picture 192" descr="logoroj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descr="logorojo"/>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508760" cy="1273934"/>
                    </a:xfrm>
                    <a:prstGeom prst="rect">
                      <a:avLst/>
                    </a:prstGeom>
                    <a:noFill/>
                    <a:ln>
                      <a:noFill/>
                    </a:ln>
                  </pic:spPr>
                </pic:pic>
              </a:graphicData>
            </a:graphic>
            <wp14:sizeRelH relativeFrom="page">
              <wp14:pctWidth>0</wp14:pctWidth>
            </wp14:sizeRelH>
            <wp14:sizeRelV relativeFrom="page">
              <wp14:pctHeight>0</wp14:pctHeight>
            </wp14:sizeRelV>
          </wp:anchor>
        </w:drawing>
      </w:r>
      <w:r w:rsidR="006E674D" w:rsidRPr="00520A9C">
        <w:rPr>
          <w:rFonts w:cs="Arial"/>
          <w:color w:val="FFFFFF" w:themeColor="background1"/>
        </w:rPr>
        <w:t>Portada interna</w:t>
      </w:r>
      <w:bookmarkEnd w:id="1"/>
    </w:p>
    <w:p w14:paraId="47FD22FB" w14:textId="5B962680" w:rsidR="00ED11E1" w:rsidRDefault="00B75837" w:rsidP="00787DDC">
      <w:pPr>
        <w:spacing w:line="240" w:lineRule="auto"/>
        <w:jc w:val="center"/>
      </w:pPr>
      <w:r>
        <w:rPr>
          <w:rFonts w:cs="Arial"/>
        </w:rPr>
        <w:t xml:space="preserve">  </w:t>
      </w:r>
      <w:r w:rsidR="00CA57A4" w:rsidRPr="00F61E9E">
        <w:rPr>
          <w:rFonts w:cs="Arial"/>
        </w:rPr>
        <w:t xml:space="preserve">Universidad Nacional </w:t>
      </w:r>
      <w:r w:rsidR="00573128" w:rsidRPr="00F61E9E">
        <w:rPr>
          <w:rFonts w:cs="Arial"/>
        </w:rPr>
        <w:t>de Costa Rica</w:t>
      </w:r>
      <w:r w:rsidR="00236025">
        <w:tab/>
      </w:r>
    </w:p>
    <w:p w14:paraId="07693F50" w14:textId="77777777" w:rsidR="00787DDC" w:rsidRPr="00787DDC" w:rsidRDefault="00787DDC" w:rsidP="00787DDC">
      <w:pPr>
        <w:spacing w:line="240" w:lineRule="auto"/>
        <w:jc w:val="center"/>
        <w:rPr>
          <w:rFonts w:cs="Arial"/>
        </w:rPr>
      </w:pPr>
    </w:p>
    <w:p w14:paraId="49912DD5" w14:textId="6BAE8AD8" w:rsidR="00236025" w:rsidRDefault="00236025" w:rsidP="00787DDC">
      <w:pPr>
        <w:spacing w:line="240" w:lineRule="auto"/>
        <w:jc w:val="center"/>
        <w:rPr>
          <w:rFonts w:cs="Arial"/>
        </w:rPr>
      </w:pPr>
      <w:r w:rsidRPr="00787DDC">
        <w:rPr>
          <w:rFonts w:cs="Arial"/>
        </w:rPr>
        <w:t xml:space="preserve">Facultad de </w:t>
      </w:r>
      <w:r w:rsidR="00DB6D04" w:rsidRPr="00787DDC">
        <w:rPr>
          <w:rFonts w:cs="Arial"/>
        </w:rPr>
        <w:t xml:space="preserve">Ciencias Sociales </w:t>
      </w:r>
    </w:p>
    <w:p w14:paraId="221175CF" w14:textId="77777777" w:rsidR="00787DDC" w:rsidRPr="00787DDC" w:rsidRDefault="00787DDC" w:rsidP="00787DDC">
      <w:pPr>
        <w:spacing w:line="240" w:lineRule="auto"/>
        <w:jc w:val="center"/>
        <w:rPr>
          <w:rFonts w:cs="Arial"/>
        </w:rPr>
      </w:pPr>
    </w:p>
    <w:p w14:paraId="14D9A1BB" w14:textId="77777777" w:rsidR="00787DDC" w:rsidRDefault="00787DDC" w:rsidP="00787DDC">
      <w:pPr>
        <w:spacing w:line="240" w:lineRule="auto"/>
        <w:jc w:val="center"/>
        <w:rPr>
          <w:rFonts w:cs="Arial"/>
        </w:rPr>
      </w:pPr>
      <w:r w:rsidRPr="00055B14">
        <w:rPr>
          <w:rFonts w:cs="Arial"/>
        </w:rPr>
        <w:t>Escuela de Economía</w:t>
      </w:r>
    </w:p>
    <w:p w14:paraId="36115FCD" w14:textId="77777777" w:rsidR="00166C42" w:rsidRDefault="00166C42" w:rsidP="00C139E7">
      <w:pPr>
        <w:spacing w:line="240" w:lineRule="auto"/>
        <w:jc w:val="center"/>
      </w:pPr>
    </w:p>
    <w:p w14:paraId="539518D5" w14:textId="3A117BBE" w:rsidR="00166C42" w:rsidRPr="0020544B" w:rsidRDefault="00166C42" w:rsidP="00C139E7">
      <w:pPr>
        <w:spacing w:line="240" w:lineRule="auto"/>
        <w:jc w:val="center"/>
        <w:rPr>
          <w:rFonts w:cs="Arial"/>
          <w:sz w:val="28"/>
          <w:szCs w:val="28"/>
        </w:rPr>
      </w:pPr>
      <w:bookmarkStart w:id="2" w:name="_Hlk498443843"/>
      <w:r w:rsidRPr="0020544B">
        <w:rPr>
          <w:rFonts w:cs="Arial"/>
          <w:sz w:val="28"/>
          <w:szCs w:val="28"/>
        </w:rPr>
        <w:t>Incidencia del Impuesto al Valor Agregado, mediante un Modelo de Equilibrio G</w:t>
      </w:r>
      <w:r w:rsidR="00D63A4B" w:rsidRPr="0020544B">
        <w:rPr>
          <w:rFonts w:cs="Arial"/>
          <w:sz w:val="28"/>
          <w:szCs w:val="28"/>
        </w:rPr>
        <w:t>eneral Computable en Costa Rica</w:t>
      </w:r>
      <w:bookmarkEnd w:id="2"/>
      <w:r w:rsidRPr="0020544B">
        <w:rPr>
          <w:rFonts w:cs="Arial"/>
          <w:sz w:val="28"/>
          <w:szCs w:val="28"/>
        </w:rPr>
        <w:t>.</w:t>
      </w:r>
    </w:p>
    <w:p w14:paraId="62256F5A" w14:textId="77777777" w:rsidR="00166C42" w:rsidRPr="00055B14" w:rsidRDefault="00166C42" w:rsidP="001C75A6">
      <w:pPr>
        <w:spacing w:line="240" w:lineRule="auto"/>
        <w:rPr>
          <w:rFonts w:cs="Arial"/>
        </w:rPr>
      </w:pPr>
    </w:p>
    <w:p w14:paraId="512DB8AB" w14:textId="127CB58D" w:rsidR="00166C42" w:rsidRDefault="00166C42" w:rsidP="00C139E7">
      <w:pPr>
        <w:spacing w:line="240" w:lineRule="auto"/>
        <w:jc w:val="center"/>
        <w:rPr>
          <w:rFonts w:cs="Arial"/>
        </w:rPr>
      </w:pPr>
      <w:r w:rsidRPr="00055B14">
        <w:rPr>
          <w:rFonts w:cs="Arial"/>
        </w:rPr>
        <w:t xml:space="preserve">Proyecto de Graduación </w:t>
      </w:r>
    </w:p>
    <w:p w14:paraId="554DAF53" w14:textId="7AE6F82F" w:rsidR="00854753" w:rsidRDefault="00854753" w:rsidP="00C139E7">
      <w:pPr>
        <w:spacing w:line="240" w:lineRule="auto"/>
        <w:jc w:val="center"/>
        <w:rPr>
          <w:rFonts w:cs="Arial"/>
        </w:rPr>
      </w:pPr>
    </w:p>
    <w:p w14:paraId="09CC27ED" w14:textId="194BB56E" w:rsidR="00C04324" w:rsidRDefault="00C04324" w:rsidP="00C139E7">
      <w:pPr>
        <w:spacing w:line="240" w:lineRule="auto"/>
        <w:jc w:val="center"/>
        <w:rPr>
          <w:rFonts w:cs="Arial"/>
        </w:rPr>
      </w:pPr>
      <w:r w:rsidRPr="00C04324">
        <w:rPr>
          <w:rFonts w:cs="Arial"/>
        </w:rPr>
        <w:t>Trabajo Final de Graduación sometido a consideración del Tribunal Examinador para optar por el grado de Licenciatura en Economía</w:t>
      </w:r>
      <w:r w:rsidR="00676439">
        <w:rPr>
          <w:rFonts w:cs="Arial"/>
        </w:rPr>
        <w:t>.</w:t>
      </w:r>
    </w:p>
    <w:p w14:paraId="087C0C17" w14:textId="19E87AA4" w:rsidR="00CA5EDD" w:rsidRDefault="00CA5EDD" w:rsidP="00C139E7">
      <w:pPr>
        <w:spacing w:line="240" w:lineRule="auto"/>
        <w:jc w:val="center"/>
        <w:rPr>
          <w:rFonts w:cs="Arial"/>
        </w:rPr>
      </w:pPr>
    </w:p>
    <w:p w14:paraId="06B5A678" w14:textId="471107D7" w:rsidR="00CA5EDD" w:rsidRDefault="00CA5EDD" w:rsidP="00C139E7">
      <w:pPr>
        <w:spacing w:line="240" w:lineRule="auto"/>
        <w:jc w:val="center"/>
        <w:rPr>
          <w:rFonts w:cs="Arial"/>
        </w:rPr>
      </w:pPr>
      <w:r w:rsidRPr="00CA5EDD">
        <w:rPr>
          <w:rFonts w:cs="Arial"/>
        </w:rPr>
        <w:t>Sustentante</w:t>
      </w:r>
      <w:r>
        <w:rPr>
          <w:rFonts w:cs="Arial"/>
        </w:rPr>
        <w:t>:</w:t>
      </w:r>
    </w:p>
    <w:p w14:paraId="0B6882D3" w14:textId="77777777" w:rsidR="00C04324" w:rsidRDefault="00C04324" w:rsidP="00C139E7">
      <w:pPr>
        <w:spacing w:line="240" w:lineRule="auto"/>
        <w:jc w:val="center"/>
        <w:rPr>
          <w:rFonts w:cs="Arial"/>
        </w:rPr>
      </w:pPr>
    </w:p>
    <w:p w14:paraId="720003DE" w14:textId="236790FE" w:rsidR="00166C42" w:rsidRPr="000B1922" w:rsidRDefault="00854753" w:rsidP="00854753">
      <w:pPr>
        <w:spacing w:line="240" w:lineRule="auto"/>
        <w:jc w:val="center"/>
        <w:rPr>
          <w:rFonts w:cs="Arial"/>
        </w:rPr>
      </w:pPr>
      <w:r w:rsidRPr="000B1922">
        <w:rPr>
          <w:rFonts w:cs="Arial"/>
        </w:rPr>
        <w:t>Marlon Molina Corella</w:t>
      </w:r>
    </w:p>
    <w:p w14:paraId="57322222" w14:textId="25E6FF26" w:rsidR="00F208C5" w:rsidRDefault="00F208C5" w:rsidP="00854753">
      <w:pPr>
        <w:spacing w:line="240" w:lineRule="auto"/>
        <w:jc w:val="center"/>
        <w:rPr>
          <w:rFonts w:cs="Arial"/>
          <w:b/>
        </w:rPr>
      </w:pPr>
    </w:p>
    <w:p w14:paraId="29D71B2A" w14:textId="62CCD3F6" w:rsidR="00565EAC" w:rsidRPr="000B1922" w:rsidRDefault="00565EAC" w:rsidP="00854753">
      <w:pPr>
        <w:spacing w:line="240" w:lineRule="auto"/>
        <w:jc w:val="center"/>
        <w:rPr>
          <w:rFonts w:cs="Arial"/>
        </w:rPr>
      </w:pPr>
      <w:r w:rsidRPr="000B1922">
        <w:rPr>
          <w:rFonts w:cs="Arial"/>
        </w:rPr>
        <w:t>Campus Omar Dengo, Heredia.</w:t>
      </w:r>
    </w:p>
    <w:p w14:paraId="4ABF5104" w14:textId="2EF356F1" w:rsidR="00BF48DB" w:rsidRPr="00055B14" w:rsidRDefault="00BF48DB" w:rsidP="00FC12E9">
      <w:pPr>
        <w:spacing w:line="240" w:lineRule="auto"/>
        <w:rPr>
          <w:rFonts w:cs="Arial"/>
        </w:rPr>
      </w:pPr>
    </w:p>
    <w:p w14:paraId="05A60F57" w14:textId="551D824E" w:rsidR="00166C42" w:rsidRDefault="00473C78" w:rsidP="00C139E7">
      <w:pPr>
        <w:spacing w:line="240" w:lineRule="auto"/>
        <w:jc w:val="center"/>
        <w:rPr>
          <w:rFonts w:cs="Arial"/>
        </w:rPr>
        <w:sectPr w:rsidR="00166C42" w:rsidSect="00166C42">
          <w:footerReference w:type="default" r:id="rId12"/>
          <w:footerReference w:type="first" r:id="rId13"/>
          <w:pgSz w:w="11906" w:h="16838"/>
          <w:pgMar w:top="1417" w:right="1701" w:bottom="1417" w:left="1701" w:header="708" w:footer="708" w:gutter="0"/>
          <w:pgNumType w:fmt="upperRoman"/>
          <w:cols w:space="708"/>
          <w:titlePg/>
          <w:docGrid w:linePitch="360"/>
        </w:sectPr>
      </w:pPr>
      <w:r>
        <w:rPr>
          <w:rFonts w:cs="Arial"/>
        </w:rPr>
        <w:t>Setiembre</w:t>
      </w:r>
      <w:r w:rsidR="000C56AF">
        <w:rPr>
          <w:rFonts w:cs="Arial"/>
        </w:rPr>
        <w:t xml:space="preserve">, </w:t>
      </w:r>
      <w:r w:rsidR="00BF48DB" w:rsidRPr="00055B14">
        <w:rPr>
          <w:rFonts w:cs="Arial"/>
        </w:rPr>
        <w:t>201</w:t>
      </w:r>
      <w:r>
        <w:rPr>
          <w:rFonts w:cs="Arial"/>
        </w:rPr>
        <w:t>8</w:t>
      </w:r>
    </w:p>
    <w:p w14:paraId="007059B7" w14:textId="121D14C9" w:rsidR="002F4066" w:rsidRDefault="002E1736" w:rsidP="002F4066">
      <w:pPr>
        <w:pStyle w:val="Heading1"/>
      </w:pPr>
      <w:bookmarkStart w:id="3" w:name="_Toc2853736"/>
      <w:r w:rsidRPr="001D13ED">
        <w:lastRenderedPageBreak/>
        <w:t>Hoja con firmas de miembros del Tribunal Examinado</w:t>
      </w:r>
      <w:bookmarkEnd w:id="3"/>
    </w:p>
    <w:p w14:paraId="00B32DA7" w14:textId="77777777" w:rsidR="00847131" w:rsidRPr="00847131" w:rsidRDefault="00847131" w:rsidP="00847131"/>
    <w:p w14:paraId="2DB33930" w14:textId="50B6DBDA" w:rsidR="00847131" w:rsidRPr="00847131" w:rsidRDefault="00847131" w:rsidP="00847131">
      <w:r>
        <w:t>__________________________</w:t>
      </w:r>
    </w:p>
    <w:p w14:paraId="1CF0BC33" w14:textId="3F40A1E1" w:rsidR="002F4066" w:rsidRDefault="00847131" w:rsidP="002F4066">
      <w:pPr>
        <w:rPr>
          <w:rFonts w:cs="Arial"/>
        </w:rPr>
      </w:pPr>
      <w:r w:rsidRPr="005B7B29">
        <w:rPr>
          <w:rFonts w:cs="Arial"/>
        </w:rPr>
        <w:t>Presidente (a) Decano (a) de la Facultad de Ciencias Sociales (o su representante)</w:t>
      </w:r>
    </w:p>
    <w:p w14:paraId="6DCAF5D2" w14:textId="1E457346" w:rsidR="005B7B29" w:rsidRPr="005B7B29" w:rsidRDefault="005B7B29" w:rsidP="002F4066">
      <w:pPr>
        <w:rPr>
          <w:rFonts w:cs="Arial"/>
        </w:rPr>
      </w:pPr>
      <w:r>
        <w:t>__________________________</w:t>
      </w:r>
    </w:p>
    <w:p w14:paraId="440E28FE" w14:textId="6C2F7DF9" w:rsidR="005B7B29" w:rsidRDefault="005B7B29" w:rsidP="002F4066">
      <w:pPr>
        <w:rPr>
          <w:rFonts w:cs="Arial"/>
        </w:rPr>
      </w:pPr>
      <w:r w:rsidRPr="005B7B29">
        <w:rPr>
          <w:rFonts w:cs="Arial"/>
        </w:rPr>
        <w:t>Director (a) de la Unidad Académica (o su representante)</w:t>
      </w:r>
    </w:p>
    <w:p w14:paraId="7500B8AF" w14:textId="59579E7D" w:rsidR="00EA4AC8" w:rsidRDefault="00EA4AC8" w:rsidP="002F4066">
      <w:pPr>
        <w:rPr>
          <w:rFonts w:cs="Arial"/>
        </w:rPr>
      </w:pPr>
      <w:r>
        <w:t>__________________________</w:t>
      </w:r>
    </w:p>
    <w:p w14:paraId="750176CD" w14:textId="49156C7F" w:rsidR="00EA4AC8" w:rsidRDefault="00EA4AC8" w:rsidP="002F4066">
      <w:pPr>
        <w:rPr>
          <w:rFonts w:cs="Arial"/>
        </w:rPr>
      </w:pPr>
      <w:r w:rsidRPr="00EA4AC8">
        <w:rPr>
          <w:rFonts w:cs="Arial"/>
        </w:rPr>
        <w:t>Responsable Académico</w:t>
      </w:r>
    </w:p>
    <w:p w14:paraId="55F02AF0" w14:textId="663F580B" w:rsidR="00D952B5" w:rsidRDefault="00D952B5" w:rsidP="002F4066">
      <w:pPr>
        <w:rPr>
          <w:rFonts w:cs="Arial"/>
        </w:rPr>
      </w:pPr>
      <w:r>
        <w:t>__________________________</w:t>
      </w:r>
    </w:p>
    <w:p w14:paraId="0AE4D3F1" w14:textId="5CF8A486" w:rsidR="00E21699" w:rsidRPr="00E21699" w:rsidRDefault="00D952B5" w:rsidP="002F4066">
      <w:r>
        <w:t>__________________________</w:t>
      </w:r>
    </w:p>
    <w:p w14:paraId="57D6130A" w14:textId="49CC9A6C" w:rsidR="00D952B5" w:rsidRDefault="00D952B5" w:rsidP="002F4066">
      <w:pPr>
        <w:rPr>
          <w:rFonts w:cs="Arial"/>
        </w:rPr>
      </w:pPr>
      <w:r>
        <w:rPr>
          <w:rFonts w:cs="Arial"/>
        </w:rPr>
        <w:t>Lectores</w:t>
      </w:r>
    </w:p>
    <w:p w14:paraId="7F4BE13F" w14:textId="0C205D6E" w:rsidR="00CA63DE" w:rsidRPr="00CA63DE" w:rsidRDefault="00E21699" w:rsidP="00E21699">
      <w:r>
        <w:t>__________________________</w:t>
      </w:r>
    </w:p>
    <w:p w14:paraId="494CF0BC" w14:textId="1FFEB57F" w:rsidR="00E21699" w:rsidRPr="005B7B29" w:rsidRDefault="00CA63DE" w:rsidP="002F4066">
      <w:pPr>
        <w:rPr>
          <w:rFonts w:cs="Arial"/>
        </w:rPr>
      </w:pPr>
      <w:r>
        <w:rPr>
          <w:rFonts w:cs="Arial"/>
        </w:rPr>
        <w:t>S</w:t>
      </w:r>
      <w:r w:rsidRPr="00CA63DE">
        <w:rPr>
          <w:rFonts w:cs="Arial"/>
        </w:rPr>
        <w:t>ustentante</w:t>
      </w:r>
    </w:p>
    <w:p w14:paraId="0554D961" w14:textId="77777777" w:rsidR="00D776A4" w:rsidRDefault="00D776A4" w:rsidP="00C139E7">
      <w:pPr>
        <w:spacing w:line="240" w:lineRule="auto"/>
        <w:jc w:val="center"/>
        <w:rPr>
          <w:rFonts w:cs="Arial"/>
        </w:rPr>
      </w:pPr>
      <w:r>
        <w:rPr>
          <w:rFonts w:cs="Arial"/>
        </w:rPr>
        <w:br w:type="page"/>
      </w:r>
    </w:p>
    <w:p w14:paraId="5F9F71A8" w14:textId="7C62BDE1" w:rsidR="00C05FF9" w:rsidRDefault="00F473C6" w:rsidP="00C139E7">
      <w:pPr>
        <w:pStyle w:val="Heading1"/>
        <w:spacing w:line="240" w:lineRule="auto"/>
      </w:pPr>
      <w:bookmarkStart w:id="4" w:name="_Toc2853737"/>
      <w:r>
        <w:lastRenderedPageBreak/>
        <w:t>Dedica</w:t>
      </w:r>
      <w:r w:rsidR="00B406C1">
        <w:t>toria</w:t>
      </w:r>
      <w:bookmarkEnd w:id="4"/>
      <w:r w:rsidR="00B406C1">
        <w:t xml:space="preserve"> </w:t>
      </w:r>
    </w:p>
    <w:p w14:paraId="759FF7B2" w14:textId="1FBCC345" w:rsidR="00F473C6" w:rsidRDefault="00F473C6" w:rsidP="00C139E7">
      <w:pPr>
        <w:pStyle w:val="Heading1"/>
        <w:spacing w:line="240" w:lineRule="auto"/>
      </w:pPr>
    </w:p>
    <w:p w14:paraId="279BDF4C" w14:textId="21D2270D" w:rsidR="00A9329B" w:rsidRDefault="00A9329B" w:rsidP="00A9329B"/>
    <w:p w14:paraId="1630D94B" w14:textId="6B0CD53B" w:rsidR="00A9329B" w:rsidRDefault="00A9329B" w:rsidP="00A9329B"/>
    <w:p w14:paraId="665D211B" w14:textId="1DCBFF93" w:rsidR="00A9329B" w:rsidRDefault="00A9329B" w:rsidP="00A9329B"/>
    <w:p w14:paraId="36185A0F" w14:textId="5F43B901" w:rsidR="00A9329B" w:rsidRDefault="00A9329B" w:rsidP="00A9329B"/>
    <w:p w14:paraId="441D471C" w14:textId="77777777" w:rsidR="00A9329B" w:rsidRPr="00A9329B" w:rsidRDefault="00A9329B" w:rsidP="00A9329B">
      <w:pPr>
        <w:jc w:val="right"/>
      </w:pPr>
    </w:p>
    <w:p w14:paraId="34A66E18" w14:textId="40D50F18" w:rsidR="00926EEE" w:rsidRDefault="00411AC7" w:rsidP="00926EEE">
      <w:pPr>
        <w:spacing w:line="240" w:lineRule="auto"/>
        <w:jc w:val="right"/>
        <w:rPr>
          <w:rFonts w:cs="Arial"/>
        </w:rPr>
      </w:pPr>
      <w:r w:rsidRPr="00FC4B8B">
        <w:rPr>
          <w:rFonts w:cs="Arial"/>
        </w:rPr>
        <w:t xml:space="preserve">A mi familia que han sido </w:t>
      </w:r>
      <w:r w:rsidR="00DE18F7">
        <w:rPr>
          <w:rFonts w:cs="Arial"/>
        </w:rPr>
        <w:t>u</w:t>
      </w:r>
      <w:r w:rsidRPr="00FC4B8B">
        <w:rPr>
          <w:rFonts w:cs="Arial"/>
        </w:rPr>
        <w:t xml:space="preserve">n gran soporte </w:t>
      </w:r>
    </w:p>
    <w:p w14:paraId="252FB28F" w14:textId="2A9C4C3F" w:rsidR="00926EEE" w:rsidRDefault="00411AC7" w:rsidP="00926EEE">
      <w:pPr>
        <w:spacing w:line="240" w:lineRule="auto"/>
        <w:jc w:val="right"/>
        <w:rPr>
          <w:rFonts w:cs="Arial"/>
        </w:rPr>
      </w:pPr>
      <w:r w:rsidRPr="00FC4B8B">
        <w:rPr>
          <w:rFonts w:cs="Arial"/>
        </w:rPr>
        <w:t>en el proceso de</w:t>
      </w:r>
      <w:r w:rsidR="00F13E7F">
        <w:rPr>
          <w:rFonts w:cs="Arial"/>
        </w:rPr>
        <w:t xml:space="preserve"> creación</w:t>
      </w:r>
      <w:r w:rsidRPr="00FC4B8B">
        <w:rPr>
          <w:rFonts w:cs="Arial"/>
        </w:rPr>
        <w:t xml:space="preserve"> este documento. </w:t>
      </w:r>
    </w:p>
    <w:p w14:paraId="420BBAD1" w14:textId="77777777" w:rsidR="00926EEE" w:rsidRDefault="00411AC7" w:rsidP="00926EEE">
      <w:pPr>
        <w:spacing w:line="240" w:lineRule="auto"/>
        <w:jc w:val="right"/>
        <w:rPr>
          <w:rFonts w:cs="Arial"/>
        </w:rPr>
      </w:pPr>
      <w:r w:rsidRPr="00FC4B8B">
        <w:rPr>
          <w:rFonts w:cs="Arial"/>
        </w:rPr>
        <w:t>Especialmente a mi padre y madre que</w:t>
      </w:r>
    </w:p>
    <w:p w14:paraId="4D92B038" w14:textId="77777777" w:rsidR="008B457B" w:rsidRDefault="00411AC7" w:rsidP="00926EEE">
      <w:pPr>
        <w:spacing w:line="240" w:lineRule="auto"/>
        <w:jc w:val="right"/>
        <w:rPr>
          <w:rFonts w:cs="Arial"/>
        </w:rPr>
      </w:pPr>
      <w:r w:rsidRPr="00FC4B8B">
        <w:rPr>
          <w:rFonts w:cs="Arial"/>
        </w:rPr>
        <w:t xml:space="preserve"> me han enseñado </w:t>
      </w:r>
      <w:r w:rsidR="008B457B">
        <w:rPr>
          <w:rFonts w:cs="Arial"/>
        </w:rPr>
        <w:t>el significado</w:t>
      </w:r>
    </w:p>
    <w:p w14:paraId="4F4F7682" w14:textId="002604CC" w:rsidR="00926EEE" w:rsidRDefault="008B457B" w:rsidP="00926EEE">
      <w:pPr>
        <w:spacing w:line="240" w:lineRule="auto"/>
        <w:jc w:val="right"/>
        <w:rPr>
          <w:rFonts w:cs="Arial"/>
        </w:rPr>
      </w:pPr>
      <w:r>
        <w:rPr>
          <w:rFonts w:cs="Arial"/>
        </w:rPr>
        <w:t xml:space="preserve"> de</w:t>
      </w:r>
      <w:r w:rsidR="00411AC7" w:rsidRPr="00FC4B8B">
        <w:rPr>
          <w:rFonts w:cs="Arial"/>
        </w:rPr>
        <w:t xml:space="preserve"> luchar </w:t>
      </w:r>
      <w:r w:rsidR="00094C72" w:rsidRPr="00FC4B8B">
        <w:rPr>
          <w:rFonts w:cs="Arial"/>
        </w:rPr>
        <w:t xml:space="preserve">y </w:t>
      </w:r>
      <w:r>
        <w:rPr>
          <w:rFonts w:cs="Arial"/>
        </w:rPr>
        <w:t>además</w:t>
      </w:r>
      <w:r w:rsidR="00926EEE">
        <w:rPr>
          <w:rFonts w:cs="Arial"/>
        </w:rPr>
        <w:t xml:space="preserve"> </w:t>
      </w:r>
      <w:r>
        <w:rPr>
          <w:rFonts w:cs="Arial"/>
        </w:rPr>
        <w:t xml:space="preserve">me </w:t>
      </w:r>
      <w:r w:rsidR="00094C72" w:rsidRPr="00FC4B8B">
        <w:rPr>
          <w:rFonts w:cs="Arial"/>
        </w:rPr>
        <w:t>brindado</w:t>
      </w:r>
    </w:p>
    <w:p w14:paraId="06879183" w14:textId="77777777" w:rsidR="00926EEE" w:rsidRDefault="00094C72" w:rsidP="00926EEE">
      <w:pPr>
        <w:spacing w:line="240" w:lineRule="auto"/>
        <w:jc w:val="right"/>
        <w:rPr>
          <w:rFonts w:cs="Arial"/>
        </w:rPr>
      </w:pPr>
      <w:r w:rsidRPr="00FC4B8B">
        <w:rPr>
          <w:rFonts w:cs="Arial"/>
        </w:rPr>
        <w:t xml:space="preserve"> la suficiente confianza para </w:t>
      </w:r>
    </w:p>
    <w:p w14:paraId="0E4FAEAB" w14:textId="41917B65" w:rsidR="00CB7E43" w:rsidRDefault="00411AC7" w:rsidP="00CB7E43">
      <w:pPr>
        <w:spacing w:line="240" w:lineRule="auto"/>
        <w:jc w:val="right"/>
      </w:pPr>
      <w:r w:rsidRPr="00FC4B8B">
        <w:rPr>
          <w:rFonts w:cs="Arial"/>
        </w:rPr>
        <w:t>cumplir mis metas</w:t>
      </w:r>
      <w:r w:rsidR="00094C72">
        <w:t>.</w:t>
      </w:r>
      <w:r>
        <w:t xml:space="preserve">  </w:t>
      </w:r>
    </w:p>
    <w:p w14:paraId="25F8A993" w14:textId="6D486B77" w:rsidR="00C05FF9" w:rsidRDefault="00F473C6" w:rsidP="00CB7E43">
      <w:pPr>
        <w:pStyle w:val="Heading1"/>
        <w:rPr>
          <w:rStyle w:val="Heading1Char"/>
        </w:rPr>
      </w:pPr>
      <w:r>
        <w:br w:type="page"/>
      </w:r>
      <w:bookmarkStart w:id="5" w:name="_Toc2853738"/>
      <w:r w:rsidR="00026DD2" w:rsidRPr="00926EEE">
        <w:rPr>
          <w:rStyle w:val="Heading1Char"/>
        </w:rPr>
        <w:lastRenderedPageBreak/>
        <w:t>Agradecimientos</w:t>
      </w:r>
      <w:bookmarkEnd w:id="5"/>
    </w:p>
    <w:p w14:paraId="1A130FAA" w14:textId="77777777" w:rsidR="00F13E7F" w:rsidRPr="00FC4B8B" w:rsidRDefault="00F13E7F" w:rsidP="00F13E7F">
      <w:pPr>
        <w:spacing w:line="240" w:lineRule="auto"/>
        <w:jc w:val="center"/>
        <w:rPr>
          <w:rFonts w:cs="Arial"/>
        </w:rPr>
      </w:pPr>
    </w:p>
    <w:p w14:paraId="558EE8DC" w14:textId="1EC84186" w:rsidR="00D2074D" w:rsidRPr="00FC4B8B" w:rsidRDefault="00D2074D" w:rsidP="00D2074D">
      <w:pPr>
        <w:spacing w:line="240" w:lineRule="auto"/>
        <w:jc w:val="center"/>
        <w:rPr>
          <w:rFonts w:cs="Arial"/>
        </w:rPr>
      </w:pPr>
      <w:r w:rsidRPr="00FC4B8B">
        <w:rPr>
          <w:rFonts w:cs="Arial"/>
        </w:rPr>
        <w:t xml:space="preserve">Agradezco a todas las personas que permitieron con su ayuda </w:t>
      </w:r>
      <w:r w:rsidR="00F13E7F">
        <w:rPr>
          <w:rFonts w:cs="Arial"/>
        </w:rPr>
        <w:t xml:space="preserve">de una u otra </w:t>
      </w:r>
      <w:r w:rsidR="00CD43C1">
        <w:rPr>
          <w:rFonts w:cs="Arial"/>
        </w:rPr>
        <w:t xml:space="preserve">manera </w:t>
      </w:r>
      <w:r w:rsidRPr="00FC4B8B">
        <w:rPr>
          <w:rFonts w:cs="Arial"/>
        </w:rPr>
        <w:t>la elaboración de este proyecto de tesis</w:t>
      </w:r>
      <w:r w:rsidR="00D84231" w:rsidRPr="00FC4B8B">
        <w:rPr>
          <w:rFonts w:cs="Arial"/>
        </w:rPr>
        <w:t xml:space="preserve">. </w:t>
      </w:r>
    </w:p>
    <w:p w14:paraId="33C7C261" w14:textId="77777777" w:rsidR="00F13E7F" w:rsidRDefault="00F13E7F" w:rsidP="00A8513C">
      <w:pPr>
        <w:spacing w:line="240" w:lineRule="auto"/>
      </w:pPr>
    </w:p>
    <w:p w14:paraId="56322F57" w14:textId="6C873429" w:rsidR="00F13E7F" w:rsidRDefault="00F13E7F" w:rsidP="00C139E7">
      <w:pPr>
        <w:spacing w:line="240" w:lineRule="auto"/>
        <w:jc w:val="center"/>
        <w:rPr>
          <w:rFonts w:cs="Arial"/>
        </w:rPr>
      </w:pPr>
      <w:r w:rsidRPr="00F13E7F">
        <w:rPr>
          <w:rFonts w:cs="Arial"/>
        </w:rPr>
        <w:t>Especialmente al Profesor David Cardoza</w:t>
      </w:r>
      <w:r>
        <w:rPr>
          <w:rFonts w:cs="Arial"/>
        </w:rPr>
        <w:t xml:space="preserve"> Rodríguez </w:t>
      </w:r>
      <w:r w:rsidR="00DA277D">
        <w:rPr>
          <w:rFonts w:cs="Arial"/>
        </w:rPr>
        <w:t xml:space="preserve">y el Proyecto de Estudios Fiscales </w:t>
      </w:r>
      <w:r>
        <w:rPr>
          <w:rFonts w:cs="Arial"/>
        </w:rPr>
        <w:t xml:space="preserve">por su ayuda </w:t>
      </w:r>
      <w:r w:rsidR="00F74AAC" w:rsidRPr="00F74AAC">
        <w:rPr>
          <w:rFonts w:cs="Arial"/>
        </w:rPr>
        <w:t>desinteresada</w:t>
      </w:r>
      <w:r w:rsidR="00F74AAC">
        <w:rPr>
          <w:rFonts w:cs="Arial"/>
        </w:rPr>
        <w:t xml:space="preserve"> en el modelo y por introducirme en el mundo de </w:t>
      </w:r>
      <w:r w:rsidR="0054371D">
        <w:rPr>
          <w:rFonts w:cs="Arial"/>
        </w:rPr>
        <w:t>e</w:t>
      </w:r>
      <w:r w:rsidR="00F74AAC">
        <w:rPr>
          <w:rFonts w:cs="Arial"/>
        </w:rPr>
        <w:t xml:space="preserve">quilibrio </w:t>
      </w:r>
      <w:r w:rsidR="0054371D">
        <w:rPr>
          <w:rFonts w:cs="Arial"/>
        </w:rPr>
        <w:t>g</w:t>
      </w:r>
      <w:r w:rsidR="00F74AAC">
        <w:rPr>
          <w:rFonts w:cs="Arial"/>
        </w:rPr>
        <w:t>eneral.</w:t>
      </w:r>
    </w:p>
    <w:p w14:paraId="68DF435F" w14:textId="58288268" w:rsidR="00C92BBF" w:rsidRDefault="00C92BBF" w:rsidP="00C139E7">
      <w:pPr>
        <w:spacing w:line="240" w:lineRule="auto"/>
        <w:jc w:val="center"/>
        <w:rPr>
          <w:rFonts w:cs="Arial"/>
        </w:rPr>
      </w:pPr>
    </w:p>
    <w:p w14:paraId="251FA307" w14:textId="55C624A7" w:rsidR="00C92BBF" w:rsidRDefault="00C92BBF" w:rsidP="00C139E7">
      <w:pPr>
        <w:spacing w:line="240" w:lineRule="auto"/>
        <w:jc w:val="center"/>
        <w:rPr>
          <w:rFonts w:cs="Arial"/>
        </w:rPr>
      </w:pPr>
      <w:r>
        <w:rPr>
          <w:rFonts w:cs="Arial"/>
        </w:rPr>
        <w:t>Al equipo CGEMOD por brindar conocimientos sobre el modelo STAGE</w:t>
      </w:r>
      <w:r w:rsidR="00B769A7">
        <w:rPr>
          <w:rFonts w:cs="Arial"/>
        </w:rPr>
        <w:t xml:space="preserve"> y el soporte dado, específicamente a </w:t>
      </w:r>
      <w:r w:rsidR="0039162E">
        <w:rPr>
          <w:rStyle w:val="c-2"/>
          <w:rFonts w:eastAsiaTheme="majorEastAsia"/>
        </w:rPr>
        <w:t>Karen Thierfelder</w:t>
      </w:r>
      <w:r w:rsidR="00B80507">
        <w:rPr>
          <w:rStyle w:val="c-2"/>
          <w:rFonts w:eastAsiaTheme="majorEastAsia"/>
        </w:rPr>
        <w:t xml:space="preserve"> </w:t>
      </w:r>
      <w:r w:rsidR="00577F62">
        <w:rPr>
          <w:rStyle w:val="c-2"/>
          <w:rFonts w:eastAsiaTheme="majorEastAsia"/>
        </w:rPr>
        <w:t>y</w:t>
      </w:r>
      <w:r w:rsidR="00B80507">
        <w:rPr>
          <w:rStyle w:val="c-2"/>
          <w:rFonts w:eastAsiaTheme="majorEastAsia"/>
        </w:rPr>
        <w:t xml:space="preserve"> Scott McDonald</w:t>
      </w:r>
      <w:r w:rsidR="00B769A7">
        <w:rPr>
          <w:rFonts w:cs="Arial"/>
        </w:rPr>
        <w:t>.</w:t>
      </w:r>
    </w:p>
    <w:p w14:paraId="432E3B81" w14:textId="5FADAC03" w:rsidR="00F74AAC" w:rsidRDefault="00F74AAC" w:rsidP="00C139E7">
      <w:pPr>
        <w:spacing w:line="240" w:lineRule="auto"/>
        <w:jc w:val="center"/>
        <w:rPr>
          <w:rFonts w:cs="Arial"/>
        </w:rPr>
      </w:pPr>
    </w:p>
    <w:p w14:paraId="24ACDB5D" w14:textId="123C2AC8" w:rsidR="00F74AAC" w:rsidRDefault="00DE18F7" w:rsidP="00C139E7">
      <w:pPr>
        <w:spacing w:line="240" w:lineRule="auto"/>
        <w:jc w:val="center"/>
        <w:rPr>
          <w:rFonts w:cs="Arial"/>
        </w:rPr>
      </w:pPr>
      <w:r>
        <w:rPr>
          <w:rFonts w:cs="Arial"/>
        </w:rPr>
        <w:t xml:space="preserve">También al </w:t>
      </w:r>
      <w:r w:rsidR="00F74AAC">
        <w:rPr>
          <w:rFonts w:cs="Arial"/>
        </w:rPr>
        <w:t>Banco Central</w:t>
      </w:r>
      <w:r w:rsidR="000A20DE">
        <w:rPr>
          <w:rFonts w:cs="Arial"/>
        </w:rPr>
        <w:t xml:space="preserve"> de Costa Rica</w:t>
      </w:r>
      <w:r w:rsidR="00F74AAC">
        <w:rPr>
          <w:rFonts w:cs="Arial"/>
        </w:rPr>
        <w:t xml:space="preserve">, principalmente al Señor Henry Vargas </w:t>
      </w:r>
      <w:r w:rsidR="002C7572">
        <w:rPr>
          <w:rFonts w:cs="Arial"/>
        </w:rPr>
        <w:t xml:space="preserve">Campos </w:t>
      </w:r>
      <w:r w:rsidR="00F74AAC">
        <w:rPr>
          <w:rFonts w:cs="Arial"/>
        </w:rPr>
        <w:t>por sus aportaciones en la modelistica y la disposición de brindar</w:t>
      </w:r>
      <w:r w:rsidR="00CB7E43">
        <w:rPr>
          <w:rFonts w:cs="Arial"/>
        </w:rPr>
        <w:t xml:space="preserve"> los</w:t>
      </w:r>
      <w:r w:rsidR="00F74AAC">
        <w:rPr>
          <w:rFonts w:cs="Arial"/>
        </w:rPr>
        <w:t xml:space="preserve"> datos</w:t>
      </w:r>
      <w:r w:rsidR="00CB7E43">
        <w:rPr>
          <w:rFonts w:cs="Arial"/>
        </w:rPr>
        <w:t xml:space="preserve"> necesarios para el proyecto</w:t>
      </w:r>
      <w:r w:rsidR="00F74AAC">
        <w:rPr>
          <w:rFonts w:cs="Arial"/>
        </w:rPr>
        <w:t xml:space="preserve"> </w:t>
      </w:r>
      <w:r w:rsidR="00CB7E43">
        <w:rPr>
          <w:rFonts w:cs="Arial"/>
        </w:rPr>
        <w:t>de Graduación.</w:t>
      </w:r>
    </w:p>
    <w:p w14:paraId="47B0C193" w14:textId="62FEF4F3" w:rsidR="00DE18F7" w:rsidRDefault="00DE18F7" w:rsidP="00C139E7">
      <w:pPr>
        <w:spacing w:line="240" w:lineRule="auto"/>
        <w:jc w:val="center"/>
        <w:rPr>
          <w:rFonts w:cs="Arial"/>
        </w:rPr>
      </w:pPr>
    </w:p>
    <w:p w14:paraId="74E22397" w14:textId="77777777" w:rsidR="005A1F90" w:rsidRDefault="005A1F90" w:rsidP="005A1F90">
      <w:pPr>
        <w:spacing w:line="240" w:lineRule="auto"/>
        <w:jc w:val="center"/>
        <w:rPr>
          <w:rFonts w:cs="Arial"/>
        </w:rPr>
      </w:pPr>
      <w:r>
        <w:rPr>
          <w:rFonts w:cs="Arial"/>
        </w:rPr>
        <w:t>Al lector e investigador Francisco Sancho Mora quién ha estado proceso de elaboración de resultados y ha brindado ayuda analítica en tema de reforma del IVA.</w:t>
      </w:r>
    </w:p>
    <w:p w14:paraId="227C3D89" w14:textId="77777777" w:rsidR="005A1F90" w:rsidRDefault="005A1F90" w:rsidP="005A1F90">
      <w:pPr>
        <w:spacing w:line="240" w:lineRule="auto"/>
        <w:jc w:val="center"/>
        <w:rPr>
          <w:rFonts w:cs="Arial"/>
        </w:rPr>
      </w:pPr>
    </w:p>
    <w:p w14:paraId="135176FB" w14:textId="7BA85D29" w:rsidR="005A1F90" w:rsidRDefault="005A1F90" w:rsidP="005A1F90">
      <w:pPr>
        <w:spacing w:line="240" w:lineRule="auto"/>
        <w:jc w:val="center"/>
        <w:rPr>
          <w:rFonts w:cs="Arial"/>
        </w:rPr>
      </w:pPr>
      <w:r>
        <w:rPr>
          <w:rFonts w:cs="Arial"/>
        </w:rPr>
        <w:t>A la profesora y Directora Shirley Benavides</w:t>
      </w:r>
      <w:r w:rsidR="002C7572">
        <w:rPr>
          <w:rFonts w:cs="Arial"/>
        </w:rPr>
        <w:t xml:space="preserve"> Vindas</w:t>
      </w:r>
      <w:r>
        <w:rPr>
          <w:rFonts w:cs="Arial"/>
        </w:rPr>
        <w:t xml:space="preserve"> por la ayuda metodológica </w:t>
      </w:r>
      <w:r w:rsidR="002F3554">
        <w:rPr>
          <w:rFonts w:cs="Arial"/>
        </w:rPr>
        <w:t xml:space="preserve">para </w:t>
      </w:r>
      <w:r>
        <w:rPr>
          <w:rFonts w:cs="Arial"/>
        </w:rPr>
        <w:t>poder realizar este proyecto de graduación.</w:t>
      </w:r>
    </w:p>
    <w:p w14:paraId="7A750148" w14:textId="75BF190B" w:rsidR="00DE18F7" w:rsidRDefault="00DE18F7" w:rsidP="00C139E7">
      <w:pPr>
        <w:spacing w:line="240" w:lineRule="auto"/>
        <w:jc w:val="center"/>
        <w:rPr>
          <w:rFonts w:cs="Arial"/>
        </w:rPr>
      </w:pPr>
    </w:p>
    <w:p w14:paraId="3F30BECC" w14:textId="77777777" w:rsidR="00DE18F7" w:rsidRDefault="00DE18F7" w:rsidP="00C139E7">
      <w:pPr>
        <w:spacing w:line="240" w:lineRule="auto"/>
        <w:jc w:val="center"/>
        <w:rPr>
          <w:rFonts w:cs="Arial"/>
        </w:rPr>
      </w:pPr>
    </w:p>
    <w:p w14:paraId="6FF9658A" w14:textId="77777777" w:rsidR="00F74AAC" w:rsidRDefault="00F74AAC" w:rsidP="00C139E7">
      <w:pPr>
        <w:spacing w:line="240" w:lineRule="auto"/>
        <w:jc w:val="center"/>
        <w:rPr>
          <w:rFonts w:cs="Arial"/>
        </w:rPr>
      </w:pPr>
    </w:p>
    <w:p w14:paraId="588E9A63" w14:textId="77777777" w:rsidR="00F74AAC" w:rsidRDefault="00F74AAC" w:rsidP="00C139E7">
      <w:pPr>
        <w:spacing w:line="240" w:lineRule="auto"/>
        <w:jc w:val="center"/>
        <w:rPr>
          <w:rFonts w:cs="Arial"/>
        </w:rPr>
      </w:pPr>
    </w:p>
    <w:p w14:paraId="131D822F" w14:textId="4DB94B67" w:rsidR="00F74AAC" w:rsidRPr="00F13E7F" w:rsidRDefault="00F74AAC" w:rsidP="00C139E7">
      <w:pPr>
        <w:spacing w:line="240" w:lineRule="auto"/>
        <w:jc w:val="center"/>
        <w:rPr>
          <w:rFonts w:cs="Arial"/>
        </w:rPr>
        <w:sectPr w:rsidR="00F74AAC" w:rsidRPr="00F13E7F" w:rsidSect="00026DD2">
          <w:footerReference w:type="first" r:id="rId14"/>
          <w:pgSz w:w="11906" w:h="16838"/>
          <w:pgMar w:top="1417" w:right="1701" w:bottom="1417" w:left="1701" w:header="708" w:footer="708" w:gutter="0"/>
          <w:pgNumType w:fmt="upperRoman"/>
          <w:cols w:space="708"/>
          <w:titlePg/>
          <w:docGrid w:linePitch="360"/>
        </w:sectPr>
      </w:pPr>
    </w:p>
    <w:p w14:paraId="1FDDB75E" w14:textId="0C86CA84" w:rsidR="00C05FF9" w:rsidRDefault="00E371DF" w:rsidP="00C139E7">
      <w:pPr>
        <w:pStyle w:val="Heading1"/>
        <w:spacing w:line="240" w:lineRule="auto"/>
      </w:pPr>
      <w:bookmarkStart w:id="6" w:name="_Toc2853739"/>
      <w:r>
        <w:lastRenderedPageBreak/>
        <w:t>Resumen</w:t>
      </w:r>
      <w:bookmarkEnd w:id="6"/>
    </w:p>
    <w:p w14:paraId="3BF6DC15" w14:textId="20E41931" w:rsidR="00662FA0" w:rsidRPr="008B1737" w:rsidRDefault="00662FA0" w:rsidP="00662FA0">
      <w:pPr>
        <w:spacing w:line="240" w:lineRule="auto"/>
      </w:pPr>
      <w:r w:rsidRPr="002970F1">
        <w:t xml:space="preserve">La delicada situación fiscal que enfrenta Costa Rica </w:t>
      </w:r>
      <w:r w:rsidR="001D6E7A" w:rsidRPr="002970F1">
        <w:t>h</w:t>
      </w:r>
      <w:r w:rsidRPr="002970F1">
        <w:t xml:space="preserve">a generado la necesidad de realizar una reforma tributaria para </w:t>
      </w:r>
      <w:r w:rsidR="00125770" w:rsidRPr="002970F1">
        <w:t>estabilizar</w:t>
      </w:r>
      <w:r w:rsidRPr="002970F1">
        <w:t xml:space="preserve"> el nivel del déficit</w:t>
      </w:r>
      <w:r w:rsidR="00380F96" w:rsidRPr="002970F1">
        <w:t xml:space="preserve"> y garantizar </w:t>
      </w:r>
      <w:r w:rsidR="003A0DE9" w:rsidRPr="002970F1">
        <w:t>la sostenibilidad en el largo plazo</w:t>
      </w:r>
      <w:r w:rsidRPr="002970F1">
        <w:t xml:space="preserve">. Entre los pilares de la distintas reformas propuestas, se encuentra la transformación del </w:t>
      </w:r>
      <w:r w:rsidR="002F3554" w:rsidRPr="002970F1">
        <w:t>I</w:t>
      </w:r>
      <w:r w:rsidRPr="002970F1">
        <w:t xml:space="preserve">mpuesto </w:t>
      </w:r>
      <w:r w:rsidR="002F3554" w:rsidRPr="002970F1">
        <w:t>G</w:t>
      </w:r>
      <w:r w:rsidRPr="002970F1">
        <w:t xml:space="preserve">eneral sobre las </w:t>
      </w:r>
      <w:r w:rsidR="002F3554" w:rsidRPr="002970F1">
        <w:t>V</w:t>
      </w:r>
      <w:r w:rsidRPr="002970F1">
        <w:t>entas en un Impuesto al Valor Agregado</w:t>
      </w:r>
      <w:r w:rsidR="0099696A" w:rsidRPr="002970F1">
        <w:t xml:space="preserve">. </w:t>
      </w:r>
      <w:r w:rsidR="00470988" w:rsidRPr="002970F1">
        <w:t xml:space="preserve">La actualización pasa a ser una necesidad debido </w:t>
      </w:r>
      <w:r w:rsidR="001327CC" w:rsidRPr="002970F1">
        <w:t xml:space="preserve">a que la </w:t>
      </w:r>
      <w:r w:rsidR="00470988" w:rsidRPr="002970F1">
        <w:t>dinámica</w:t>
      </w:r>
      <w:r w:rsidR="001327CC" w:rsidRPr="002970F1">
        <w:t xml:space="preserve"> de la economía</w:t>
      </w:r>
      <w:r w:rsidR="006E2072" w:rsidRPr="002970F1">
        <w:t xml:space="preserve"> ha cambiado desde la formulación de este impuesto, en 1982.</w:t>
      </w:r>
      <w:r w:rsidR="001327CC" w:rsidRPr="002970F1">
        <w:t xml:space="preserve"> </w:t>
      </w:r>
      <w:r w:rsidR="0099696A" w:rsidRPr="002970F1">
        <w:t>En este proyecto de tesis se analiza la incidencia que tiene este impuesto</w:t>
      </w:r>
      <w:r w:rsidR="00A05438" w:rsidRPr="002970F1">
        <w:t>, de naturaleza regresivo,</w:t>
      </w:r>
      <w:r w:rsidR="0099696A" w:rsidRPr="002970F1">
        <w:t xml:space="preserve"> en los </w:t>
      </w:r>
      <w:r w:rsidR="00111F9B" w:rsidRPr="002970F1">
        <w:t>hogares mediante un Modelo de Equilibrio General</w:t>
      </w:r>
      <w:r w:rsidR="002970F1" w:rsidRPr="002970F1">
        <w:t xml:space="preserve"> Computable</w:t>
      </w:r>
      <w:r w:rsidR="00111F9B" w:rsidRPr="002970F1">
        <w:t xml:space="preserve">, </w:t>
      </w:r>
      <w:r w:rsidR="00470988" w:rsidRPr="002970F1">
        <w:t>permitiendo</w:t>
      </w:r>
      <w:r w:rsidR="00111F9B" w:rsidRPr="002970F1">
        <w:t xml:space="preserve"> saber las implicaciones macroeconómicas de esta transformación</w:t>
      </w:r>
      <w:r w:rsidR="00055FF7" w:rsidRPr="002970F1">
        <w:t>.</w:t>
      </w:r>
    </w:p>
    <w:p w14:paraId="1D247FC2" w14:textId="1C45F398" w:rsidR="00AA0A15" w:rsidRDefault="00AA0A15" w:rsidP="00B153DE">
      <w:pPr>
        <w:spacing w:line="240" w:lineRule="auto"/>
      </w:pPr>
    </w:p>
    <w:p w14:paraId="429ED7F3" w14:textId="7AABBF46" w:rsidR="00B153DE" w:rsidRDefault="00B153DE">
      <w:pPr>
        <w:jc w:val="left"/>
      </w:pPr>
      <w:r>
        <w:br w:type="page"/>
      </w:r>
    </w:p>
    <w:bookmarkStart w:id="7" w:name="_Toc2853740" w:displacedByCustomXml="next"/>
    <w:sdt>
      <w:sdtPr>
        <w:rPr>
          <w:rFonts w:ascii="Arial" w:eastAsiaTheme="minorHAnsi" w:hAnsi="Arial" w:cs="Arial"/>
          <w:color w:val="auto"/>
          <w:sz w:val="24"/>
          <w:szCs w:val="22"/>
          <w:lang w:eastAsia="en-US"/>
        </w:rPr>
        <w:id w:val="1973017032"/>
        <w:docPartObj>
          <w:docPartGallery w:val="Table of Contents"/>
          <w:docPartUnique/>
        </w:docPartObj>
      </w:sdtPr>
      <w:sdtEndPr>
        <w:rPr>
          <w:rFonts w:eastAsia="Times New Roman"/>
          <w:b/>
          <w:bCs/>
          <w:szCs w:val="24"/>
          <w:lang w:eastAsia="es-ES"/>
        </w:rPr>
      </w:sdtEndPr>
      <w:sdtContent>
        <w:p w14:paraId="08FD8542" w14:textId="0E7D8CE9" w:rsidR="002348BA" w:rsidRPr="0099696A" w:rsidRDefault="002348BA" w:rsidP="002E5B0A">
          <w:pPr>
            <w:pStyle w:val="TOCHeading"/>
            <w:spacing w:line="240" w:lineRule="auto"/>
            <w:outlineLvl w:val="0"/>
            <w:rPr>
              <w:rStyle w:val="Heading1Char"/>
              <w:rFonts w:cs="Arial"/>
              <w:color w:val="auto"/>
            </w:rPr>
          </w:pPr>
          <w:r w:rsidRPr="00030893">
            <w:rPr>
              <w:rStyle w:val="Heading1Char"/>
              <w:rFonts w:cs="Arial"/>
              <w:color w:val="auto"/>
            </w:rPr>
            <w:t>Índice</w:t>
          </w:r>
          <w:r w:rsidR="00F745DB" w:rsidRPr="00030893">
            <w:rPr>
              <w:rStyle w:val="Heading1Char"/>
              <w:rFonts w:cs="Arial"/>
              <w:color w:val="auto"/>
            </w:rPr>
            <w:t xml:space="preserve"> de </w:t>
          </w:r>
          <w:r w:rsidR="00F90FAA">
            <w:rPr>
              <w:rStyle w:val="Heading1Char"/>
              <w:rFonts w:cs="Arial"/>
              <w:color w:val="auto"/>
            </w:rPr>
            <w:t>C</w:t>
          </w:r>
          <w:r w:rsidR="00F745DB" w:rsidRPr="00030893">
            <w:rPr>
              <w:rStyle w:val="Heading1Char"/>
              <w:rFonts w:cs="Arial"/>
              <w:color w:val="auto"/>
            </w:rPr>
            <w:t>ontenido</w:t>
          </w:r>
          <w:bookmarkEnd w:id="7"/>
        </w:p>
        <w:p w14:paraId="20011E4B" w14:textId="7DD5D6E4" w:rsidR="0079239B" w:rsidRDefault="00031864">
          <w:pPr>
            <w:pStyle w:val="TOC1"/>
            <w:tabs>
              <w:tab w:val="right" w:leader="dot" w:pos="8494"/>
            </w:tabs>
            <w:rPr>
              <w:rFonts w:asciiTheme="minorHAnsi" w:eastAsiaTheme="minorEastAsia" w:hAnsiTheme="minorHAnsi" w:cstheme="minorBidi"/>
              <w:noProof/>
              <w:sz w:val="22"/>
              <w:szCs w:val="22"/>
              <w:lang w:val="en-US" w:eastAsia="en-US"/>
            </w:rPr>
          </w:pPr>
          <w:r>
            <w:rPr>
              <w:rFonts w:cs="Arial"/>
            </w:rPr>
            <w:fldChar w:fldCharType="begin"/>
          </w:r>
          <w:r>
            <w:rPr>
              <w:rFonts w:cs="Arial"/>
            </w:rPr>
            <w:instrText xml:space="preserve"> TOC \o "1-3" \h \z \u </w:instrText>
          </w:r>
          <w:r>
            <w:rPr>
              <w:rFonts w:cs="Arial"/>
            </w:rPr>
            <w:fldChar w:fldCharType="separate"/>
          </w:r>
          <w:hyperlink w:anchor="_Toc2853734" w:history="1">
            <w:r w:rsidR="0079239B" w:rsidRPr="0076690E">
              <w:rPr>
                <w:rStyle w:val="Hyperlink"/>
                <w:rFonts w:cs="Arial"/>
                <w:noProof/>
              </w:rPr>
              <w:t>Portada</w:t>
            </w:r>
            <w:r w:rsidR="0079239B">
              <w:rPr>
                <w:noProof/>
                <w:webHidden/>
              </w:rPr>
              <w:tab/>
            </w:r>
            <w:r w:rsidR="0079239B">
              <w:rPr>
                <w:noProof/>
                <w:webHidden/>
              </w:rPr>
              <w:fldChar w:fldCharType="begin"/>
            </w:r>
            <w:r w:rsidR="0079239B">
              <w:rPr>
                <w:noProof/>
                <w:webHidden/>
              </w:rPr>
              <w:instrText xml:space="preserve"> PAGEREF _Toc2853734 \h </w:instrText>
            </w:r>
            <w:r w:rsidR="0079239B">
              <w:rPr>
                <w:noProof/>
                <w:webHidden/>
              </w:rPr>
            </w:r>
            <w:r w:rsidR="0079239B">
              <w:rPr>
                <w:noProof/>
                <w:webHidden/>
              </w:rPr>
              <w:fldChar w:fldCharType="separate"/>
            </w:r>
            <w:r w:rsidR="0079239B">
              <w:rPr>
                <w:noProof/>
                <w:webHidden/>
              </w:rPr>
              <w:t>I</w:t>
            </w:r>
            <w:r w:rsidR="0079239B">
              <w:rPr>
                <w:noProof/>
                <w:webHidden/>
              </w:rPr>
              <w:fldChar w:fldCharType="end"/>
            </w:r>
          </w:hyperlink>
        </w:p>
        <w:p w14:paraId="65F3EC4D" w14:textId="2107FE15" w:rsidR="0079239B" w:rsidRDefault="00FA183A">
          <w:pPr>
            <w:pStyle w:val="TOC1"/>
            <w:tabs>
              <w:tab w:val="right" w:leader="dot" w:pos="8494"/>
            </w:tabs>
            <w:rPr>
              <w:rFonts w:asciiTheme="minorHAnsi" w:eastAsiaTheme="minorEastAsia" w:hAnsiTheme="minorHAnsi" w:cstheme="minorBidi"/>
              <w:noProof/>
              <w:sz w:val="22"/>
              <w:szCs w:val="22"/>
              <w:lang w:val="en-US" w:eastAsia="en-US"/>
            </w:rPr>
          </w:pPr>
          <w:hyperlink w:anchor="_Toc2853735" w:history="1">
            <w:r w:rsidR="0079239B" w:rsidRPr="0076690E">
              <w:rPr>
                <w:rStyle w:val="Hyperlink"/>
                <w:rFonts w:cs="Arial"/>
                <w:noProof/>
              </w:rPr>
              <w:t>Portada interna</w:t>
            </w:r>
            <w:r w:rsidR="0079239B">
              <w:rPr>
                <w:noProof/>
                <w:webHidden/>
              </w:rPr>
              <w:tab/>
            </w:r>
            <w:r w:rsidR="0079239B">
              <w:rPr>
                <w:noProof/>
                <w:webHidden/>
              </w:rPr>
              <w:fldChar w:fldCharType="begin"/>
            </w:r>
            <w:r w:rsidR="0079239B">
              <w:rPr>
                <w:noProof/>
                <w:webHidden/>
              </w:rPr>
              <w:instrText xml:space="preserve"> PAGEREF _Toc2853735 \h </w:instrText>
            </w:r>
            <w:r w:rsidR="0079239B">
              <w:rPr>
                <w:noProof/>
                <w:webHidden/>
              </w:rPr>
            </w:r>
            <w:r w:rsidR="0079239B">
              <w:rPr>
                <w:noProof/>
                <w:webHidden/>
              </w:rPr>
              <w:fldChar w:fldCharType="separate"/>
            </w:r>
            <w:r w:rsidR="0079239B">
              <w:rPr>
                <w:noProof/>
                <w:webHidden/>
              </w:rPr>
              <w:t>II</w:t>
            </w:r>
            <w:r w:rsidR="0079239B">
              <w:rPr>
                <w:noProof/>
                <w:webHidden/>
              </w:rPr>
              <w:fldChar w:fldCharType="end"/>
            </w:r>
          </w:hyperlink>
        </w:p>
        <w:p w14:paraId="59BD23A2" w14:textId="36577095" w:rsidR="0079239B" w:rsidRDefault="00FA183A">
          <w:pPr>
            <w:pStyle w:val="TOC1"/>
            <w:tabs>
              <w:tab w:val="right" w:leader="dot" w:pos="8494"/>
            </w:tabs>
            <w:rPr>
              <w:rFonts w:asciiTheme="minorHAnsi" w:eastAsiaTheme="minorEastAsia" w:hAnsiTheme="minorHAnsi" w:cstheme="minorBidi"/>
              <w:noProof/>
              <w:sz w:val="22"/>
              <w:szCs w:val="22"/>
              <w:lang w:val="en-US" w:eastAsia="en-US"/>
            </w:rPr>
          </w:pPr>
          <w:hyperlink w:anchor="_Toc2853736" w:history="1">
            <w:r w:rsidR="0079239B" w:rsidRPr="0076690E">
              <w:rPr>
                <w:rStyle w:val="Hyperlink"/>
                <w:noProof/>
              </w:rPr>
              <w:t>Hoja con firmas de miembros del Tribunal Examinado</w:t>
            </w:r>
            <w:r w:rsidR="0079239B">
              <w:rPr>
                <w:noProof/>
                <w:webHidden/>
              </w:rPr>
              <w:tab/>
            </w:r>
            <w:r w:rsidR="0079239B">
              <w:rPr>
                <w:noProof/>
                <w:webHidden/>
              </w:rPr>
              <w:fldChar w:fldCharType="begin"/>
            </w:r>
            <w:r w:rsidR="0079239B">
              <w:rPr>
                <w:noProof/>
                <w:webHidden/>
              </w:rPr>
              <w:instrText xml:space="preserve"> PAGEREF _Toc2853736 \h </w:instrText>
            </w:r>
            <w:r w:rsidR="0079239B">
              <w:rPr>
                <w:noProof/>
                <w:webHidden/>
              </w:rPr>
            </w:r>
            <w:r w:rsidR="0079239B">
              <w:rPr>
                <w:noProof/>
                <w:webHidden/>
              </w:rPr>
              <w:fldChar w:fldCharType="separate"/>
            </w:r>
            <w:r w:rsidR="0079239B">
              <w:rPr>
                <w:noProof/>
                <w:webHidden/>
              </w:rPr>
              <w:t>III</w:t>
            </w:r>
            <w:r w:rsidR="0079239B">
              <w:rPr>
                <w:noProof/>
                <w:webHidden/>
              </w:rPr>
              <w:fldChar w:fldCharType="end"/>
            </w:r>
          </w:hyperlink>
        </w:p>
        <w:p w14:paraId="480CD9A3" w14:textId="62FA830A" w:rsidR="0079239B" w:rsidRDefault="00FA183A">
          <w:pPr>
            <w:pStyle w:val="TOC1"/>
            <w:tabs>
              <w:tab w:val="right" w:leader="dot" w:pos="8494"/>
            </w:tabs>
            <w:rPr>
              <w:rFonts w:asciiTheme="minorHAnsi" w:eastAsiaTheme="minorEastAsia" w:hAnsiTheme="minorHAnsi" w:cstheme="minorBidi"/>
              <w:noProof/>
              <w:sz w:val="22"/>
              <w:szCs w:val="22"/>
              <w:lang w:val="en-US" w:eastAsia="en-US"/>
            </w:rPr>
          </w:pPr>
          <w:hyperlink w:anchor="_Toc2853737" w:history="1">
            <w:r w:rsidR="0079239B" w:rsidRPr="0076690E">
              <w:rPr>
                <w:rStyle w:val="Hyperlink"/>
                <w:noProof/>
              </w:rPr>
              <w:t>Dedicatoria</w:t>
            </w:r>
            <w:r w:rsidR="0079239B">
              <w:rPr>
                <w:noProof/>
                <w:webHidden/>
              </w:rPr>
              <w:tab/>
            </w:r>
            <w:r w:rsidR="0079239B">
              <w:rPr>
                <w:noProof/>
                <w:webHidden/>
              </w:rPr>
              <w:fldChar w:fldCharType="begin"/>
            </w:r>
            <w:r w:rsidR="0079239B">
              <w:rPr>
                <w:noProof/>
                <w:webHidden/>
              </w:rPr>
              <w:instrText xml:space="preserve"> PAGEREF _Toc2853737 \h </w:instrText>
            </w:r>
            <w:r w:rsidR="0079239B">
              <w:rPr>
                <w:noProof/>
                <w:webHidden/>
              </w:rPr>
            </w:r>
            <w:r w:rsidR="0079239B">
              <w:rPr>
                <w:noProof/>
                <w:webHidden/>
              </w:rPr>
              <w:fldChar w:fldCharType="separate"/>
            </w:r>
            <w:r w:rsidR="0079239B">
              <w:rPr>
                <w:noProof/>
                <w:webHidden/>
              </w:rPr>
              <w:t>IV</w:t>
            </w:r>
            <w:r w:rsidR="0079239B">
              <w:rPr>
                <w:noProof/>
                <w:webHidden/>
              </w:rPr>
              <w:fldChar w:fldCharType="end"/>
            </w:r>
          </w:hyperlink>
        </w:p>
        <w:p w14:paraId="30062F9D" w14:textId="7D647EEF" w:rsidR="0079239B" w:rsidRDefault="00FA183A">
          <w:pPr>
            <w:pStyle w:val="TOC1"/>
            <w:tabs>
              <w:tab w:val="right" w:leader="dot" w:pos="8494"/>
            </w:tabs>
            <w:rPr>
              <w:rFonts w:asciiTheme="minorHAnsi" w:eastAsiaTheme="minorEastAsia" w:hAnsiTheme="minorHAnsi" w:cstheme="minorBidi"/>
              <w:noProof/>
              <w:sz w:val="22"/>
              <w:szCs w:val="22"/>
              <w:lang w:val="en-US" w:eastAsia="en-US"/>
            </w:rPr>
          </w:pPr>
          <w:hyperlink w:anchor="_Toc2853738" w:history="1">
            <w:r w:rsidR="0079239B" w:rsidRPr="0076690E">
              <w:rPr>
                <w:rStyle w:val="Hyperlink"/>
                <w:noProof/>
                <w:lang w:eastAsia="en-US"/>
              </w:rPr>
              <w:t>Agradecimientos</w:t>
            </w:r>
            <w:r w:rsidR="0079239B">
              <w:rPr>
                <w:noProof/>
                <w:webHidden/>
              </w:rPr>
              <w:tab/>
            </w:r>
            <w:r w:rsidR="0079239B">
              <w:rPr>
                <w:noProof/>
                <w:webHidden/>
              </w:rPr>
              <w:fldChar w:fldCharType="begin"/>
            </w:r>
            <w:r w:rsidR="0079239B">
              <w:rPr>
                <w:noProof/>
                <w:webHidden/>
              </w:rPr>
              <w:instrText xml:space="preserve"> PAGEREF _Toc2853738 \h </w:instrText>
            </w:r>
            <w:r w:rsidR="0079239B">
              <w:rPr>
                <w:noProof/>
                <w:webHidden/>
              </w:rPr>
            </w:r>
            <w:r w:rsidR="0079239B">
              <w:rPr>
                <w:noProof/>
                <w:webHidden/>
              </w:rPr>
              <w:fldChar w:fldCharType="separate"/>
            </w:r>
            <w:r w:rsidR="0079239B">
              <w:rPr>
                <w:noProof/>
                <w:webHidden/>
              </w:rPr>
              <w:t>V</w:t>
            </w:r>
            <w:r w:rsidR="0079239B">
              <w:rPr>
                <w:noProof/>
                <w:webHidden/>
              </w:rPr>
              <w:fldChar w:fldCharType="end"/>
            </w:r>
          </w:hyperlink>
        </w:p>
        <w:p w14:paraId="785D5500" w14:textId="3CD3C8A8" w:rsidR="0079239B" w:rsidRDefault="00FA183A">
          <w:pPr>
            <w:pStyle w:val="TOC1"/>
            <w:tabs>
              <w:tab w:val="right" w:leader="dot" w:pos="8494"/>
            </w:tabs>
            <w:rPr>
              <w:rFonts w:asciiTheme="minorHAnsi" w:eastAsiaTheme="minorEastAsia" w:hAnsiTheme="minorHAnsi" w:cstheme="minorBidi"/>
              <w:noProof/>
              <w:sz w:val="22"/>
              <w:szCs w:val="22"/>
              <w:lang w:val="en-US" w:eastAsia="en-US"/>
            </w:rPr>
          </w:pPr>
          <w:hyperlink w:anchor="_Toc2853739" w:history="1">
            <w:r w:rsidR="0079239B" w:rsidRPr="0076690E">
              <w:rPr>
                <w:rStyle w:val="Hyperlink"/>
                <w:noProof/>
              </w:rPr>
              <w:t>Resumen</w:t>
            </w:r>
            <w:r w:rsidR="0079239B">
              <w:rPr>
                <w:noProof/>
                <w:webHidden/>
              </w:rPr>
              <w:tab/>
            </w:r>
            <w:r w:rsidR="0079239B">
              <w:rPr>
                <w:noProof/>
                <w:webHidden/>
              </w:rPr>
              <w:fldChar w:fldCharType="begin"/>
            </w:r>
            <w:r w:rsidR="0079239B">
              <w:rPr>
                <w:noProof/>
                <w:webHidden/>
              </w:rPr>
              <w:instrText xml:space="preserve"> PAGEREF _Toc2853739 \h </w:instrText>
            </w:r>
            <w:r w:rsidR="0079239B">
              <w:rPr>
                <w:noProof/>
                <w:webHidden/>
              </w:rPr>
            </w:r>
            <w:r w:rsidR="0079239B">
              <w:rPr>
                <w:noProof/>
                <w:webHidden/>
              </w:rPr>
              <w:fldChar w:fldCharType="separate"/>
            </w:r>
            <w:r w:rsidR="0079239B">
              <w:rPr>
                <w:noProof/>
                <w:webHidden/>
              </w:rPr>
              <w:t>VI</w:t>
            </w:r>
            <w:r w:rsidR="0079239B">
              <w:rPr>
                <w:noProof/>
                <w:webHidden/>
              </w:rPr>
              <w:fldChar w:fldCharType="end"/>
            </w:r>
          </w:hyperlink>
        </w:p>
        <w:p w14:paraId="2F92DF55" w14:textId="526CB31C" w:rsidR="0079239B" w:rsidRDefault="00FA183A">
          <w:pPr>
            <w:pStyle w:val="TOC1"/>
            <w:tabs>
              <w:tab w:val="right" w:leader="dot" w:pos="8494"/>
            </w:tabs>
            <w:rPr>
              <w:rFonts w:asciiTheme="minorHAnsi" w:eastAsiaTheme="minorEastAsia" w:hAnsiTheme="minorHAnsi" w:cstheme="minorBidi"/>
              <w:noProof/>
              <w:sz w:val="22"/>
              <w:szCs w:val="22"/>
              <w:lang w:val="en-US" w:eastAsia="en-US"/>
            </w:rPr>
          </w:pPr>
          <w:hyperlink w:anchor="_Toc2853740" w:history="1">
            <w:r w:rsidR="0079239B" w:rsidRPr="0076690E">
              <w:rPr>
                <w:rStyle w:val="Hyperlink"/>
                <w:rFonts w:cs="Arial"/>
                <w:noProof/>
                <w:lang w:eastAsia="en-US"/>
              </w:rPr>
              <w:t>Índice de Contenido</w:t>
            </w:r>
            <w:r w:rsidR="0079239B">
              <w:rPr>
                <w:noProof/>
                <w:webHidden/>
              </w:rPr>
              <w:tab/>
            </w:r>
            <w:r w:rsidR="0079239B">
              <w:rPr>
                <w:noProof/>
                <w:webHidden/>
              </w:rPr>
              <w:fldChar w:fldCharType="begin"/>
            </w:r>
            <w:r w:rsidR="0079239B">
              <w:rPr>
                <w:noProof/>
                <w:webHidden/>
              </w:rPr>
              <w:instrText xml:space="preserve"> PAGEREF _Toc2853740 \h </w:instrText>
            </w:r>
            <w:r w:rsidR="0079239B">
              <w:rPr>
                <w:noProof/>
                <w:webHidden/>
              </w:rPr>
            </w:r>
            <w:r w:rsidR="0079239B">
              <w:rPr>
                <w:noProof/>
                <w:webHidden/>
              </w:rPr>
              <w:fldChar w:fldCharType="separate"/>
            </w:r>
            <w:r w:rsidR="0079239B">
              <w:rPr>
                <w:noProof/>
                <w:webHidden/>
              </w:rPr>
              <w:t>VII</w:t>
            </w:r>
            <w:r w:rsidR="0079239B">
              <w:rPr>
                <w:noProof/>
                <w:webHidden/>
              </w:rPr>
              <w:fldChar w:fldCharType="end"/>
            </w:r>
          </w:hyperlink>
        </w:p>
        <w:p w14:paraId="308E7CF2" w14:textId="5993EF63" w:rsidR="0079239B" w:rsidRDefault="00FA183A">
          <w:pPr>
            <w:pStyle w:val="TOC1"/>
            <w:tabs>
              <w:tab w:val="right" w:leader="dot" w:pos="8494"/>
            </w:tabs>
            <w:rPr>
              <w:rFonts w:asciiTheme="minorHAnsi" w:eastAsiaTheme="minorEastAsia" w:hAnsiTheme="minorHAnsi" w:cstheme="minorBidi"/>
              <w:noProof/>
              <w:sz w:val="22"/>
              <w:szCs w:val="22"/>
              <w:lang w:val="en-US" w:eastAsia="en-US"/>
            </w:rPr>
          </w:pPr>
          <w:hyperlink w:anchor="_Toc2853741" w:history="1">
            <w:r w:rsidR="0079239B" w:rsidRPr="0076690E">
              <w:rPr>
                <w:rStyle w:val="Hyperlink"/>
                <w:noProof/>
              </w:rPr>
              <w:t>Índice de Figuras</w:t>
            </w:r>
            <w:r w:rsidR="0079239B">
              <w:rPr>
                <w:noProof/>
                <w:webHidden/>
              </w:rPr>
              <w:tab/>
            </w:r>
            <w:r w:rsidR="0079239B">
              <w:rPr>
                <w:noProof/>
                <w:webHidden/>
              </w:rPr>
              <w:fldChar w:fldCharType="begin"/>
            </w:r>
            <w:r w:rsidR="0079239B">
              <w:rPr>
                <w:noProof/>
                <w:webHidden/>
              </w:rPr>
              <w:instrText xml:space="preserve"> PAGEREF _Toc2853741 \h </w:instrText>
            </w:r>
            <w:r w:rsidR="0079239B">
              <w:rPr>
                <w:noProof/>
                <w:webHidden/>
              </w:rPr>
            </w:r>
            <w:r w:rsidR="0079239B">
              <w:rPr>
                <w:noProof/>
                <w:webHidden/>
              </w:rPr>
              <w:fldChar w:fldCharType="separate"/>
            </w:r>
            <w:r w:rsidR="0079239B">
              <w:rPr>
                <w:noProof/>
                <w:webHidden/>
              </w:rPr>
              <w:t>IX</w:t>
            </w:r>
            <w:r w:rsidR="0079239B">
              <w:rPr>
                <w:noProof/>
                <w:webHidden/>
              </w:rPr>
              <w:fldChar w:fldCharType="end"/>
            </w:r>
          </w:hyperlink>
        </w:p>
        <w:p w14:paraId="655C2B2D" w14:textId="367C1C16" w:rsidR="0079239B" w:rsidRDefault="00FA183A">
          <w:pPr>
            <w:pStyle w:val="TOC1"/>
            <w:tabs>
              <w:tab w:val="right" w:leader="dot" w:pos="8494"/>
            </w:tabs>
            <w:rPr>
              <w:rFonts w:asciiTheme="minorHAnsi" w:eastAsiaTheme="minorEastAsia" w:hAnsiTheme="minorHAnsi" w:cstheme="minorBidi"/>
              <w:noProof/>
              <w:sz w:val="22"/>
              <w:szCs w:val="22"/>
              <w:lang w:val="en-US" w:eastAsia="en-US"/>
            </w:rPr>
          </w:pPr>
          <w:hyperlink w:anchor="_Toc2853742" w:history="1">
            <w:r w:rsidR="0079239B" w:rsidRPr="0076690E">
              <w:rPr>
                <w:rStyle w:val="Hyperlink"/>
                <w:noProof/>
              </w:rPr>
              <w:t>Índice de Tablas</w:t>
            </w:r>
            <w:r w:rsidR="0079239B">
              <w:rPr>
                <w:noProof/>
                <w:webHidden/>
              </w:rPr>
              <w:tab/>
            </w:r>
            <w:r w:rsidR="0079239B">
              <w:rPr>
                <w:noProof/>
                <w:webHidden/>
              </w:rPr>
              <w:fldChar w:fldCharType="begin"/>
            </w:r>
            <w:r w:rsidR="0079239B">
              <w:rPr>
                <w:noProof/>
                <w:webHidden/>
              </w:rPr>
              <w:instrText xml:space="preserve"> PAGEREF _Toc2853742 \h </w:instrText>
            </w:r>
            <w:r w:rsidR="0079239B">
              <w:rPr>
                <w:noProof/>
                <w:webHidden/>
              </w:rPr>
            </w:r>
            <w:r w:rsidR="0079239B">
              <w:rPr>
                <w:noProof/>
                <w:webHidden/>
              </w:rPr>
              <w:fldChar w:fldCharType="separate"/>
            </w:r>
            <w:r w:rsidR="0079239B">
              <w:rPr>
                <w:noProof/>
                <w:webHidden/>
              </w:rPr>
              <w:t>XI</w:t>
            </w:r>
            <w:r w:rsidR="0079239B">
              <w:rPr>
                <w:noProof/>
                <w:webHidden/>
              </w:rPr>
              <w:fldChar w:fldCharType="end"/>
            </w:r>
          </w:hyperlink>
        </w:p>
        <w:p w14:paraId="1BF14055" w14:textId="0F320871" w:rsidR="0079239B" w:rsidRDefault="00FA183A">
          <w:pPr>
            <w:pStyle w:val="TOC1"/>
            <w:tabs>
              <w:tab w:val="right" w:leader="dot" w:pos="8494"/>
            </w:tabs>
            <w:rPr>
              <w:rFonts w:asciiTheme="minorHAnsi" w:eastAsiaTheme="minorEastAsia" w:hAnsiTheme="minorHAnsi" w:cstheme="minorBidi"/>
              <w:noProof/>
              <w:sz w:val="22"/>
              <w:szCs w:val="22"/>
              <w:lang w:val="en-US" w:eastAsia="en-US"/>
            </w:rPr>
          </w:pPr>
          <w:hyperlink w:anchor="_Toc2853743" w:history="1">
            <w:r w:rsidR="0079239B" w:rsidRPr="0076690E">
              <w:rPr>
                <w:rStyle w:val="Hyperlink"/>
                <w:noProof/>
              </w:rPr>
              <w:t>Capítulo I: Contextualización</w:t>
            </w:r>
            <w:r w:rsidR="0079239B">
              <w:rPr>
                <w:noProof/>
                <w:webHidden/>
              </w:rPr>
              <w:tab/>
            </w:r>
            <w:r w:rsidR="0079239B">
              <w:rPr>
                <w:noProof/>
                <w:webHidden/>
              </w:rPr>
              <w:fldChar w:fldCharType="begin"/>
            </w:r>
            <w:r w:rsidR="0079239B">
              <w:rPr>
                <w:noProof/>
                <w:webHidden/>
              </w:rPr>
              <w:instrText xml:space="preserve"> PAGEREF _Toc2853743 \h </w:instrText>
            </w:r>
            <w:r w:rsidR="0079239B">
              <w:rPr>
                <w:noProof/>
                <w:webHidden/>
              </w:rPr>
            </w:r>
            <w:r w:rsidR="0079239B">
              <w:rPr>
                <w:noProof/>
                <w:webHidden/>
              </w:rPr>
              <w:fldChar w:fldCharType="separate"/>
            </w:r>
            <w:r w:rsidR="0079239B">
              <w:rPr>
                <w:noProof/>
                <w:webHidden/>
              </w:rPr>
              <w:t>2</w:t>
            </w:r>
            <w:r w:rsidR="0079239B">
              <w:rPr>
                <w:noProof/>
                <w:webHidden/>
              </w:rPr>
              <w:fldChar w:fldCharType="end"/>
            </w:r>
          </w:hyperlink>
        </w:p>
        <w:p w14:paraId="113DAE56" w14:textId="6D774B38" w:rsidR="0079239B" w:rsidRDefault="00FA183A">
          <w:pPr>
            <w:pStyle w:val="TOC2"/>
            <w:tabs>
              <w:tab w:val="right" w:leader="dot" w:pos="8494"/>
            </w:tabs>
            <w:rPr>
              <w:rFonts w:asciiTheme="minorHAnsi" w:eastAsiaTheme="minorEastAsia" w:hAnsiTheme="minorHAnsi" w:cstheme="minorBidi"/>
              <w:noProof/>
              <w:sz w:val="22"/>
              <w:szCs w:val="22"/>
              <w:lang w:val="en-US" w:eastAsia="en-US"/>
            </w:rPr>
          </w:pPr>
          <w:hyperlink w:anchor="_Toc2853744" w:history="1">
            <w:r w:rsidR="0079239B" w:rsidRPr="0076690E">
              <w:rPr>
                <w:rStyle w:val="Hyperlink"/>
                <w:noProof/>
              </w:rPr>
              <w:t>1.1 Introducción</w:t>
            </w:r>
            <w:r w:rsidR="0079239B">
              <w:rPr>
                <w:noProof/>
                <w:webHidden/>
              </w:rPr>
              <w:tab/>
            </w:r>
            <w:r w:rsidR="0079239B">
              <w:rPr>
                <w:noProof/>
                <w:webHidden/>
              </w:rPr>
              <w:fldChar w:fldCharType="begin"/>
            </w:r>
            <w:r w:rsidR="0079239B">
              <w:rPr>
                <w:noProof/>
                <w:webHidden/>
              </w:rPr>
              <w:instrText xml:space="preserve"> PAGEREF _Toc2853744 \h </w:instrText>
            </w:r>
            <w:r w:rsidR="0079239B">
              <w:rPr>
                <w:noProof/>
                <w:webHidden/>
              </w:rPr>
            </w:r>
            <w:r w:rsidR="0079239B">
              <w:rPr>
                <w:noProof/>
                <w:webHidden/>
              </w:rPr>
              <w:fldChar w:fldCharType="separate"/>
            </w:r>
            <w:r w:rsidR="0079239B">
              <w:rPr>
                <w:noProof/>
                <w:webHidden/>
              </w:rPr>
              <w:t>2</w:t>
            </w:r>
            <w:r w:rsidR="0079239B">
              <w:rPr>
                <w:noProof/>
                <w:webHidden/>
              </w:rPr>
              <w:fldChar w:fldCharType="end"/>
            </w:r>
          </w:hyperlink>
        </w:p>
        <w:p w14:paraId="0655C83A" w14:textId="7FA4E8E0" w:rsidR="0079239B" w:rsidRDefault="00FA183A">
          <w:pPr>
            <w:pStyle w:val="TOC2"/>
            <w:tabs>
              <w:tab w:val="right" w:leader="dot" w:pos="8494"/>
            </w:tabs>
            <w:rPr>
              <w:rFonts w:asciiTheme="minorHAnsi" w:eastAsiaTheme="minorEastAsia" w:hAnsiTheme="minorHAnsi" w:cstheme="minorBidi"/>
              <w:noProof/>
              <w:sz w:val="22"/>
              <w:szCs w:val="22"/>
              <w:lang w:val="en-US" w:eastAsia="en-US"/>
            </w:rPr>
          </w:pPr>
          <w:hyperlink w:anchor="_Toc2853745" w:history="1">
            <w:r w:rsidR="0079239B" w:rsidRPr="0076690E">
              <w:rPr>
                <w:rStyle w:val="Hyperlink"/>
                <w:noProof/>
              </w:rPr>
              <w:t>1.2 Antecedentes</w:t>
            </w:r>
            <w:r w:rsidR="0079239B">
              <w:rPr>
                <w:noProof/>
                <w:webHidden/>
              </w:rPr>
              <w:tab/>
            </w:r>
            <w:r w:rsidR="0079239B">
              <w:rPr>
                <w:noProof/>
                <w:webHidden/>
              </w:rPr>
              <w:fldChar w:fldCharType="begin"/>
            </w:r>
            <w:r w:rsidR="0079239B">
              <w:rPr>
                <w:noProof/>
                <w:webHidden/>
              </w:rPr>
              <w:instrText xml:space="preserve"> PAGEREF _Toc2853745 \h </w:instrText>
            </w:r>
            <w:r w:rsidR="0079239B">
              <w:rPr>
                <w:noProof/>
                <w:webHidden/>
              </w:rPr>
            </w:r>
            <w:r w:rsidR="0079239B">
              <w:rPr>
                <w:noProof/>
                <w:webHidden/>
              </w:rPr>
              <w:fldChar w:fldCharType="separate"/>
            </w:r>
            <w:r w:rsidR="0079239B">
              <w:rPr>
                <w:noProof/>
                <w:webHidden/>
              </w:rPr>
              <w:t>4</w:t>
            </w:r>
            <w:r w:rsidR="0079239B">
              <w:rPr>
                <w:noProof/>
                <w:webHidden/>
              </w:rPr>
              <w:fldChar w:fldCharType="end"/>
            </w:r>
          </w:hyperlink>
        </w:p>
        <w:p w14:paraId="23EF0847" w14:textId="7DF12AAE" w:rsidR="0079239B" w:rsidRDefault="00FA183A">
          <w:pPr>
            <w:pStyle w:val="TOC2"/>
            <w:tabs>
              <w:tab w:val="right" w:leader="dot" w:pos="8494"/>
            </w:tabs>
            <w:rPr>
              <w:rFonts w:asciiTheme="minorHAnsi" w:eastAsiaTheme="minorEastAsia" w:hAnsiTheme="minorHAnsi" w:cstheme="minorBidi"/>
              <w:noProof/>
              <w:sz w:val="22"/>
              <w:szCs w:val="22"/>
              <w:lang w:val="en-US" w:eastAsia="en-US"/>
            </w:rPr>
          </w:pPr>
          <w:hyperlink w:anchor="_Toc2853746" w:history="1">
            <w:r w:rsidR="0079239B" w:rsidRPr="0076690E">
              <w:rPr>
                <w:rStyle w:val="Hyperlink"/>
                <w:noProof/>
              </w:rPr>
              <w:t>1.3 Justificación y Planteamiento del problema</w:t>
            </w:r>
            <w:r w:rsidR="0079239B">
              <w:rPr>
                <w:noProof/>
                <w:webHidden/>
              </w:rPr>
              <w:tab/>
            </w:r>
            <w:r w:rsidR="0079239B">
              <w:rPr>
                <w:noProof/>
                <w:webHidden/>
              </w:rPr>
              <w:fldChar w:fldCharType="begin"/>
            </w:r>
            <w:r w:rsidR="0079239B">
              <w:rPr>
                <w:noProof/>
                <w:webHidden/>
              </w:rPr>
              <w:instrText xml:space="preserve"> PAGEREF _Toc2853746 \h </w:instrText>
            </w:r>
            <w:r w:rsidR="0079239B">
              <w:rPr>
                <w:noProof/>
                <w:webHidden/>
              </w:rPr>
            </w:r>
            <w:r w:rsidR="0079239B">
              <w:rPr>
                <w:noProof/>
                <w:webHidden/>
              </w:rPr>
              <w:fldChar w:fldCharType="separate"/>
            </w:r>
            <w:r w:rsidR="0079239B">
              <w:rPr>
                <w:noProof/>
                <w:webHidden/>
              </w:rPr>
              <w:t>10</w:t>
            </w:r>
            <w:r w:rsidR="0079239B">
              <w:rPr>
                <w:noProof/>
                <w:webHidden/>
              </w:rPr>
              <w:fldChar w:fldCharType="end"/>
            </w:r>
          </w:hyperlink>
        </w:p>
        <w:p w14:paraId="241D4FE8" w14:textId="07D685E3" w:rsidR="0079239B" w:rsidRDefault="00FA183A">
          <w:pPr>
            <w:pStyle w:val="TOC2"/>
            <w:tabs>
              <w:tab w:val="right" w:leader="dot" w:pos="8494"/>
            </w:tabs>
            <w:rPr>
              <w:rFonts w:asciiTheme="minorHAnsi" w:eastAsiaTheme="minorEastAsia" w:hAnsiTheme="minorHAnsi" w:cstheme="minorBidi"/>
              <w:noProof/>
              <w:sz w:val="22"/>
              <w:szCs w:val="22"/>
              <w:lang w:val="en-US" w:eastAsia="en-US"/>
            </w:rPr>
          </w:pPr>
          <w:hyperlink w:anchor="_Toc2853747" w:history="1">
            <w:r w:rsidR="0079239B" w:rsidRPr="0076690E">
              <w:rPr>
                <w:rStyle w:val="Hyperlink"/>
                <w:noProof/>
              </w:rPr>
              <w:t>1.4 Objetivos de la Investigación:</w:t>
            </w:r>
            <w:r w:rsidR="0079239B">
              <w:rPr>
                <w:noProof/>
                <w:webHidden/>
              </w:rPr>
              <w:tab/>
            </w:r>
            <w:r w:rsidR="0079239B">
              <w:rPr>
                <w:noProof/>
                <w:webHidden/>
              </w:rPr>
              <w:fldChar w:fldCharType="begin"/>
            </w:r>
            <w:r w:rsidR="0079239B">
              <w:rPr>
                <w:noProof/>
                <w:webHidden/>
              </w:rPr>
              <w:instrText xml:space="preserve"> PAGEREF _Toc2853747 \h </w:instrText>
            </w:r>
            <w:r w:rsidR="0079239B">
              <w:rPr>
                <w:noProof/>
                <w:webHidden/>
              </w:rPr>
            </w:r>
            <w:r w:rsidR="0079239B">
              <w:rPr>
                <w:noProof/>
                <w:webHidden/>
              </w:rPr>
              <w:fldChar w:fldCharType="separate"/>
            </w:r>
            <w:r w:rsidR="0079239B">
              <w:rPr>
                <w:noProof/>
                <w:webHidden/>
              </w:rPr>
              <w:t>12</w:t>
            </w:r>
            <w:r w:rsidR="0079239B">
              <w:rPr>
                <w:noProof/>
                <w:webHidden/>
              </w:rPr>
              <w:fldChar w:fldCharType="end"/>
            </w:r>
          </w:hyperlink>
        </w:p>
        <w:p w14:paraId="138F2F08" w14:textId="56231031" w:rsidR="0079239B" w:rsidRDefault="00FA183A">
          <w:pPr>
            <w:pStyle w:val="TOC3"/>
            <w:tabs>
              <w:tab w:val="right" w:leader="dot" w:pos="8494"/>
            </w:tabs>
            <w:rPr>
              <w:rFonts w:asciiTheme="minorHAnsi" w:eastAsiaTheme="minorEastAsia" w:hAnsiTheme="minorHAnsi" w:cstheme="minorBidi"/>
              <w:noProof/>
              <w:sz w:val="22"/>
              <w:szCs w:val="22"/>
              <w:lang w:val="en-US" w:eastAsia="en-US"/>
            </w:rPr>
          </w:pPr>
          <w:hyperlink w:anchor="_Toc2853748" w:history="1">
            <w:r w:rsidR="0079239B" w:rsidRPr="0076690E">
              <w:rPr>
                <w:rStyle w:val="Hyperlink"/>
                <w:noProof/>
              </w:rPr>
              <w:t>1.4.1 Objetivo General:</w:t>
            </w:r>
            <w:r w:rsidR="0079239B">
              <w:rPr>
                <w:noProof/>
                <w:webHidden/>
              </w:rPr>
              <w:tab/>
            </w:r>
            <w:r w:rsidR="0079239B">
              <w:rPr>
                <w:noProof/>
                <w:webHidden/>
              </w:rPr>
              <w:fldChar w:fldCharType="begin"/>
            </w:r>
            <w:r w:rsidR="0079239B">
              <w:rPr>
                <w:noProof/>
                <w:webHidden/>
              </w:rPr>
              <w:instrText xml:space="preserve"> PAGEREF _Toc2853748 \h </w:instrText>
            </w:r>
            <w:r w:rsidR="0079239B">
              <w:rPr>
                <w:noProof/>
                <w:webHidden/>
              </w:rPr>
            </w:r>
            <w:r w:rsidR="0079239B">
              <w:rPr>
                <w:noProof/>
                <w:webHidden/>
              </w:rPr>
              <w:fldChar w:fldCharType="separate"/>
            </w:r>
            <w:r w:rsidR="0079239B">
              <w:rPr>
                <w:noProof/>
                <w:webHidden/>
              </w:rPr>
              <w:t>12</w:t>
            </w:r>
            <w:r w:rsidR="0079239B">
              <w:rPr>
                <w:noProof/>
                <w:webHidden/>
              </w:rPr>
              <w:fldChar w:fldCharType="end"/>
            </w:r>
          </w:hyperlink>
        </w:p>
        <w:p w14:paraId="770BFEC6" w14:textId="319481EC" w:rsidR="0079239B" w:rsidRDefault="00FA183A">
          <w:pPr>
            <w:pStyle w:val="TOC3"/>
            <w:tabs>
              <w:tab w:val="right" w:leader="dot" w:pos="8494"/>
            </w:tabs>
            <w:rPr>
              <w:rFonts w:asciiTheme="minorHAnsi" w:eastAsiaTheme="minorEastAsia" w:hAnsiTheme="minorHAnsi" w:cstheme="minorBidi"/>
              <w:noProof/>
              <w:sz w:val="22"/>
              <w:szCs w:val="22"/>
              <w:lang w:val="en-US" w:eastAsia="en-US"/>
            </w:rPr>
          </w:pPr>
          <w:hyperlink w:anchor="_Toc2853749" w:history="1">
            <w:r w:rsidR="0079239B" w:rsidRPr="0076690E">
              <w:rPr>
                <w:rStyle w:val="Hyperlink"/>
                <w:noProof/>
              </w:rPr>
              <w:t>1.4.2 Objetivos Específico:</w:t>
            </w:r>
            <w:r w:rsidR="0079239B">
              <w:rPr>
                <w:noProof/>
                <w:webHidden/>
              </w:rPr>
              <w:tab/>
            </w:r>
            <w:r w:rsidR="0079239B">
              <w:rPr>
                <w:noProof/>
                <w:webHidden/>
              </w:rPr>
              <w:fldChar w:fldCharType="begin"/>
            </w:r>
            <w:r w:rsidR="0079239B">
              <w:rPr>
                <w:noProof/>
                <w:webHidden/>
              </w:rPr>
              <w:instrText xml:space="preserve"> PAGEREF _Toc2853749 \h </w:instrText>
            </w:r>
            <w:r w:rsidR="0079239B">
              <w:rPr>
                <w:noProof/>
                <w:webHidden/>
              </w:rPr>
            </w:r>
            <w:r w:rsidR="0079239B">
              <w:rPr>
                <w:noProof/>
                <w:webHidden/>
              </w:rPr>
              <w:fldChar w:fldCharType="separate"/>
            </w:r>
            <w:r w:rsidR="0079239B">
              <w:rPr>
                <w:noProof/>
                <w:webHidden/>
              </w:rPr>
              <w:t>12</w:t>
            </w:r>
            <w:r w:rsidR="0079239B">
              <w:rPr>
                <w:noProof/>
                <w:webHidden/>
              </w:rPr>
              <w:fldChar w:fldCharType="end"/>
            </w:r>
          </w:hyperlink>
        </w:p>
        <w:p w14:paraId="2239ECF7" w14:textId="0CEECA94" w:rsidR="0079239B" w:rsidRDefault="00FA183A">
          <w:pPr>
            <w:pStyle w:val="TOC1"/>
            <w:tabs>
              <w:tab w:val="right" w:leader="dot" w:pos="8494"/>
            </w:tabs>
            <w:rPr>
              <w:rFonts w:asciiTheme="minorHAnsi" w:eastAsiaTheme="minorEastAsia" w:hAnsiTheme="minorHAnsi" w:cstheme="minorBidi"/>
              <w:noProof/>
              <w:sz w:val="22"/>
              <w:szCs w:val="22"/>
              <w:lang w:val="en-US" w:eastAsia="en-US"/>
            </w:rPr>
          </w:pPr>
          <w:hyperlink w:anchor="_Toc2853750" w:history="1">
            <w:r w:rsidR="0079239B" w:rsidRPr="0076690E">
              <w:rPr>
                <w:rStyle w:val="Hyperlink"/>
                <w:noProof/>
              </w:rPr>
              <w:t>Capítulo II: Marco Teórico</w:t>
            </w:r>
            <w:r w:rsidR="0079239B">
              <w:rPr>
                <w:noProof/>
                <w:webHidden/>
              </w:rPr>
              <w:tab/>
            </w:r>
            <w:r w:rsidR="0079239B">
              <w:rPr>
                <w:noProof/>
                <w:webHidden/>
              </w:rPr>
              <w:fldChar w:fldCharType="begin"/>
            </w:r>
            <w:r w:rsidR="0079239B">
              <w:rPr>
                <w:noProof/>
                <w:webHidden/>
              </w:rPr>
              <w:instrText xml:space="preserve"> PAGEREF _Toc2853750 \h </w:instrText>
            </w:r>
            <w:r w:rsidR="0079239B">
              <w:rPr>
                <w:noProof/>
                <w:webHidden/>
              </w:rPr>
            </w:r>
            <w:r w:rsidR="0079239B">
              <w:rPr>
                <w:noProof/>
                <w:webHidden/>
              </w:rPr>
              <w:fldChar w:fldCharType="separate"/>
            </w:r>
            <w:r w:rsidR="0079239B">
              <w:rPr>
                <w:noProof/>
                <w:webHidden/>
              </w:rPr>
              <w:t>13</w:t>
            </w:r>
            <w:r w:rsidR="0079239B">
              <w:rPr>
                <w:noProof/>
                <w:webHidden/>
              </w:rPr>
              <w:fldChar w:fldCharType="end"/>
            </w:r>
          </w:hyperlink>
        </w:p>
        <w:p w14:paraId="23447D19" w14:textId="05C9808C" w:rsidR="0079239B" w:rsidRDefault="00FA183A">
          <w:pPr>
            <w:pStyle w:val="TOC2"/>
            <w:tabs>
              <w:tab w:val="right" w:leader="dot" w:pos="8494"/>
            </w:tabs>
            <w:rPr>
              <w:rFonts w:asciiTheme="minorHAnsi" w:eastAsiaTheme="minorEastAsia" w:hAnsiTheme="minorHAnsi" w:cstheme="minorBidi"/>
              <w:noProof/>
              <w:sz w:val="22"/>
              <w:szCs w:val="22"/>
              <w:lang w:val="en-US" w:eastAsia="en-US"/>
            </w:rPr>
          </w:pPr>
          <w:hyperlink w:anchor="_Toc2853751" w:history="1">
            <w:r w:rsidR="0079239B" w:rsidRPr="0076690E">
              <w:rPr>
                <w:rStyle w:val="Hyperlink"/>
                <w:noProof/>
              </w:rPr>
              <w:t>2.1 Incidencia</w:t>
            </w:r>
            <w:r w:rsidR="0079239B">
              <w:rPr>
                <w:noProof/>
                <w:webHidden/>
              </w:rPr>
              <w:tab/>
            </w:r>
            <w:r w:rsidR="0079239B">
              <w:rPr>
                <w:noProof/>
                <w:webHidden/>
              </w:rPr>
              <w:fldChar w:fldCharType="begin"/>
            </w:r>
            <w:r w:rsidR="0079239B">
              <w:rPr>
                <w:noProof/>
                <w:webHidden/>
              </w:rPr>
              <w:instrText xml:space="preserve"> PAGEREF _Toc2853751 \h </w:instrText>
            </w:r>
            <w:r w:rsidR="0079239B">
              <w:rPr>
                <w:noProof/>
                <w:webHidden/>
              </w:rPr>
            </w:r>
            <w:r w:rsidR="0079239B">
              <w:rPr>
                <w:noProof/>
                <w:webHidden/>
              </w:rPr>
              <w:fldChar w:fldCharType="separate"/>
            </w:r>
            <w:r w:rsidR="0079239B">
              <w:rPr>
                <w:noProof/>
                <w:webHidden/>
              </w:rPr>
              <w:t>13</w:t>
            </w:r>
            <w:r w:rsidR="0079239B">
              <w:rPr>
                <w:noProof/>
                <w:webHidden/>
              </w:rPr>
              <w:fldChar w:fldCharType="end"/>
            </w:r>
          </w:hyperlink>
        </w:p>
        <w:p w14:paraId="157FF8DC" w14:textId="27C14EBD" w:rsidR="0079239B" w:rsidRDefault="00FA183A">
          <w:pPr>
            <w:pStyle w:val="TOC2"/>
            <w:tabs>
              <w:tab w:val="right" w:leader="dot" w:pos="8494"/>
            </w:tabs>
            <w:rPr>
              <w:rFonts w:asciiTheme="minorHAnsi" w:eastAsiaTheme="minorEastAsia" w:hAnsiTheme="minorHAnsi" w:cstheme="minorBidi"/>
              <w:noProof/>
              <w:sz w:val="22"/>
              <w:szCs w:val="22"/>
              <w:lang w:val="en-US" w:eastAsia="en-US"/>
            </w:rPr>
          </w:pPr>
          <w:hyperlink w:anchor="_Toc2853752" w:history="1">
            <w:r w:rsidR="0079239B" w:rsidRPr="0076690E">
              <w:rPr>
                <w:rStyle w:val="Hyperlink"/>
                <w:noProof/>
              </w:rPr>
              <w:t>2.2 Matriz de Contabilidad Social</w:t>
            </w:r>
            <w:r w:rsidR="0079239B">
              <w:rPr>
                <w:noProof/>
                <w:webHidden/>
              </w:rPr>
              <w:tab/>
            </w:r>
            <w:r w:rsidR="0079239B">
              <w:rPr>
                <w:noProof/>
                <w:webHidden/>
              </w:rPr>
              <w:fldChar w:fldCharType="begin"/>
            </w:r>
            <w:r w:rsidR="0079239B">
              <w:rPr>
                <w:noProof/>
                <w:webHidden/>
              </w:rPr>
              <w:instrText xml:space="preserve"> PAGEREF _Toc2853752 \h </w:instrText>
            </w:r>
            <w:r w:rsidR="0079239B">
              <w:rPr>
                <w:noProof/>
                <w:webHidden/>
              </w:rPr>
            </w:r>
            <w:r w:rsidR="0079239B">
              <w:rPr>
                <w:noProof/>
                <w:webHidden/>
              </w:rPr>
              <w:fldChar w:fldCharType="separate"/>
            </w:r>
            <w:r w:rsidR="0079239B">
              <w:rPr>
                <w:noProof/>
                <w:webHidden/>
              </w:rPr>
              <w:t>14</w:t>
            </w:r>
            <w:r w:rsidR="0079239B">
              <w:rPr>
                <w:noProof/>
                <w:webHidden/>
              </w:rPr>
              <w:fldChar w:fldCharType="end"/>
            </w:r>
          </w:hyperlink>
        </w:p>
        <w:p w14:paraId="697ABC0D" w14:textId="11F6910C" w:rsidR="0079239B" w:rsidRDefault="00FA183A">
          <w:pPr>
            <w:pStyle w:val="TOC2"/>
            <w:tabs>
              <w:tab w:val="right" w:leader="dot" w:pos="8494"/>
            </w:tabs>
            <w:rPr>
              <w:rFonts w:asciiTheme="minorHAnsi" w:eastAsiaTheme="minorEastAsia" w:hAnsiTheme="minorHAnsi" w:cstheme="minorBidi"/>
              <w:noProof/>
              <w:sz w:val="22"/>
              <w:szCs w:val="22"/>
              <w:lang w:val="en-US" w:eastAsia="en-US"/>
            </w:rPr>
          </w:pPr>
          <w:hyperlink w:anchor="_Toc2853753" w:history="1">
            <w:r w:rsidR="0079239B" w:rsidRPr="0076690E">
              <w:rPr>
                <w:rStyle w:val="Hyperlink"/>
                <w:noProof/>
              </w:rPr>
              <w:t>2.3 Equilibrio General</w:t>
            </w:r>
            <w:r w:rsidR="0079239B">
              <w:rPr>
                <w:noProof/>
                <w:webHidden/>
              </w:rPr>
              <w:tab/>
            </w:r>
            <w:r w:rsidR="0079239B">
              <w:rPr>
                <w:noProof/>
                <w:webHidden/>
              </w:rPr>
              <w:fldChar w:fldCharType="begin"/>
            </w:r>
            <w:r w:rsidR="0079239B">
              <w:rPr>
                <w:noProof/>
                <w:webHidden/>
              </w:rPr>
              <w:instrText xml:space="preserve"> PAGEREF _Toc2853753 \h </w:instrText>
            </w:r>
            <w:r w:rsidR="0079239B">
              <w:rPr>
                <w:noProof/>
                <w:webHidden/>
              </w:rPr>
            </w:r>
            <w:r w:rsidR="0079239B">
              <w:rPr>
                <w:noProof/>
                <w:webHidden/>
              </w:rPr>
              <w:fldChar w:fldCharType="separate"/>
            </w:r>
            <w:r w:rsidR="0079239B">
              <w:rPr>
                <w:noProof/>
                <w:webHidden/>
              </w:rPr>
              <w:t>17</w:t>
            </w:r>
            <w:r w:rsidR="0079239B">
              <w:rPr>
                <w:noProof/>
                <w:webHidden/>
              </w:rPr>
              <w:fldChar w:fldCharType="end"/>
            </w:r>
          </w:hyperlink>
        </w:p>
        <w:p w14:paraId="248D3E67" w14:textId="061B5676" w:rsidR="0079239B" w:rsidRDefault="00FA183A">
          <w:pPr>
            <w:pStyle w:val="TOC2"/>
            <w:tabs>
              <w:tab w:val="right" w:leader="dot" w:pos="8494"/>
            </w:tabs>
            <w:rPr>
              <w:rFonts w:asciiTheme="minorHAnsi" w:eastAsiaTheme="minorEastAsia" w:hAnsiTheme="minorHAnsi" w:cstheme="minorBidi"/>
              <w:noProof/>
              <w:sz w:val="22"/>
              <w:szCs w:val="22"/>
              <w:lang w:val="en-US" w:eastAsia="en-US"/>
            </w:rPr>
          </w:pPr>
          <w:hyperlink w:anchor="_Toc2853754" w:history="1">
            <w:r w:rsidR="0079239B" w:rsidRPr="0076690E">
              <w:rPr>
                <w:rStyle w:val="Hyperlink"/>
                <w:noProof/>
              </w:rPr>
              <w:t>2.4 Relaciones del Modelo</w:t>
            </w:r>
            <w:r w:rsidR="0079239B">
              <w:rPr>
                <w:noProof/>
                <w:webHidden/>
              </w:rPr>
              <w:tab/>
            </w:r>
            <w:r w:rsidR="0079239B">
              <w:rPr>
                <w:noProof/>
                <w:webHidden/>
              </w:rPr>
              <w:fldChar w:fldCharType="begin"/>
            </w:r>
            <w:r w:rsidR="0079239B">
              <w:rPr>
                <w:noProof/>
                <w:webHidden/>
              </w:rPr>
              <w:instrText xml:space="preserve"> PAGEREF _Toc2853754 \h </w:instrText>
            </w:r>
            <w:r w:rsidR="0079239B">
              <w:rPr>
                <w:noProof/>
                <w:webHidden/>
              </w:rPr>
            </w:r>
            <w:r w:rsidR="0079239B">
              <w:rPr>
                <w:noProof/>
                <w:webHidden/>
              </w:rPr>
              <w:fldChar w:fldCharType="separate"/>
            </w:r>
            <w:r w:rsidR="0079239B">
              <w:rPr>
                <w:noProof/>
                <w:webHidden/>
              </w:rPr>
              <w:t>20</w:t>
            </w:r>
            <w:r w:rsidR="0079239B">
              <w:rPr>
                <w:noProof/>
                <w:webHidden/>
              </w:rPr>
              <w:fldChar w:fldCharType="end"/>
            </w:r>
          </w:hyperlink>
        </w:p>
        <w:p w14:paraId="599FBCAC" w14:textId="1912F04D" w:rsidR="0079239B" w:rsidRDefault="00FA183A">
          <w:pPr>
            <w:pStyle w:val="TOC2"/>
            <w:tabs>
              <w:tab w:val="right" w:leader="dot" w:pos="8494"/>
            </w:tabs>
            <w:rPr>
              <w:rFonts w:asciiTheme="minorHAnsi" w:eastAsiaTheme="minorEastAsia" w:hAnsiTheme="minorHAnsi" w:cstheme="minorBidi"/>
              <w:noProof/>
              <w:sz w:val="22"/>
              <w:szCs w:val="22"/>
              <w:lang w:val="en-US" w:eastAsia="en-US"/>
            </w:rPr>
          </w:pPr>
          <w:hyperlink w:anchor="_Toc2853755" w:history="1">
            <w:r w:rsidR="0079239B" w:rsidRPr="0076690E">
              <w:rPr>
                <w:rStyle w:val="Hyperlink"/>
                <w:noProof/>
              </w:rPr>
              <w:t>2.5 Ecuaciones</w:t>
            </w:r>
            <w:r w:rsidR="0079239B">
              <w:rPr>
                <w:noProof/>
                <w:webHidden/>
              </w:rPr>
              <w:tab/>
            </w:r>
            <w:r w:rsidR="0079239B">
              <w:rPr>
                <w:noProof/>
                <w:webHidden/>
              </w:rPr>
              <w:fldChar w:fldCharType="begin"/>
            </w:r>
            <w:r w:rsidR="0079239B">
              <w:rPr>
                <w:noProof/>
                <w:webHidden/>
              </w:rPr>
              <w:instrText xml:space="preserve"> PAGEREF _Toc2853755 \h </w:instrText>
            </w:r>
            <w:r w:rsidR="0079239B">
              <w:rPr>
                <w:noProof/>
                <w:webHidden/>
              </w:rPr>
            </w:r>
            <w:r w:rsidR="0079239B">
              <w:rPr>
                <w:noProof/>
                <w:webHidden/>
              </w:rPr>
              <w:fldChar w:fldCharType="separate"/>
            </w:r>
            <w:r w:rsidR="0079239B">
              <w:rPr>
                <w:noProof/>
                <w:webHidden/>
              </w:rPr>
              <w:t>30</w:t>
            </w:r>
            <w:r w:rsidR="0079239B">
              <w:rPr>
                <w:noProof/>
                <w:webHidden/>
              </w:rPr>
              <w:fldChar w:fldCharType="end"/>
            </w:r>
          </w:hyperlink>
        </w:p>
        <w:p w14:paraId="601608B8" w14:textId="6C6FEA98" w:rsidR="0079239B" w:rsidRDefault="00FA183A">
          <w:pPr>
            <w:pStyle w:val="TOC2"/>
            <w:tabs>
              <w:tab w:val="right" w:leader="dot" w:pos="8494"/>
            </w:tabs>
            <w:rPr>
              <w:rFonts w:asciiTheme="minorHAnsi" w:eastAsiaTheme="minorEastAsia" w:hAnsiTheme="minorHAnsi" w:cstheme="minorBidi"/>
              <w:noProof/>
              <w:sz w:val="22"/>
              <w:szCs w:val="22"/>
              <w:lang w:val="en-US" w:eastAsia="en-US"/>
            </w:rPr>
          </w:pPr>
          <w:hyperlink w:anchor="_Toc2853756" w:history="1">
            <w:r w:rsidR="0079239B" w:rsidRPr="0076690E">
              <w:rPr>
                <w:rStyle w:val="Hyperlink"/>
                <w:noProof/>
              </w:rPr>
              <w:t>2.6 Elasticidades</w:t>
            </w:r>
            <w:r w:rsidR="0079239B">
              <w:rPr>
                <w:noProof/>
                <w:webHidden/>
              </w:rPr>
              <w:tab/>
            </w:r>
            <w:r w:rsidR="0079239B">
              <w:rPr>
                <w:noProof/>
                <w:webHidden/>
              </w:rPr>
              <w:fldChar w:fldCharType="begin"/>
            </w:r>
            <w:r w:rsidR="0079239B">
              <w:rPr>
                <w:noProof/>
                <w:webHidden/>
              </w:rPr>
              <w:instrText xml:space="preserve"> PAGEREF _Toc2853756 \h </w:instrText>
            </w:r>
            <w:r w:rsidR="0079239B">
              <w:rPr>
                <w:noProof/>
                <w:webHidden/>
              </w:rPr>
            </w:r>
            <w:r w:rsidR="0079239B">
              <w:rPr>
                <w:noProof/>
                <w:webHidden/>
              </w:rPr>
              <w:fldChar w:fldCharType="separate"/>
            </w:r>
            <w:r w:rsidR="0079239B">
              <w:rPr>
                <w:noProof/>
                <w:webHidden/>
              </w:rPr>
              <w:t>40</w:t>
            </w:r>
            <w:r w:rsidR="0079239B">
              <w:rPr>
                <w:noProof/>
                <w:webHidden/>
              </w:rPr>
              <w:fldChar w:fldCharType="end"/>
            </w:r>
          </w:hyperlink>
        </w:p>
        <w:p w14:paraId="48596CCF" w14:textId="11D28B24" w:rsidR="0079239B" w:rsidRDefault="00FA183A">
          <w:pPr>
            <w:pStyle w:val="TOC2"/>
            <w:tabs>
              <w:tab w:val="right" w:leader="dot" w:pos="8494"/>
            </w:tabs>
            <w:rPr>
              <w:rFonts w:asciiTheme="minorHAnsi" w:eastAsiaTheme="minorEastAsia" w:hAnsiTheme="minorHAnsi" w:cstheme="minorBidi"/>
              <w:noProof/>
              <w:sz w:val="22"/>
              <w:szCs w:val="22"/>
              <w:lang w:val="en-US" w:eastAsia="en-US"/>
            </w:rPr>
          </w:pPr>
          <w:hyperlink w:anchor="_Toc2853757" w:history="1">
            <w:r w:rsidR="0079239B" w:rsidRPr="0076690E">
              <w:rPr>
                <w:rStyle w:val="Hyperlink"/>
                <w:noProof/>
              </w:rPr>
              <w:t>2.7 Reglas de Cierre</w:t>
            </w:r>
            <w:r w:rsidR="0079239B">
              <w:rPr>
                <w:noProof/>
                <w:webHidden/>
              </w:rPr>
              <w:tab/>
            </w:r>
            <w:r w:rsidR="0079239B">
              <w:rPr>
                <w:noProof/>
                <w:webHidden/>
              </w:rPr>
              <w:fldChar w:fldCharType="begin"/>
            </w:r>
            <w:r w:rsidR="0079239B">
              <w:rPr>
                <w:noProof/>
                <w:webHidden/>
              </w:rPr>
              <w:instrText xml:space="preserve"> PAGEREF _Toc2853757 \h </w:instrText>
            </w:r>
            <w:r w:rsidR="0079239B">
              <w:rPr>
                <w:noProof/>
                <w:webHidden/>
              </w:rPr>
            </w:r>
            <w:r w:rsidR="0079239B">
              <w:rPr>
                <w:noProof/>
                <w:webHidden/>
              </w:rPr>
              <w:fldChar w:fldCharType="separate"/>
            </w:r>
            <w:r w:rsidR="0079239B">
              <w:rPr>
                <w:noProof/>
                <w:webHidden/>
              </w:rPr>
              <w:t>41</w:t>
            </w:r>
            <w:r w:rsidR="0079239B">
              <w:rPr>
                <w:noProof/>
                <w:webHidden/>
              </w:rPr>
              <w:fldChar w:fldCharType="end"/>
            </w:r>
          </w:hyperlink>
        </w:p>
        <w:p w14:paraId="29B0259B" w14:textId="426D553F" w:rsidR="0079239B" w:rsidRDefault="00FA183A">
          <w:pPr>
            <w:pStyle w:val="TOC2"/>
            <w:tabs>
              <w:tab w:val="right" w:leader="dot" w:pos="8494"/>
            </w:tabs>
            <w:rPr>
              <w:rFonts w:asciiTheme="minorHAnsi" w:eastAsiaTheme="minorEastAsia" w:hAnsiTheme="minorHAnsi" w:cstheme="minorBidi"/>
              <w:noProof/>
              <w:sz w:val="22"/>
              <w:szCs w:val="22"/>
              <w:lang w:val="en-US" w:eastAsia="en-US"/>
            </w:rPr>
          </w:pPr>
          <w:hyperlink w:anchor="_Toc2853758" w:history="1">
            <w:r w:rsidR="0079239B" w:rsidRPr="0076690E">
              <w:rPr>
                <w:rStyle w:val="Hyperlink"/>
                <w:noProof/>
              </w:rPr>
              <w:t>2.8 Indicadores</w:t>
            </w:r>
            <w:r w:rsidR="0079239B">
              <w:rPr>
                <w:noProof/>
                <w:webHidden/>
              </w:rPr>
              <w:tab/>
            </w:r>
            <w:r w:rsidR="0079239B">
              <w:rPr>
                <w:noProof/>
                <w:webHidden/>
              </w:rPr>
              <w:fldChar w:fldCharType="begin"/>
            </w:r>
            <w:r w:rsidR="0079239B">
              <w:rPr>
                <w:noProof/>
                <w:webHidden/>
              </w:rPr>
              <w:instrText xml:space="preserve"> PAGEREF _Toc2853758 \h </w:instrText>
            </w:r>
            <w:r w:rsidR="0079239B">
              <w:rPr>
                <w:noProof/>
                <w:webHidden/>
              </w:rPr>
            </w:r>
            <w:r w:rsidR="0079239B">
              <w:rPr>
                <w:noProof/>
                <w:webHidden/>
              </w:rPr>
              <w:fldChar w:fldCharType="separate"/>
            </w:r>
            <w:r w:rsidR="0079239B">
              <w:rPr>
                <w:noProof/>
                <w:webHidden/>
              </w:rPr>
              <w:t>41</w:t>
            </w:r>
            <w:r w:rsidR="0079239B">
              <w:rPr>
                <w:noProof/>
                <w:webHidden/>
              </w:rPr>
              <w:fldChar w:fldCharType="end"/>
            </w:r>
          </w:hyperlink>
        </w:p>
        <w:p w14:paraId="659F6E11" w14:textId="14F0207E" w:rsidR="0079239B" w:rsidRDefault="00FA183A">
          <w:pPr>
            <w:pStyle w:val="TOC1"/>
            <w:tabs>
              <w:tab w:val="right" w:leader="dot" w:pos="8494"/>
            </w:tabs>
            <w:rPr>
              <w:rFonts w:asciiTheme="minorHAnsi" w:eastAsiaTheme="minorEastAsia" w:hAnsiTheme="minorHAnsi" w:cstheme="minorBidi"/>
              <w:noProof/>
              <w:sz w:val="22"/>
              <w:szCs w:val="22"/>
              <w:lang w:val="en-US" w:eastAsia="en-US"/>
            </w:rPr>
          </w:pPr>
          <w:hyperlink w:anchor="_Toc2853759" w:history="1">
            <w:r w:rsidR="0079239B" w:rsidRPr="0076690E">
              <w:rPr>
                <w:rStyle w:val="Hyperlink"/>
                <w:noProof/>
              </w:rPr>
              <w:t>Capítulo III: Metodología de la Investigación</w:t>
            </w:r>
            <w:r w:rsidR="0079239B">
              <w:rPr>
                <w:noProof/>
                <w:webHidden/>
              </w:rPr>
              <w:tab/>
            </w:r>
            <w:r w:rsidR="0079239B">
              <w:rPr>
                <w:noProof/>
                <w:webHidden/>
              </w:rPr>
              <w:fldChar w:fldCharType="begin"/>
            </w:r>
            <w:r w:rsidR="0079239B">
              <w:rPr>
                <w:noProof/>
                <w:webHidden/>
              </w:rPr>
              <w:instrText xml:space="preserve"> PAGEREF _Toc2853759 \h </w:instrText>
            </w:r>
            <w:r w:rsidR="0079239B">
              <w:rPr>
                <w:noProof/>
                <w:webHidden/>
              </w:rPr>
            </w:r>
            <w:r w:rsidR="0079239B">
              <w:rPr>
                <w:noProof/>
                <w:webHidden/>
              </w:rPr>
              <w:fldChar w:fldCharType="separate"/>
            </w:r>
            <w:r w:rsidR="0079239B">
              <w:rPr>
                <w:noProof/>
                <w:webHidden/>
              </w:rPr>
              <w:t>43</w:t>
            </w:r>
            <w:r w:rsidR="0079239B">
              <w:rPr>
                <w:noProof/>
                <w:webHidden/>
              </w:rPr>
              <w:fldChar w:fldCharType="end"/>
            </w:r>
          </w:hyperlink>
        </w:p>
        <w:p w14:paraId="304E7C4F" w14:textId="43EAC186" w:rsidR="0079239B" w:rsidRDefault="00FA183A">
          <w:pPr>
            <w:pStyle w:val="TOC2"/>
            <w:tabs>
              <w:tab w:val="right" w:leader="dot" w:pos="8494"/>
            </w:tabs>
            <w:rPr>
              <w:rFonts w:asciiTheme="minorHAnsi" w:eastAsiaTheme="minorEastAsia" w:hAnsiTheme="minorHAnsi" w:cstheme="minorBidi"/>
              <w:noProof/>
              <w:sz w:val="22"/>
              <w:szCs w:val="22"/>
              <w:lang w:val="en-US" w:eastAsia="en-US"/>
            </w:rPr>
          </w:pPr>
          <w:hyperlink w:anchor="_Toc2853760" w:history="1">
            <w:r w:rsidR="0079239B" w:rsidRPr="0076690E">
              <w:rPr>
                <w:rStyle w:val="Hyperlink"/>
                <w:noProof/>
              </w:rPr>
              <w:t>3.1 Tipo de Investigación:</w:t>
            </w:r>
            <w:r w:rsidR="0079239B">
              <w:rPr>
                <w:noProof/>
                <w:webHidden/>
              </w:rPr>
              <w:tab/>
            </w:r>
            <w:r w:rsidR="0079239B">
              <w:rPr>
                <w:noProof/>
                <w:webHidden/>
              </w:rPr>
              <w:fldChar w:fldCharType="begin"/>
            </w:r>
            <w:r w:rsidR="0079239B">
              <w:rPr>
                <w:noProof/>
                <w:webHidden/>
              </w:rPr>
              <w:instrText xml:space="preserve"> PAGEREF _Toc2853760 \h </w:instrText>
            </w:r>
            <w:r w:rsidR="0079239B">
              <w:rPr>
                <w:noProof/>
                <w:webHidden/>
              </w:rPr>
            </w:r>
            <w:r w:rsidR="0079239B">
              <w:rPr>
                <w:noProof/>
                <w:webHidden/>
              </w:rPr>
              <w:fldChar w:fldCharType="separate"/>
            </w:r>
            <w:r w:rsidR="0079239B">
              <w:rPr>
                <w:noProof/>
                <w:webHidden/>
              </w:rPr>
              <w:t>43</w:t>
            </w:r>
            <w:r w:rsidR="0079239B">
              <w:rPr>
                <w:noProof/>
                <w:webHidden/>
              </w:rPr>
              <w:fldChar w:fldCharType="end"/>
            </w:r>
          </w:hyperlink>
        </w:p>
        <w:p w14:paraId="4E03BF63" w14:textId="4F08FBFE" w:rsidR="0079239B" w:rsidRDefault="00FA183A">
          <w:pPr>
            <w:pStyle w:val="TOC2"/>
            <w:tabs>
              <w:tab w:val="right" w:leader="dot" w:pos="8494"/>
            </w:tabs>
            <w:rPr>
              <w:rFonts w:asciiTheme="minorHAnsi" w:eastAsiaTheme="minorEastAsia" w:hAnsiTheme="minorHAnsi" w:cstheme="minorBidi"/>
              <w:noProof/>
              <w:sz w:val="22"/>
              <w:szCs w:val="22"/>
              <w:lang w:val="en-US" w:eastAsia="en-US"/>
            </w:rPr>
          </w:pPr>
          <w:hyperlink w:anchor="_Toc2853761" w:history="1">
            <w:r w:rsidR="0079239B" w:rsidRPr="0076690E">
              <w:rPr>
                <w:rStyle w:val="Hyperlink"/>
                <w:noProof/>
              </w:rPr>
              <w:t>3.2 Sujetos y Fuentes de Información:</w:t>
            </w:r>
            <w:r w:rsidR="0079239B">
              <w:rPr>
                <w:noProof/>
                <w:webHidden/>
              </w:rPr>
              <w:tab/>
            </w:r>
            <w:r w:rsidR="0079239B">
              <w:rPr>
                <w:noProof/>
                <w:webHidden/>
              </w:rPr>
              <w:fldChar w:fldCharType="begin"/>
            </w:r>
            <w:r w:rsidR="0079239B">
              <w:rPr>
                <w:noProof/>
                <w:webHidden/>
              </w:rPr>
              <w:instrText xml:space="preserve"> PAGEREF _Toc2853761 \h </w:instrText>
            </w:r>
            <w:r w:rsidR="0079239B">
              <w:rPr>
                <w:noProof/>
                <w:webHidden/>
              </w:rPr>
            </w:r>
            <w:r w:rsidR="0079239B">
              <w:rPr>
                <w:noProof/>
                <w:webHidden/>
              </w:rPr>
              <w:fldChar w:fldCharType="separate"/>
            </w:r>
            <w:r w:rsidR="0079239B">
              <w:rPr>
                <w:noProof/>
                <w:webHidden/>
              </w:rPr>
              <w:t>43</w:t>
            </w:r>
            <w:r w:rsidR="0079239B">
              <w:rPr>
                <w:noProof/>
                <w:webHidden/>
              </w:rPr>
              <w:fldChar w:fldCharType="end"/>
            </w:r>
          </w:hyperlink>
        </w:p>
        <w:p w14:paraId="00D206E5" w14:textId="009659B7" w:rsidR="0079239B" w:rsidRDefault="00FA183A">
          <w:pPr>
            <w:pStyle w:val="TOC3"/>
            <w:tabs>
              <w:tab w:val="right" w:leader="dot" w:pos="8494"/>
            </w:tabs>
            <w:rPr>
              <w:rFonts w:asciiTheme="minorHAnsi" w:eastAsiaTheme="minorEastAsia" w:hAnsiTheme="minorHAnsi" w:cstheme="minorBidi"/>
              <w:noProof/>
              <w:sz w:val="22"/>
              <w:szCs w:val="22"/>
              <w:lang w:val="en-US" w:eastAsia="en-US"/>
            </w:rPr>
          </w:pPr>
          <w:hyperlink w:anchor="_Toc2853762" w:history="1">
            <w:r w:rsidR="0079239B" w:rsidRPr="0076690E">
              <w:rPr>
                <w:rStyle w:val="Hyperlink"/>
                <w:noProof/>
              </w:rPr>
              <w:t>3.2.1 Población:</w:t>
            </w:r>
            <w:r w:rsidR="0079239B">
              <w:rPr>
                <w:noProof/>
                <w:webHidden/>
              </w:rPr>
              <w:tab/>
            </w:r>
            <w:r w:rsidR="0079239B">
              <w:rPr>
                <w:noProof/>
                <w:webHidden/>
              </w:rPr>
              <w:fldChar w:fldCharType="begin"/>
            </w:r>
            <w:r w:rsidR="0079239B">
              <w:rPr>
                <w:noProof/>
                <w:webHidden/>
              </w:rPr>
              <w:instrText xml:space="preserve"> PAGEREF _Toc2853762 \h </w:instrText>
            </w:r>
            <w:r w:rsidR="0079239B">
              <w:rPr>
                <w:noProof/>
                <w:webHidden/>
              </w:rPr>
            </w:r>
            <w:r w:rsidR="0079239B">
              <w:rPr>
                <w:noProof/>
                <w:webHidden/>
              </w:rPr>
              <w:fldChar w:fldCharType="separate"/>
            </w:r>
            <w:r w:rsidR="0079239B">
              <w:rPr>
                <w:noProof/>
                <w:webHidden/>
              </w:rPr>
              <w:t>44</w:t>
            </w:r>
            <w:r w:rsidR="0079239B">
              <w:rPr>
                <w:noProof/>
                <w:webHidden/>
              </w:rPr>
              <w:fldChar w:fldCharType="end"/>
            </w:r>
          </w:hyperlink>
        </w:p>
        <w:p w14:paraId="145F2F13" w14:textId="1B9D5816" w:rsidR="0079239B" w:rsidRDefault="00FA183A">
          <w:pPr>
            <w:pStyle w:val="TOC2"/>
            <w:tabs>
              <w:tab w:val="right" w:leader="dot" w:pos="8494"/>
            </w:tabs>
            <w:rPr>
              <w:rFonts w:asciiTheme="minorHAnsi" w:eastAsiaTheme="minorEastAsia" w:hAnsiTheme="minorHAnsi" w:cstheme="minorBidi"/>
              <w:noProof/>
              <w:sz w:val="22"/>
              <w:szCs w:val="22"/>
              <w:lang w:val="en-US" w:eastAsia="en-US"/>
            </w:rPr>
          </w:pPr>
          <w:hyperlink w:anchor="_Toc2853763" w:history="1">
            <w:r w:rsidR="0079239B" w:rsidRPr="0076690E">
              <w:rPr>
                <w:rStyle w:val="Hyperlink"/>
                <w:noProof/>
              </w:rPr>
              <w:t>3.4 Alcance y Limitaciones:</w:t>
            </w:r>
            <w:r w:rsidR="0079239B">
              <w:rPr>
                <w:noProof/>
                <w:webHidden/>
              </w:rPr>
              <w:tab/>
            </w:r>
            <w:r w:rsidR="0079239B">
              <w:rPr>
                <w:noProof/>
                <w:webHidden/>
              </w:rPr>
              <w:fldChar w:fldCharType="begin"/>
            </w:r>
            <w:r w:rsidR="0079239B">
              <w:rPr>
                <w:noProof/>
                <w:webHidden/>
              </w:rPr>
              <w:instrText xml:space="preserve"> PAGEREF _Toc2853763 \h </w:instrText>
            </w:r>
            <w:r w:rsidR="0079239B">
              <w:rPr>
                <w:noProof/>
                <w:webHidden/>
              </w:rPr>
            </w:r>
            <w:r w:rsidR="0079239B">
              <w:rPr>
                <w:noProof/>
                <w:webHidden/>
              </w:rPr>
              <w:fldChar w:fldCharType="separate"/>
            </w:r>
            <w:r w:rsidR="0079239B">
              <w:rPr>
                <w:noProof/>
                <w:webHidden/>
              </w:rPr>
              <w:t>45</w:t>
            </w:r>
            <w:r w:rsidR="0079239B">
              <w:rPr>
                <w:noProof/>
                <w:webHidden/>
              </w:rPr>
              <w:fldChar w:fldCharType="end"/>
            </w:r>
          </w:hyperlink>
        </w:p>
        <w:p w14:paraId="229DA201" w14:textId="38F9ACD2" w:rsidR="0079239B" w:rsidRDefault="00FA183A">
          <w:pPr>
            <w:pStyle w:val="TOC1"/>
            <w:tabs>
              <w:tab w:val="right" w:leader="dot" w:pos="8494"/>
            </w:tabs>
            <w:rPr>
              <w:rFonts w:asciiTheme="minorHAnsi" w:eastAsiaTheme="minorEastAsia" w:hAnsiTheme="minorHAnsi" w:cstheme="minorBidi"/>
              <w:noProof/>
              <w:sz w:val="22"/>
              <w:szCs w:val="22"/>
              <w:lang w:val="en-US" w:eastAsia="en-US"/>
            </w:rPr>
          </w:pPr>
          <w:hyperlink w:anchor="_Toc2853764" w:history="1">
            <w:r w:rsidR="0079239B" w:rsidRPr="0076690E">
              <w:rPr>
                <w:rStyle w:val="Hyperlink"/>
                <w:noProof/>
              </w:rPr>
              <w:t>Capítulo IV: Análisis de Resultados</w:t>
            </w:r>
            <w:r w:rsidR="0079239B">
              <w:rPr>
                <w:noProof/>
                <w:webHidden/>
              </w:rPr>
              <w:tab/>
            </w:r>
            <w:r w:rsidR="0079239B">
              <w:rPr>
                <w:noProof/>
                <w:webHidden/>
              </w:rPr>
              <w:fldChar w:fldCharType="begin"/>
            </w:r>
            <w:r w:rsidR="0079239B">
              <w:rPr>
                <w:noProof/>
                <w:webHidden/>
              </w:rPr>
              <w:instrText xml:space="preserve"> PAGEREF _Toc2853764 \h </w:instrText>
            </w:r>
            <w:r w:rsidR="0079239B">
              <w:rPr>
                <w:noProof/>
                <w:webHidden/>
              </w:rPr>
            </w:r>
            <w:r w:rsidR="0079239B">
              <w:rPr>
                <w:noProof/>
                <w:webHidden/>
              </w:rPr>
              <w:fldChar w:fldCharType="separate"/>
            </w:r>
            <w:r w:rsidR="0079239B">
              <w:rPr>
                <w:noProof/>
                <w:webHidden/>
              </w:rPr>
              <w:t>46</w:t>
            </w:r>
            <w:r w:rsidR="0079239B">
              <w:rPr>
                <w:noProof/>
                <w:webHidden/>
              </w:rPr>
              <w:fldChar w:fldCharType="end"/>
            </w:r>
          </w:hyperlink>
        </w:p>
        <w:p w14:paraId="145CC4E3" w14:textId="53C29AE2" w:rsidR="0079239B" w:rsidRDefault="00FA183A">
          <w:pPr>
            <w:pStyle w:val="TOC2"/>
            <w:tabs>
              <w:tab w:val="right" w:leader="dot" w:pos="8494"/>
            </w:tabs>
            <w:rPr>
              <w:rFonts w:asciiTheme="minorHAnsi" w:eastAsiaTheme="minorEastAsia" w:hAnsiTheme="minorHAnsi" w:cstheme="minorBidi"/>
              <w:noProof/>
              <w:sz w:val="22"/>
              <w:szCs w:val="22"/>
              <w:lang w:val="en-US" w:eastAsia="en-US"/>
            </w:rPr>
          </w:pPr>
          <w:hyperlink w:anchor="_Toc2853765" w:history="1">
            <w:r w:rsidR="0079239B" w:rsidRPr="0076690E">
              <w:rPr>
                <w:rStyle w:val="Hyperlink"/>
                <w:noProof/>
              </w:rPr>
              <w:t>4.1 Escenario Base</w:t>
            </w:r>
            <w:r w:rsidR="0079239B">
              <w:rPr>
                <w:noProof/>
                <w:webHidden/>
              </w:rPr>
              <w:tab/>
            </w:r>
            <w:r w:rsidR="0079239B">
              <w:rPr>
                <w:noProof/>
                <w:webHidden/>
              </w:rPr>
              <w:fldChar w:fldCharType="begin"/>
            </w:r>
            <w:r w:rsidR="0079239B">
              <w:rPr>
                <w:noProof/>
                <w:webHidden/>
              </w:rPr>
              <w:instrText xml:space="preserve"> PAGEREF _Toc2853765 \h </w:instrText>
            </w:r>
            <w:r w:rsidR="0079239B">
              <w:rPr>
                <w:noProof/>
                <w:webHidden/>
              </w:rPr>
            </w:r>
            <w:r w:rsidR="0079239B">
              <w:rPr>
                <w:noProof/>
                <w:webHidden/>
              </w:rPr>
              <w:fldChar w:fldCharType="separate"/>
            </w:r>
            <w:r w:rsidR="0079239B">
              <w:rPr>
                <w:noProof/>
                <w:webHidden/>
              </w:rPr>
              <w:t>46</w:t>
            </w:r>
            <w:r w:rsidR="0079239B">
              <w:rPr>
                <w:noProof/>
                <w:webHidden/>
              </w:rPr>
              <w:fldChar w:fldCharType="end"/>
            </w:r>
          </w:hyperlink>
        </w:p>
        <w:p w14:paraId="45FA035B" w14:textId="7F04E42E" w:rsidR="0079239B" w:rsidRDefault="00FA183A">
          <w:pPr>
            <w:pStyle w:val="TOC2"/>
            <w:tabs>
              <w:tab w:val="right" w:leader="dot" w:pos="8494"/>
            </w:tabs>
            <w:rPr>
              <w:rFonts w:asciiTheme="minorHAnsi" w:eastAsiaTheme="minorEastAsia" w:hAnsiTheme="minorHAnsi" w:cstheme="minorBidi"/>
              <w:noProof/>
              <w:sz w:val="22"/>
              <w:szCs w:val="22"/>
              <w:lang w:val="en-US" w:eastAsia="en-US"/>
            </w:rPr>
          </w:pPr>
          <w:hyperlink w:anchor="_Toc2853766" w:history="1">
            <w:r w:rsidR="0079239B" w:rsidRPr="0076690E">
              <w:rPr>
                <w:rStyle w:val="Hyperlink"/>
                <w:noProof/>
              </w:rPr>
              <w:t>4.2 Escenarios Contrafactuales</w:t>
            </w:r>
            <w:r w:rsidR="0079239B">
              <w:rPr>
                <w:noProof/>
                <w:webHidden/>
              </w:rPr>
              <w:tab/>
            </w:r>
            <w:r w:rsidR="0079239B">
              <w:rPr>
                <w:noProof/>
                <w:webHidden/>
              </w:rPr>
              <w:fldChar w:fldCharType="begin"/>
            </w:r>
            <w:r w:rsidR="0079239B">
              <w:rPr>
                <w:noProof/>
                <w:webHidden/>
              </w:rPr>
              <w:instrText xml:space="preserve"> PAGEREF _Toc2853766 \h </w:instrText>
            </w:r>
            <w:r w:rsidR="0079239B">
              <w:rPr>
                <w:noProof/>
                <w:webHidden/>
              </w:rPr>
            </w:r>
            <w:r w:rsidR="0079239B">
              <w:rPr>
                <w:noProof/>
                <w:webHidden/>
              </w:rPr>
              <w:fldChar w:fldCharType="separate"/>
            </w:r>
            <w:r w:rsidR="0079239B">
              <w:rPr>
                <w:noProof/>
                <w:webHidden/>
              </w:rPr>
              <w:t>58</w:t>
            </w:r>
            <w:r w:rsidR="0079239B">
              <w:rPr>
                <w:noProof/>
                <w:webHidden/>
              </w:rPr>
              <w:fldChar w:fldCharType="end"/>
            </w:r>
          </w:hyperlink>
        </w:p>
        <w:p w14:paraId="235F95CF" w14:textId="2F9B03A0" w:rsidR="0079239B" w:rsidRDefault="00FA183A">
          <w:pPr>
            <w:pStyle w:val="TOC1"/>
            <w:tabs>
              <w:tab w:val="right" w:leader="dot" w:pos="8494"/>
            </w:tabs>
            <w:rPr>
              <w:rFonts w:asciiTheme="minorHAnsi" w:eastAsiaTheme="minorEastAsia" w:hAnsiTheme="minorHAnsi" w:cstheme="minorBidi"/>
              <w:noProof/>
              <w:sz w:val="22"/>
              <w:szCs w:val="22"/>
              <w:lang w:val="en-US" w:eastAsia="en-US"/>
            </w:rPr>
          </w:pPr>
          <w:hyperlink w:anchor="_Toc2853767" w:history="1">
            <w:r w:rsidR="0079239B" w:rsidRPr="0076690E">
              <w:rPr>
                <w:rStyle w:val="Hyperlink"/>
                <w:noProof/>
              </w:rPr>
              <w:t>Capítulo V: Conclusiones y Recomendaciones</w:t>
            </w:r>
            <w:r w:rsidR="0079239B">
              <w:rPr>
                <w:noProof/>
                <w:webHidden/>
              </w:rPr>
              <w:tab/>
            </w:r>
            <w:r w:rsidR="0079239B">
              <w:rPr>
                <w:noProof/>
                <w:webHidden/>
              </w:rPr>
              <w:fldChar w:fldCharType="begin"/>
            </w:r>
            <w:r w:rsidR="0079239B">
              <w:rPr>
                <w:noProof/>
                <w:webHidden/>
              </w:rPr>
              <w:instrText xml:space="preserve"> PAGEREF _Toc2853767 \h </w:instrText>
            </w:r>
            <w:r w:rsidR="0079239B">
              <w:rPr>
                <w:noProof/>
                <w:webHidden/>
              </w:rPr>
            </w:r>
            <w:r w:rsidR="0079239B">
              <w:rPr>
                <w:noProof/>
                <w:webHidden/>
              </w:rPr>
              <w:fldChar w:fldCharType="separate"/>
            </w:r>
            <w:r w:rsidR="0079239B">
              <w:rPr>
                <w:noProof/>
                <w:webHidden/>
              </w:rPr>
              <w:t>64</w:t>
            </w:r>
            <w:r w:rsidR="0079239B">
              <w:rPr>
                <w:noProof/>
                <w:webHidden/>
              </w:rPr>
              <w:fldChar w:fldCharType="end"/>
            </w:r>
          </w:hyperlink>
        </w:p>
        <w:p w14:paraId="2502FCF8" w14:textId="53B47ACC" w:rsidR="0079239B" w:rsidRDefault="00FA183A">
          <w:pPr>
            <w:pStyle w:val="TOC1"/>
            <w:tabs>
              <w:tab w:val="right" w:leader="dot" w:pos="8494"/>
            </w:tabs>
            <w:rPr>
              <w:rFonts w:asciiTheme="minorHAnsi" w:eastAsiaTheme="minorEastAsia" w:hAnsiTheme="minorHAnsi" w:cstheme="minorBidi"/>
              <w:noProof/>
              <w:sz w:val="22"/>
              <w:szCs w:val="22"/>
              <w:lang w:val="en-US" w:eastAsia="en-US"/>
            </w:rPr>
          </w:pPr>
          <w:hyperlink w:anchor="_Toc2853768" w:history="1">
            <w:r w:rsidR="0079239B" w:rsidRPr="0076690E">
              <w:rPr>
                <w:rStyle w:val="Hyperlink"/>
                <w:noProof/>
              </w:rPr>
              <w:t>Referencias</w:t>
            </w:r>
            <w:r w:rsidR="0079239B">
              <w:rPr>
                <w:noProof/>
                <w:webHidden/>
              </w:rPr>
              <w:tab/>
            </w:r>
            <w:r w:rsidR="0079239B">
              <w:rPr>
                <w:noProof/>
                <w:webHidden/>
              </w:rPr>
              <w:fldChar w:fldCharType="begin"/>
            </w:r>
            <w:r w:rsidR="0079239B">
              <w:rPr>
                <w:noProof/>
                <w:webHidden/>
              </w:rPr>
              <w:instrText xml:space="preserve"> PAGEREF _Toc2853768 \h </w:instrText>
            </w:r>
            <w:r w:rsidR="0079239B">
              <w:rPr>
                <w:noProof/>
                <w:webHidden/>
              </w:rPr>
            </w:r>
            <w:r w:rsidR="0079239B">
              <w:rPr>
                <w:noProof/>
                <w:webHidden/>
              </w:rPr>
              <w:fldChar w:fldCharType="separate"/>
            </w:r>
            <w:r w:rsidR="0079239B">
              <w:rPr>
                <w:noProof/>
                <w:webHidden/>
              </w:rPr>
              <w:t>66</w:t>
            </w:r>
            <w:r w:rsidR="0079239B">
              <w:rPr>
                <w:noProof/>
                <w:webHidden/>
              </w:rPr>
              <w:fldChar w:fldCharType="end"/>
            </w:r>
          </w:hyperlink>
        </w:p>
        <w:p w14:paraId="7EAF769A" w14:textId="3B6C5830" w:rsidR="0079239B" w:rsidRDefault="00FA183A">
          <w:pPr>
            <w:pStyle w:val="TOC1"/>
            <w:tabs>
              <w:tab w:val="right" w:leader="dot" w:pos="8494"/>
            </w:tabs>
            <w:rPr>
              <w:rFonts w:asciiTheme="minorHAnsi" w:eastAsiaTheme="minorEastAsia" w:hAnsiTheme="minorHAnsi" w:cstheme="minorBidi"/>
              <w:noProof/>
              <w:sz w:val="22"/>
              <w:szCs w:val="22"/>
              <w:lang w:val="en-US" w:eastAsia="en-US"/>
            </w:rPr>
          </w:pPr>
          <w:hyperlink w:anchor="_Toc2853769" w:history="1">
            <w:r w:rsidR="0079239B" w:rsidRPr="0076690E">
              <w:rPr>
                <w:rStyle w:val="Hyperlink"/>
                <w:noProof/>
              </w:rPr>
              <w:t>Anexos</w:t>
            </w:r>
            <w:r w:rsidR="0079239B">
              <w:rPr>
                <w:noProof/>
                <w:webHidden/>
              </w:rPr>
              <w:tab/>
            </w:r>
            <w:r w:rsidR="0079239B">
              <w:rPr>
                <w:noProof/>
                <w:webHidden/>
              </w:rPr>
              <w:fldChar w:fldCharType="begin"/>
            </w:r>
            <w:r w:rsidR="0079239B">
              <w:rPr>
                <w:noProof/>
                <w:webHidden/>
              </w:rPr>
              <w:instrText xml:space="preserve"> PAGEREF _Toc2853769 \h </w:instrText>
            </w:r>
            <w:r w:rsidR="0079239B">
              <w:rPr>
                <w:noProof/>
                <w:webHidden/>
              </w:rPr>
            </w:r>
            <w:r w:rsidR="0079239B">
              <w:rPr>
                <w:noProof/>
                <w:webHidden/>
              </w:rPr>
              <w:fldChar w:fldCharType="separate"/>
            </w:r>
            <w:r w:rsidR="0079239B">
              <w:rPr>
                <w:noProof/>
                <w:webHidden/>
              </w:rPr>
              <w:t>68</w:t>
            </w:r>
            <w:r w:rsidR="0079239B">
              <w:rPr>
                <w:noProof/>
                <w:webHidden/>
              </w:rPr>
              <w:fldChar w:fldCharType="end"/>
            </w:r>
          </w:hyperlink>
        </w:p>
        <w:p w14:paraId="2C660136" w14:textId="40E3886D" w:rsidR="0079239B" w:rsidRDefault="00FA183A">
          <w:pPr>
            <w:pStyle w:val="TOC2"/>
            <w:tabs>
              <w:tab w:val="right" w:leader="dot" w:pos="8494"/>
            </w:tabs>
            <w:rPr>
              <w:rFonts w:asciiTheme="minorHAnsi" w:eastAsiaTheme="minorEastAsia" w:hAnsiTheme="minorHAnsi" w:cstheme="minorBidi"/>
              <w:noProof/>
              <w:sz w:val="22"/>
              <w:szCs w:val="22"/>
              <w:lang w:val="en-US" w:eastAsia="en-US"/>
            </w:rPr>
          </w:pPr>
          <w:hyperlink w:anchor="_Toc2853770" w:history="1">
            <w:r w:rsidR="0079239B" w:rsidRPr="0076690E">
              <w:rPr>
                <w:rStyle w:val="Hyperlink"/>
                <w:noProof/>
              </w:rPr>
              <w:t>Anexo A. Expansión de la MCS a deciles</w:t>
            </w:r>
            <w:r w:rsidR="0079239B">
              <w:rPr>
                <w:noProof/>
                <w:webHidden/>
              </w:rPr>
              <w:tab/>
            </w:r>
            <w:r w:rsidR="0079239B">
              <w:rPr>
                <w:noProof/>
                <w:webHidden/>
              </w:rPr>
              <w:fldChar w:fldCharType="begin"/>
            </w:r>
            <w:r w:rsidR="0079239B">
              <w:rPr>
                <w:noProof/>
                <w:webHidden/>
              </w:rPr>
              <w:instrText xml:space="preserve"> PAGEREF _Toc2853770 \h </w:instrText>
            </w:r>
            <w:r w:rsidR="0079239B">
              <w:rPr>
                <w:noProof/>
                <w:webHidden/>
              </w:rPr>
            </w:r>
            <w:r w:rsidR="0079239B">
              <w:rPr>
                <w:noProof/>
                <w:webHidden/>
              </w:rPr>
              <w:fldChar w:fldCharType="separate"/>
            </w:r>
            <w:r w:rsidR="0079239B">
              <w:rPr>
                <w:noProof/>
                <w:webHidden/>
              </w:rPr>
              <w:t>68</w:t>
            </w:r>
            <w:r w:rsidR="0079239B">
              <w:rPr>
                <w:noProof/>
                <w:webHidden/>
              </w:rPr>
              <w:fldChar w:fldCharType="end"/>
            </w:r>
          </w:hyperlink>
        </w:p>
        <w:p w14:paraId="6049337B" w14:textId="495E5B51" w:rsidR="0079239B" w:rsidRDefault="00FA183A">
          <w:pPr>
            <w:pStyle w:val="TOC2"/>
            <w:tabs>
              <w:tab w:val="right" w:leader="dot" w:pos="8494"/>
            </w:tabs>
            <w:rPr>
              <w:rFonts w:asciiTheme="minorHAnsi" w:eastAsiaTheme="minorEastAsia" w:hAnsiTheme="minorHAnsi" w:cstheme="minorBidi"/>
              <w:noProof/>
              <w:sz w:val="22"/>
              <w:szCs w:val="22"/>
              <w:lang w:val="en-US" w:eastAsia="en-US"/>
            </w:rPr>
          </w:pPr>
          <w:hyperlink w:anchor="_Toc2853771" w:history="1">
            <w:r w:rsidR="0079239B" w:rsidRPr="0076690E">
              <w:rPr>
                <w:rStyle w:val="Hyperlink"/>
                <w:noProof/>
              </w:rPr>
              <w:t>Anexo B. Convergencia de la función CES a la función C-D.</w:t>
            </w:r>
            <w:r w:rsidR="0079239B">
              <w:rPr>
                <w:noProof/>
                <w:webHidden/>
              </w:rPr>
              <w:tab/>
            </w:r>
            <w:r w:rsidR="0079239B">
              <w:rPr>
                <w:noProof/>
                <w:webHidden/>
              </w:rPr>
              <w:fldChar w:fldCharType="begin"/>
            </w:r>
            <w:r w:rsidR="0079239B">
              <w:rPr>
                <w:noProof/>
                <w:webHidden/>
              </w:rPr>
              <w:instrText xml:space="preserve"> PAGEREF _Toc2853771 \h </w:instrText>
            </w:r>
            <w:r w:rsidR="0079239B">
              <w:rPr>
                <w:noProof/>
                <w:webHidden/>
              </w:rPr>
            </w:r>
            <w:r w:rsidR="0079239B">
              <w:rPr>
                <w:noProof/>
                <w:webHidden/>
              </w:rPr>
              <w:fldChar w:fldCharType="separate"/>
            </w:r>
            <w:r w:rsidR="0079239B">
              <w:rPr>
                <w:noProof/>
                <w:webHidden/>
              </w:rPr>
              <w:t>69</w:t>
            </w:r>
            <w:r w:rsidR="0079239B">
              <w:rPr>
                <w:noProof/>
                <w:webHidden/>
              </w:rPr>
              <w:fldChar w:fldCharType="end"/>
            </w:r>
          </w:hyperlink>
        </w:p>
        <w:p w14:paraId="00EDFB57" w14:textId="0724F924" w:rsidR="002348BA" w:rsidRDefault="00031864" w:rsidP="00C139E7">
          <w:pPr>
            <w:pStyle w:val="TOC1"/>
            <w:tabs>
              <w:tab w:val="right" w:leader="dot" w:pos="8494"/>
            </w:tabs>
            <w:spacing w:line="240" w:lineRule="auto"/>
          </w:pPr>
          <w:r>
            <w:rPr>
              <w:rFonts w:cs="Arial"/>
            </w:rPr>
            <w:fldChar w:fldCharType="end"/>
          </w:r>
        </w:p>
      </w:sdtContent>
    </w:sdt>
    <w:p w14:paraId="692EB14A" w14:textId="4A905584" w:rsidR="00B153DE" w:rsidRDefault="00B153DE">
      <w:pPr>
        <w:jc w:val="left"/>
        <w:rPr>
          <w:rFonts w:eastAsiaTheme="majorEastAsia" w:cstheme="majorBidi"/>
          <w:szCs w:val="26"/>
        </w:rPr>
      </w:pPr>
      <w:r>
        <w:br w:type="page"/>
      </w:r>
    </w:p>
    <w:p w14:paraId="74110E68" w14:textId="7B7FCD15" w:rsidR="004D03EF" w:rsidRDefault="00A8546F" w:rsidP="00C139E7">
      <w:pPr>
        <w:pStyle w:val="Heading1"/>
        <w:spacing w:line="240" w:lineRule="auto"/>
      </w:pPr>
      <w:bookmarkStart w:id="8" w:name="_Toc2853741"/>
      <w:r>
        <w:lastRenderedPageBreak/>
        <w:t>Índice de Figuras</w:t>
      </w:r>
      <w:bookmarkEnd w:id="8"/>
    </w:p>
    <w:p w14:paraId="12DBC9EC" w14:textId="472B3A9E" w:rsidR="00A8546F" w:rsidRPr="00A8546F" w:rsidRDefault="00A8546F" w:rsidP="00C139E7">
      <w:pPr>
        <w:spacing w:line="240" w:lineRule="auto"/>
      </w:pPr>
    </w:p>
    <w:p w14:paraId="745D7199" w14:textId="3679CC85" w:rsidR="0079239B" w:rsidRDefault="007044A9">
      <w:pPr>
        <w:pStyle w:val="TableofFigures"/>
        <w:tabs>
          <w:tab w:val="right" w:leader="dot" w:pos="8494"/>
        </w:tabs>
        <w:rPr>
          <w:rFonts w:asciiTheme="minorHAnsi" w:eastAsiaTheme="minorEastAsia" w:hAnsiTheme="minorHAnsi" w:cstheme="minorBidi"/>
          <w:noProof/>
          <w:sz w:val="22"/>
          <w:szCs w:val="22"/>
          <w:lang w:val="en-US" w:eastAsia="en-US"/>
        </w:rPr>
      </w:pPr>
      <w:r>
        <w:fldChar w:fldCharType="begin"/>
      </w:r>
      <w:r>
        <w:instrText xml:space="preserve"> TOC \h \z \c "Figura" </w:instrText>
      </w:r>
      <w:r>
        <w:fldChar w:fldCharType="separate"/>
      </w:r>
      <w:hyperlink w:anchor="_Toc2853718" w:history="1">
        <w:r w:rsidR="0079239B" w:rsidRPr="003472B5">
          <w:rPr>
            <w:rStyle w:val="Hyperlink"/>
            <w:rFonts w:eastAsiaTheme="majorEastAsia"/>
            <w:noProof/>
          </w:rPr>
          <w:t>Figura 1  Ingresos, gastos y déficit del Gobierno Central de Costa Rica de 1991 al 2017</w:t>
        </w:r>
        <w:r w:rsidR="0079239B" w:rsidRPr="003472B5">
          <w:rPr>
            <w:rStyle w:val="Hyperlink"/>
            <w:rFonts w:eastAsiaTheme="majorEastAsia" w:cs="Arial"/>
            <w:noProof/>
          </w:rPr>
          <w:t xml:space="preserve"> </w:t>
        </w:r>
        <w:r w:rsidR="0079239B" w:rsidRPr="003472B5">
          <w:rPr>
            <w:rStyle w:val="Hyperlink"/>
            <w:rFonts w:eastAsiaTheme="majorEastAsia"/>
            <w:noProof/>
          </w:rPr>
          <w:t>como porcentaje del PIB</w:t>
        </w:r>
        <w:r w:rsidR="0079239B">
          <w:rPr>
            <w:noProof/>
            <w:webHidden/>
          </w:rPr>
          <w:tab/>
        </w:r>
        <w:r w:rsidR="0079239B">
          <w:rPr>
            <w:noProof/>
            <w:webHidden/>
          </w:rPr>
          <w:fldChar w:fldCharType="begin"/>
        </w:r>
        <w:r w:rsidR="0079239B">
          <w:rPr>
            <w:noProof/>
            <w:webHidden/>
          </w:rPr>
          <w:instrText xml:space="preserve"> PAGEREF _Toc2853718 \h </w:instrText>
        </w:r>
        <w:r w:rsidR="0079239B">
          <w:rPr>
            <w:noProof/>
            <w:webHidden/>
          </w:rPr>
        </w:r>
        <w:r w:rsidR="0079239B">
          <w:rPr>
            <w:noProof/>
            <w:webHidden/>
          </w:rPr>
          <w:fldChar w:fldCharType="separate"/>
        </w:r>
        <w:r w:rsidR="0079239B">
          <w:rPr>
            <w:noProof/>
            <w:webHidden/>
          </w:rPr>
          <w:t>2</w:t>
        </w:r>
        <w:r w:rsidR="0079239B">
          <w:rPr>
            <w:noProof/>
            <w:webHidden/>
          </w:rPr>
          <w:fldChar w:fldCharType="end"/>
        </w:r>
      </w:hyperlink>
    </w:p>
    <w:p w14:paraId="3FDC008E" w14:textId="637C421C" w:rsidR="0079239B" w:rsidRDefault="00FA183A">
      <w:pPr>
        <w:pStyle w:val="TableofFigures"/>
        <w:tabs>
          <w:tab w:val="right" w:leader="dot" w:pos="8494"/>
        </w:tabs>
        <w:rPr>
          <w:rFonts w:asciiTheme="minorHAnsi" w:eastAsiaTheme="minorEastAsia" w:hAnsiTheme="minorHAnsi" w:cstheme="minorBidi"/>
          <w:noProof/>
          <w:sz w:val="22"/>
          <w:szCs w:val="22"/>
          <w:lang w:val="en-US" w:eastAsia="en-US"/>
        </w:rPr>
      </w:pPr>
      <w:hyperlink w:anchor="_Toc2853719" w:history="1">
        <w:r w:rsidR="0079239B" w:rsidRPr="003472B5">
          <w:rPr>
            <w:rStyle w:val="Hyperlink"/>
            <w:rFonts w:eastAsiaTheme="majorEastAsia"/>
            <w:noProof/>
          </w:rPr>
          <w:t>Figura 2  Composición de los ingresos tributarios como porcentaje del PIB</w:t>
        </w:r>
        <w:r w:rsidR="0079239B">
          <w:rPr>
            <w:noProof/>
            <w:webHidden/>
          </w:rPr>
          <w:tab/>
        </w:r>
        <w:r w:rsidR="0079239B">
          <w:rPr>
            <w:noProof/>
            <w:webHidden/>
          </w:rPr>
          <w:fldChar w:fldCharType="begin"/>
        </w:r>
        <w:r w:rsidR="0079239B">
          <w:rPr>
            <w:noProof/>
            <w:webHidden/>
          </w:rPr>
          <w:instrText xml:space="preserve"> PAGEREF _Toc2853719 \h </w:instrText>
        </w:r>
        <w:r w:rsidR="0079239B">
          <w:rPr>
            <w:noProof/>
            <w:webHidden/>
          </w:rPr>
        </w:r>
        <w:r w:rsidR="0079239B">
          <w:rPr>
            <w:noProof/>
            <w:webHidden/>
          </w:rPr>
          <w:fldChar w:fldCharType="separate"/>
        </w:r>
        <w:r w:rsidR="0079239B">
          <w:rPr>
            <w:noProof/>
            <w:webHidden/>
          </w:rPr>
          <w:t>3</w:t>
        </w:r>
        <w:r w:rsidR="0079239B">
          <w:rPr>
            <w:noProof/>
            <w:webHidden/>
          </w:rPr>
          <w:fldChar w:fldCharType="end"/>
        </w:r>
      </w:hyperlink>
    </w:p>
    <w:p w14:paraId="760E18BB" w14:textId="69438192" w:rsidR="0079239B" w:rsidRDefault="00FA183A">
      <w:pPr>
        <w:pStyle w:val="TableofFigures"/>
        <w:tabs>
          <w:tab w:val="right" w:leader="dot" w:pos="8494"/>
        </w:tabs>
        <w:rPr>
          <w:rFonts w:asciiTheme="minorHAnsi" w:eastAsiaTheme="minorEastAsia" w:hAnsiTheme="minorHAnsi" w:cstheme="minorBidi"/>
          <w:noProof/>
          <w:sz w:val="22"/>
          <w:szCs w:val="22"/>
          <w:lang w:val="en-US" w:eastAsia="en-US"/>
        </w:rPr>
      </w:pPr>
      <w:hyperlink w:anchor="_Toc2853720" w:history="1">
        <w:r w:rsidR="0079239B" w:rsidRPr="003472B5">
          <w:rPr>
            <w:rStyle w:val="Hyperlink"/>
            <w:rFonts w:eastAsiaTheme="majorEastAsia"/>
            <w:noProof/>
          </w:rPr>
          <w:t>Figura 3  Flujo circular de una Economía Cerrada</w:t>
        </w:r>
        <w:r w:rsidR="0079239B">
          <w:rPr>
            <w:noProof/>
            <w:webHidden/>
          </w:rPr>
          <w:tab/>
        </w:r>
        <w:r w:rsidR="0079239B">
          <w:rPr>
            <w:noProof/>
            <w:webHidden/>
          </w:rPr>
          <w:fldChar w:fldCharType="begin"/>
        </w:r>
        <w:r w:rsidR="0079239B">
          <w:rPr>
            <w:noProof/>
            <w:webHidden/>
          </w:rPr>
          <w:instrText xml:space="preserve"> PAGEREF _Toc2853720 \h </w:instrText>
        </w:r>
        <w:r w:rsidR="0079239B">
          <w:rPr>
            <w:noProof/>
            <w:webHidden/>
          </w:rPr>
        </w:r>
        <w:r w:rsidR="0079239B">
          <w:rPr>
            <w:noProof/>
            <w:webHidden/>
          </w:rPr>
          <w:fldChar w:fldCharType="separate"/>
        </w:r>
        <w:r w:rsidR="0079239B">
          <w:rPr>
            <w:noProof/>
            <w:webHidden/>
          </w:rPr>
          <w:t>15</w:t>
        </w:r>
        <w:r w:rsidR="0079239B">
          <w:rPr>
            <w:noProof/>
            <w:webHidden/>
          </w:rPr>
          <w:fldChar w:fldCharType="end"/>
        </w:r>
      </w:hyperlink>
    </w:p>
    <w:p w14:paraId="15D7B346" w14:textId="4A8C16AE" w:rsidR="0079239B" w:rsidRDefault="00FA183A">
      <w:pPr>
        <w:pStyle w:val="TableofFigures"/>
        <w:tabs>
          <w:tab w:val="right" w:leader="dot" w:pos="8494"/>
        </w:tabs>
        <w:rPr>
          <w:rFonts w:asciiTheme="minorHAnsi" w:eastAsiaTheme="minorEastAsia" w:hAnsiTheme="minorHAnsi" w:cstheme="minorBidi"/>
          <w:noProof/>
          <w:sz w:val="22"/>
          <w:szCs w:val="22"/>
          <w:lang w:val="en-US" w:eastAsia="en-US"/>
        </w:rPr>
      </w:pPr>
      <w:hyperlink w:anchor="_Toc2853721" w:history="1">
        <w:r w:rsidR="0079239B" w:rsidRPr="003472B5">
          <w:rPr>
            <w:rStyle w:val="Hyperlink"/>
            <w:rFonts w:eastAsiaTheme="majorEastAsia"/>
            <w:noProof/>
          </w:rPr>
          <w:t>Figura 4  Esquema de una Matriz de Contabilidad Social</w:t>
        </w:r>
        <w:r w:rsidR="0079239B">
          <w:rPr>
            <w:noProof/>
            <w:webHidden/>
          </w:rPr>
          <w:tab/>
        </w:r>
        <w:r w:rsidR="0079239B">
          <w:rPr>
            <w:noProof/>
            <w:webHidden/>
          </w:rPr>
          <w:fldChar w:fldCharType="begin"/>
        </w:r>
        <w:r w:rsidR="0079239B">
          <w:rPr>
            <w:noProof/>
            <w:webHidden/>
          </w:rPr>
          <w:instrText xml:space="preserve"> PAGEREF _Toc2853721 \h </w:instrText>
        </w:r>
        <w:r w:rsidR="0079239B">
          <w:rPr>
            <w:noProof/>
            <w:webHidden/>
          </w:rPr>
        </w:r>
        <w:r w:rsidR="0079239B">
          <w:rPr>
            <w:noProof/>
            <w:webHidden/>
          </w:rPr>
          <w:fldChar w:fldCharType="separate"/>
        </w:r>
        <w:r w:rsidR="0079239B">
          <w:rPr>
            <w:noProof/>
            <w:webHidden/>
          </w:rPr>
          <w:t>16</w:t>
        </w:r>
        <w:r w:rsidR="0079239B">
          <w:rPr>
            <w:noProof/>
            <w:webHidden/>
          </w:rPr>
          <w:fldChar w:fldCharType="end"/>
        </w:r>
      </w:hyperlink>
    </w:p>
    <w:p w14:paraId="0F05494B" w14:textId="5F1E4FE4" w:rsidR="0079239B" w:rsidRDefault="00FA183A">
      <w:pPr>
        <w:pStyle w:val="TableofFigures"/>
        <w:tabs>
          <w:tab w:val="right" w:leader="dot" w:pos="8494"/>
        </w:tabs>
        <w:rPr>
          <w:rFonts w:asciiTheme="minorHAnsi" w:eastAsiaTheme="minorEastAsia" w:hAnsiTheme="minorHAnsi" w:cstheme="minorBidi"/>
          <w:noProof/>
          <w:sz w:val="22"/>
          <w:szCs w:val="22"/>
          <w:lang w:val="en-US" w:eastAsia="en-US"/>
        </w:rPr>
      </w:pPr>
      <w:hyperlink w:anchor="_Toc2853722" w:history="1">
        <w:r w:rsidR="0079239B" w:rsidRPr="003472B5">
          <w:rPr>
            <w:rStyle w:val="Hyperlink"/>
            <w:rFonts w:eastAsiaTheme="majorEastAsia"/>
            <w:noProof/>
          </w:rPr>
          <w:t>Figura 5  Diagrama de flujo para MEGC</w:t>
        </w:r>
        <w:r w:rsidR="0079239B">
          <w:rPr>
            <w:noProof/>
            <w:webHidden/>
          </w:rPr>
          <w:tab/>
        </w:r>
        <w:r w:rsidR="0079239B">
          <w:rPr>
            <w:noProof/>
            <w:webHidden/>
          </w:rPr>
          <w:fldChar w:fldCharType="begin"/>
        </w:r>
        <w:r w:rsidR="0079239B">
          <w:rPr>
            <w:noProof/>
            <w:webHidden/>
          </w:rPr>
          <w:instrText xml:space="preserve"> PAGEREF _Toc2853722 \h </w:instrText>
        </w:r>
        <w:r w:rsidR="0079239B">
          <w:rPr>
            <w:noProof/>
            <w:webHidden/>
          </w:rPr>
        </w:r>
        <w:r w:rsidR="0079239B">
          <w:rPr>
            <w:noProof/>
            <w:webHidden/>
          </w:rPr>
          <w:fldChar w:fldCharType="separate"/>
        </w:r>
        <w:r w:rsidR="0079239B">
          <w:rPr>
            <w:noProof/>
            <w:webHidden/>
          </w:rPr>
          <w:t>18</w:t>
        </w:r>
        <w:r w:rsidR="0079239B">
          <w:rPr>
            <w:noProof/>
            <w:webHidden/>
          </w:rPr>
          <w:fldChar w:fldCharType="end"/>
        </w:r>
      </w:hyperlink>
    </w:p>
    <w:p w14:paraId="58D972F3" w14:textId="783B9E00" w:rsidR="0079239B" w:rsidRDefault="00FA183A">
      <w:pPr>
        <w:pStyle w:val="TableofFigures"/>
        <w:tabs>
          <w:tab w:val="right" w:leader="dot" w:pos="8494"/>
        </w:tabs>
        <w:rPr>
          <w:rFonts w:asciiTheme="minorHAnsi" w:eastAsiaTheme="minorEastAsia" w:hAnsiTheme="minorHAnsi" w:cstheme="minorBidi"/>
          <w:noProof/>
          <w:sz w:val="22"/>
          <w:szCs w:val="22"/>
          <w:lang w:val="en-US" w:eastAsia="en-US"/>
        </w:rPr>
      </w:pPr>
      <w:hyperlink w:anchor="_Toc2853723" w:history="1">
        <w:r w:rsidR="0079239B" w:rsidRPr="003472B5">
          <w:rPr>
            <w:rStyle w:val="Hyperlink"/>
            <w:rFonts w:eastAsiaTheme="majorEastAsia"/>
            <w:noProof/>
          </w:rPr>
          <w:t>Figura 6  La relación de precios para el modelo STAGE</w:t>
        </w:r>
        <w:r w:rsidR="0079239B">
          <w:rPr>
            <w:noProof/>
            <w:webHidden/>
          </w:rPr>
          <w:tab/>
        </w:r>
        <w:r w:rsidR="0079239B">
          <w:rPr>
            <w:noProof/>
            <w:webHidden/>
          </w:rPr>
          <w:fldChar w:fldCharType="begin"/>
        </w:r>
        <w:r w:rsidR="0079239B">
          <w:rPr>
            <w:noProof/>
            <w:webHidden/>
          </w:rPr>
          <w:instrText xml:space="preserve"> PAGEREF _Toc2853723 \h </w:instrText>
        </w:r>
        <w:r w:rsidR="0079239B">
          <w:rPr>
            <w:noProof/>
            <w:webHidden/>
          </w:rPr>
        </w:r>
        <w:r w:rsidR="0079239B">
          <w:rPr>
            <w:noProof/>
            <w:webHidden/>
          </w:rPr>
          <w:fldChar w:fldCharType="separate"/>
        </w:r>
        <w:r w:rsidR="0079239B">
          <w:rPr>
            <w:noProof/>
            <w:webHidden/>
          </w:rPr>
          <w:t>26</w:t>
        </w:r>
        <w:r w:rsidR="0079239B">
          <w:rPr>
            <w:noProof/>
            <w:webHidden/>
          </w:rPr>
          <w:fldChar w:fldCharType="end"/>
        </w:r>
      </w:hyperlink>
    </w:p>
    <w:p w14:paraId="291BB0AA" w14:textId="37B0B93D" w:rsidR="0079239B" w:rsidRDefault="00FA183A">
      <w:pPr>
        <w:pStyle w:val="TableofFigures"/>
        <w:tabs>
          <w:tab w:val="right" w:leader="dot" w:pos="8494"/>
        </w:tabs>
        <w:rPr>
          <w:rFonts w:asciiTheme="minorHAnsi" w:eastAsiaTheme="minorEastAsia" w:hAnsiTheme="minorHAnsi" w:cstheme="minorBidi"/>
          <w:noProof/>
          <w:sz w:val="22"/>
          <w:szCs w:val="22"/>
          <w:lang w:val="en-US" w:eastAsia="en-US"/>
        </w:rPr>
      </w:pPr>
      <w:hyperlink w:anchor="_Toc2853724" w:history="1">
        <w:r w:rsidR="0079239B" w:rsidRPr="003472B5">
          <w:rPr>
            <w:rStyle w:val="Hyperlink"/>
            <w:rFonts w:eastAsiaTheme="majorEastAsia"/>
            <w:noProof/>
          </w:rPr>
          <w:t>Figura 7  La relación de cantidades para el modelo STAGE</w:t>
        </w:r>
        <w:r w:rsidR="0079239B">
          <w:rPr>
            <w:noProof/>
            <w:webHidden/>
          </w:rPr>
          <w:tab/>
        </w:r>
        <w:r w:rsidR="0079239B">
          <w:rPr>
            <w:noProof/>
            <w:webHidden/>
          </w:rPr>
          <w:fldChar w:fldCharType="begin"/>
        </w:r>
        <w:r w:rsidR="0079239B">
          <w:rPr>
            <w:noProof/>
            <w:webHidden/>
          </w:rPr>
          <w:instrText xml:space="preserve"> PAGEREF _Toc2853724 \h </w:instrText>
        </w:r>
        <w:r w:rsidR="0079239B">
          <w:rPr>
            <w:noProof/>
            <w:webHidden/>
          </w:rPr>
        </w:r>
        <w:r w:rsidR="0079239B">
          <w:rPr>
            <w:noProof/>
            <w:webHidden/>
          </w:rPr>
          <w:fldChar w:fldCharType="separate"/>
        </w:r>
        <w:r w:rsidR="0079239B">
          <w:rPr>
            <w:noProof/>
            <w:webHidden/>
          </w:rPr>
          <w:t>28</w:t>
        </w:r>
        <w:r w:rsidR="0079239B">
          <w:rPr>
            <w:noProof/>
            <w:webHidden/>
          </w:rPr>
          <w:fldChar w:fldCharType="end"/>
        </w:r>
      </w:hyperlink>
    </w:p>
    <w:p w14:paraId="2655422D" w14:textId="7E429740" w:rsidR="0079239B" w:rsidRDefault="00FA183A">
      <w:pPr>
        <w:pStyle w:val="TableofFigures"/>
        <w:tabs>
          <w:tab w:val="right" w:leader="dot" w:pos="8494"/>
        </w:tabs>
        <w:rPr>
          <w:rFonts w:asciiTheme="minorHAnsi" w:eastAsiaTheme="minorEastAsia" w:hAnsiTheme="minorHAnsi" w:cstheme="minorBidi"/>
          <w:noProof/>
          <w:sz w:val="22"/>
          <w:szCs w:val="22"/>
          <w:lang w:val="en-US" w:eastAsia="en-US"/>
        </w:rPr>
      </w:pPr>
      <w:hyperlink w:anchor="_Toc2853725" w:history="1">
        <w:r w:rsidR="0079239B" w:rsidRPr="003472B5">
          <w:rPr>
            <w:rStyle w:val="Hyperlink"/>
            <w:rFonts w:eastAsiaTheme="majorEastAsia"/>
            <w:noProof/>
          </w:rPr>
          <w:t>Figura 8  Esquema de producción en cantidades y precios</w:t>
        </w:r>
        <w:r w:rsidR="0079239B">
          <w:rPr>
            <w:noProof/>
            <w:webHidden/>
          </w:rPr>
          <w:tab/>
        </w:r>
        <w:r w:rsidR="0079239B">
          <w:rPr>
            <w:noProof/>
            <w:webHidden/>
          </w:rPr>
          <w:fldChar w:fldCharType="begin"/>
        </w:r>
        <w:r w:rsidR="0079239B">
          <w:rPr>
            <w:noProof/>
            <w:webHidden/>
          </w:rPr>
          <w:instrText xml:space="preserve"> PAGEREF _Toc2853725 \h </w:instrText>
        </w:r>
        <w:r w:rsidR="0079239B">
          <w:rPr>
            <w:noProof/>
            <w:webHidden/>
          </w:rPr>
        </w:r>
        <w:r w:rsidR="0079239B">
          <w:rPr>
            <w:noProof/>
            <w:webHidden/>
          </w:rPr>
          <w:fldChar w:fldCharType="separate"/>
        </w:r>
        <w:r w:rsidR="0079239B">
          <w:rPr>
            <w:noProof/>
            <w:webHidden/>
          </w:rPr>
          <w:t>29</w:t>
        </w:r>
        <w:r w:rsidR="0079239B">
          <w:rPr>
            <w:noProof/>
            <w:webHidden/>
          </w:rPr>
          <w:fldChar w:fldCharType="end"/>
        </w:r>
      </w:hyperlink>
    </w:p>
    <w:p w14:paraId="2FD878B6" w14:textId="519C8EFC" w:rsidR="0079239B" w:rsidRDefault="00FA183A">
      <w:pPr>
        <w:pStyle w:val="TableofFigures"/>
        <w:tabs>
          <w:tab w:val="right" w:leader="dot" w:pos="8494"/>
        </w:tabs>
        <w:rPr>
          <w:rFonts w:asciiTheme="minorHAnsi" w:eastAsiaTheme="minorEastAsia" w:hAnsiTheme="minorHAnsi" w:cstheme="minorBidi"/>
          <w:noProof/>
          <w:sz w:val="22"/>
          <w:szCs w:val="22"/>
          <w:lang w:val="en-US" w:eastAsia="en-US"/>
        </w:rPr>
      </w:pPr>
      <w:hyperlink w:anchor="_Toc2853726" w:history="1">
        <w:r w:rsidR="0079239B" w:rsidRPr="003472B5">
          <w:rPr>
            <w:rStyle w:val="Hyperlink"/>
            <w:rFonts w:eastAsiaTheme="majorEastAsia"/>
            <w:noProof/>
          </w:rPr>
          <w:t>Figura 9  Composición del PIB por el lado gasto, año 2012</w:t>
        </w:r>
        <w:r w:rsidR="0079239B">
          <w:rPr>
            <w:noProof/>
            <w:webHidden/>
          </w:rPr>
          <w:tab/>
        </w:r>
        <w:r w:rsidR="0079239B">
          <w:rPr>
            <w:noProof/>
            <w:webHidden/>
          </w:rPr>
          <w:fldChar w:fldCharType="begin"/>
        </w:r>
        <w:r w:rsidR="0079239B">
          <w:rPr>
            <w:noProof/>
            <w:webHidden/>
          </w:rPr>
          <w:instrText xml:space="preserve"> PAGEREF _Toc2853726 \h </w:instrText>
        </w:r>
        <w:r w:rsidR="0079239B">
          <w:rPr>
            <w:noProof/>
            <w:webHidden/>
          </w:rPr>
        </w:r>
        <w:r w:rsidR="0079239B">
          <w:rPr>
            <w:noProof/>
            <w:webHidden/>
          </w:rPr>
          <w:fldChar w:fldCharType="separate"/>
        </w:r>
        <w:r w:rsidR="0079239B">
          <w:rPr>
            <w:noProof/>
            <w:webHidden/>
          </w:rPr>
          <w:t>51</w:t>
        </w:r>
        <w:r w:rsidR="0079239B">
          <w:rPr>
            <w:noProof/>
            <w:webHidden/>
          </w:rPr>
          <w:fldChar w:fldCharType="end"/>
        </w:r>
      </w:hyperlink>
    </w:p>
    <w:p w14:paraId="1E9BB915" w14:textId="27C9CA68" w:rsidR="0079239B" w:rsidRDefault="00FA183A">
      <w:pPr>
        <w:pStyle w:val="TableofFigures"/>
        <w:tabs>
          <w:tab w:val="right" w:leader="dot" w:pos="8494"/>
        </w:tabs>
        <w:rPr>
          <w:rFonts w:asciiTheme="minorHAnsi" w:eastAsiaTheme="minorEastAsia" w:hAnsiTheme="minorHAnsi" w:cstheme="minorBidi"/>
          <w:noProof/>
          <w:sz w:val="22"/>
          <w:szCs w:val="22"/>
          <w:lang w:val="en-US" w:eastAsia="en-US"/>
        </w:rPr>
      </w:pPr>
      <w:hyperlink w:anchor="_Toc2853727" w:history="1">
        <w:r w:rsidR="0079239B" w:rsidRPr="003472B5">
          <w:rPr>
            <w:rStyle w:val="Hyperlink"/>
            <w:rFonts w:eastAsiaTheme="majorEastAsia"/>
            <w:noProof/>
          </w:rPr>
          <w:t>Figura 10  Composición del ingreso de los hogares, año 2012</w:t>
        </w:r>
        <w:r w:rsidR="0079239B">
          <w:rPr>
            <w:noProof/>
            <w:webHidden/>
          </w:rPr>
          <w:tab/>
        </w:r>
        <w:r w:rsidR="0079239B">
          <w:rPr>
            <w:noProof/>
            <w:webHidden/>
          </w:rPr>
          <w:fldChar w:fldCharType="begin"/>
        </w:r>
        <w:r w:rsidR="0079239B">
          <w:rPr>
            <w:noProof/>
            <w:webHidden/>
          </w:rPr>
          <w:instrText xml:space="preserve"> PAGEREF _Toc2853727 \h </w:instrText>
        </w:r>
        <w:r w:rsidR="0079239B">
          <w:rPr>
            <w:noProof/>
            <w:webHidden/>
          </w:rPr>
        </w:r>
        <w:r w:rsidR="0079239B">
          <w:rPr>
            <w:noProof/>
            <w:webHidden/>
          </w:rPr>
          <w:fldChar w:fldCharType="separate"/>
        </w:r>
        <w:r w:rsidR="0079239B">
          <w:rPr>
            <w:noProof/>
            <w:webHidden/>
          </w:rPr>
          <w:t>53</w:t>
        </w:r>
        <w:r w:rsidR="0079239B">
          <w:rPr>
            <w:noProof/>
            <w:webHidden/>
          </w:rPr>
          <w:fldChar w:fldCharType="end"/>
        </w:r>
      </w:hyperlink>
    </w:p>
    <w:p w14:paraId="571821BC" w14:textId="540CAE52" w:rsidR="0079239B" w:rsidRDefault="00FA183A">
      <w:pPr>
        <w:pStyle w:val="TableofFigures"/>
        <w:tabs>
          <w:tab w:val="right" w:leader="dot" w:pos="8494"/>
        </w:tabs>
        <w:rPr>
          <w:rFonts w:asciiTheme="minorHAnsi" w:eastAsiaTheme="minorEastAsia" w:hAnsiTheme="minorHAnsi" w:cstheme="minorBidi"/>
          <w:noProof/>
          <w:sz w:val="22"/>
          <w:szCs w:val="22"/>
          <w:lang w:val="en-US" w:eastAsia="en-US"/>
        </w:rPr>
      </w:pPr>
      <w:hyperlink w:anchor="_Toc2853728" w:history="1">
        <w:r w:rsidR="0079239B" w:rsidRPr="003472B5">
          <w:rPr>
            <w:rStyle w:val="Hyperlink"/>
            <w:rFonts w:eastAsiaTheme="majorEastAsia"/>
            <w:noProof/>
          </w:rPr>
          <w:t>Figura 11  Composición de los ingresos del gobierno, año 2012</w:t>
        </w:r>
        <w:r w:rsidR="0079239B">
          <w:rPr>
            <w:noProof/>
            <w:webHidden/>
          </w:rPr>
          <w:tab/>
        </w:r>
        <w:r w:rsidR="0079239B">
          <w:rPr>
            <w:noProof/>
            <w:webHidden/>
          </w:rPr>
          <w:fldChar w:fldCharType="begin"/>
        </w:r>
        <w:r w:rsidR="0079239B">
          <w:rPr>
            <w:noProof/>
            <w:webHidden/>
          </w:rPr>
          <w:instrText xml:space="preserve"> PAGEREF _Toc2853728 \h </w:instrText>
        </w:r>
        <w:r w:rsidR="0079239B">
          <w:rPr>
            <w:noProof/>
            <w:webHidden/>
          </w:rPr>
        </w:r>
        <w:r w:rsidR="0079239B">
          <w:rPr>
            <w:noProof/>
            <w:webHidden/>
          </w:rPr>
          <w:fldChar w:fldCharType="separate"/>
        </w:r>
        <w:r w:rsidR="0079239B">
          <w:rPr>
            <w:noProof/>
            <w:webHidden/>
          </w:rPr>
          <w:t>54</w:t>
        </w:r>
        <w:r w:rsidR="0079239B">
          <w:rPr>
            <w:noProof/>
            <w:webHidden/>
          </w:rPr>
          <w:fldChar w:fldCharType="end"/>
        </w:r>
      </w:hyperlink>
    </w:p>
    <w:p w14:paraId="53D31199" w14:textId="458B19C1" w:rsidR="0079239B" w:rsidRDefault="00FA183A">
      <w:pPr>
        <w:pStyle w:val="TableofFigures"/>
        <w:tabs>
          <w:tab w:val="right" w:leader="dot" w:pos="8494"/>
        </w:tabs>
        <w:rPr>
          <w:rFonts w:asciiTheme="minorHAnsi" w:eastAsiaTheme="minorEastAsia" w:hAnsiTheme="minorHAnsi" w:cstheme="minorBidi"/>
          <w:noProof/>
          <w:sz w:val="22"/>
          <w:szCs w:val="22"/>
          <w:lang w:val="en-US" w:eastAsia="en-US"/>
        </w:rPr>
      </w:pPr>
      <w:hyperlink w:anchor="_Toc2853729" w:history="1">
        <w:r w:rsidR="0079239B" w:rsidRPr="003472B5">
          <w:rPr>
            <w:rStyle w:val="Hyperlink"/>
            <w:rFonts w:eastAsiaTheme="majorEastAsia"/>
            <w:noProof/>
          </w:rPr>
          <w:t>Figura 12  Distribución de ingresos por concepto del IGV, por producto, año 2012</w:t>
        </w:r>
        <w:r w:rsidR="0079239B">
          <w:rPr>
            <w:noProof/>
            <w:webHidden/>
          </w:rPr>
          <w:tab/>
        </w:r>
        <w:r w:rsidR="0079239B">
          <w:rPr>
            <w:noProof/>
            <w:webHidden/>
          </w:rPr>
          <w:fldChar w:fldCharType="begin"/>
        </w:r>
        <w:r w:rsidR="0079239B">
          <w:rPr>
            <w:noProof/>
            <w:webHidden/>
          </w:rPr>
          <w:instrText xml:space="preserve"> PAGEREF _Toc2853729 \h </w:instrText>
        </w:r>
        <w:r w:rsidR="0079239B">
          <w:rPr>
            <w:noProof/>
            <w:webHidden/>
          </w:rPr>
        </w:r>
        <w:r w:rsidR="0079239B">
          <w:rPr>
            <w:noProof/>
            <w:webHidden/>
          </w:rPr>
          <w:fldChar w:fldCharType="separate"/>
        </w:r>
        <w:r w:rsidR="0079239B">
          <w:rPr>
            <w:noProof/>
            <w:webHidden/>
          </w:rPr>
          <w:t>56</w:t>
        </w:r>
        <w:r w:rsidR="0079239B">
          <w:rPr>
            <w:noProof/>
            <w:webHidden/>
          </w:rPr>
          <w:fldChar w:fldCharType="end"/>
        </w:r>
      </w:hyperlink>
    </w:p>
    <w:p w14:paraId="6356EE6D" w14:textId="3987CEB7" w:rsidR="0079239B" w:rsidRDefault="00FA183A">
      <w:pPr>
        <w:pStyle w:val="TableofFigures"/>
        <w:tabs>
          <w:tab w:val="right" w:leader="dot" w:pos="8494"/>
        </w:tabs>
        <w:rPr>
          <w:rFonts w:asciiTheme="minorHAnsi" w:eastAsiaTheme="minorEastAsia" w:hAnsiTheme="minorHAnsi" w:cstheme="minorBidi"/>
          <w:noProof/>
          <w:sz w:val="22"/>
          <w:szCs w:val="22"/>
          <w:lang w:val="en-US" w:eastAsia="en-US"/>
        </w:rPr>
      </w:pPr>
      <w:hyperlink w:anchor="_Toc2853730" w:history="1">
        <w:r w:rsidR="0079239B" w:rsidRPr="003472B5">
          <w:rPr>
            <w:rStyle w:val="Hyperlink"/>
            <w:rFonts w:eastAsiaTheme="majorEastAsia"/>
            <w:noProof/>
          </w:rPr>
          <w:t>Figura 13  Presión del sistema tributario según decil de los hogares, año 2012</w:t>
        </w:r>
        <w:r w:rsidR="0079239B">
          <w:rPr>
            <w:noProof/>
            <w:webHidden/>
          </w:rPr>
          <w:tab/>
        </w:r>
        <w:r w:rsidR="0079239B">
          <w:rPr>
            <w:noProof/>
            <w:webHidden/>
          </w:rPr>
          <w:fldChar w:fldCharType="begin"/>
        </w:r>
        <w:r w:rsidR="0079239B">
          <w:rPr>
            <w:noProof/>
            <w:webHidden/>
          </w:rPr>
          <w:instrText xml:space="preserve"> PAGEREF _Toc2853730 \h </w:instrText>
        </w:r>
        <w:r w:rsidR="0079239B">
          <w:rPr>
            <w:noProof/>
            <w:webHidden/>
          </w:rPr>
        </w:r>
        <w:r w:rsidR="0079239B">
          <w:rPr>
            <w:noProof/>
            <w:webHidden/>
          </w:rPr>
          <w:fldChar w:fldCharType="separate"/>
        </w:r>
        <w:r w:rsidR="0079239B">
          <w:rPr>
            <w:noProof/>
            <w:webHidden/>
          </w:rPr>
          <w:t>57</w:t>
        </w:r>
        <w:r w:rsidR="0079239B">
          <w:rPr>
            <w:noProof/>
            <w:webHidden/>
          </w:rPr>
          <w:fldChar w:fldCharType="end"/>
        </w:r>
      </w:hyperlink>
    </w:p>
    <w:p w14:paraId="1905AF41" w14:textId="5B39F1FF" w:rsidR="0079239B" w:rsidRDefault="00FA183A">
      <w:pPr>
        <w:pStyle w:val="TableofFigures"/>
        <w:tabs>
          <w:tab w:val="right" w:leader="dot" w:pos="8494"/>
        </w:tabs>
        <w:rPr>
          <w:rFonts w:asciiTheme="minorHAnsi" w:eastAsiaTheme="minorEastAsia" w:hAnsiTheme="minorHAnsi" w:cstheme="minorBidi"/>
          <w:noProof/>
          <w:sz w:val="22"/>
          <w:szCs w:val="22"/>
          <w:lang w:val="en-US" w:eastAsia="en-US"/>
        </w:rPr>
      </w:pPr>
      <w:hyperlink w:anchor="_Toc2853731" w:history="1">
        <w:r w:rsidR="0079239B" w:rsidRPr="003472B5">
          <w:rPr>
            <w:rStyle w:val="Hyperlink"/>
            <w:rFonts w:eastAsiaTheme="majorEastAsia"/>
            <w:noProof/>
          </w:rPr>
          <w:t>Figura 14  Presión tributaria según escenario de simulación</w:t>
        </w:r>
        <w:r w:rsidR="0079239B">
          <w:rPr>
            <w:noProof/>
            <w:webHidden/>
          </w:rPr>
          <w:tab/>
        </w:r>
        <w:r w:rsidR="0079239B">
          <w:rPr>
            <w:noProof/>
            <w:webHidden/>
          </w:rPr>
          <w:fldChar w:fldCharType="begin"/>
        </w:r>
        <w:r w:rsidR="0079239B">
          <w:rPr>
            <w:noProof/>
            <w:webHidden/>
          </w:rPr>
          <w:instrText xml:space="preserve"> PAGEREF _Toc2853731 \h </w:instrText>
        </w:r>
        <w:r w:rsidR="0079239B">
          <w:rPr>
            <w:noProof/>
            <w:webHidden/>
          </w:rPr>
        </w:r>
        <w:r w:rsidR="0079239B">
          <w:rPr>
            <w:noProof/>
            <w:webHidden/>
          </w:rPr>
          <w:fldChar w:fldCharType="separate"/>
        </w:r>
        <w:r w:rsidR="0079239B">
          <w:rPr>
            <w:noProof/>
            <w:webHidden/>
          </w:rPr>
          <w:t>59</w:t>
        </w:r>
        <w:r w:rsidR="0079239B">
          <w:rPr>
            <w:noProof/>
            <w:webHidden/>
          </w:rPr>
          <w:fldChar w:fldCharType="end"/>
        </w:r>
      </w:hyperlink>
    </w:p>
    <w:p w14:paraId="0A211A6C" w14:textId="6F779017" w:rsidR="0079239B" w:rsidRDefault="00FA183A">
      <w:pPr>
        <w:pStyle w:val="TableofFigures"/>
        <w:tabs>
          <w:tab w:val="right" w:leader="dot" w:pos="8494"/>
        </w:tabs>
        <w:rPr>
          <w:rFonts w:asciiTheme="minorHAnsi" w:eastAsiaTheme="minorEastAsia" w:hAnsiTheme="minorHAnsi" w:cstheme="minorBidi"/>
          <w:noProof/>
          <w:sz w:val="22"/>
          <w:szCs w:val="22"/>
          <w:lang w:val="en-US" w:eastAsia="en-US"/>
        </w:rPr>
      </w:pPr>
      <w:hyperlink w:anchor="_Toc2853732" w:history="1">
        <w:r w:rsidR="0079239B" w:rsidRPr="003472B5">
          <w:rPr>
            <w:rStyle w:val="Hyperlink"/>
            <w:rFonts w:eastAsiaTheme="majorEastAsia"/>
            <w:noProof/>
          </w:rPr>
          <w:t>Figura 15 Presión tributaria del sistema tributario, por simulación base y escenario 5</w:t>
        </w:r>
        <w:r w:rsidR="0079239B">
          <w:rPr>
            <w:noProof/>
            <w:webHidden/>
          </w:rPr>
          <w:tab/>
        </w:r>
        <w:r w:rsidR="0079239B">
          <w:rPr>
            <w:noProof/>
            <w:webHidden/>
          </w:rPr>
          <w:fldChar w:fldCharType="begin"/>
        </w:r>
        <w:r w:rsidR="0079239B">
          <w:rPr>
            <w:noProof/>
            <w:webHidden/>
          </w:rPr>
          <w:instrText xml:space="preserve"> PAGEREF _Toc2853732 \h </w:instrText>
        </w:r>
        <w:r w:rsidR="0079239B">
          <w:rPr>
            <w:noProof/>
            <w:webHidden/>
          </w:rPr>
        </w:r>
        <w:r w:rsidR="0079239B">
          <w:rPr>
            <w:noProof/>
            <w:webHidden/>
          </w:rPr>
          <w:fldChar w:fldCharType="separate"/>
        </w:r>
        <w:r w:rsidR="0079239B">
          <w:rPr>
            <w:noProof/>
            <w:webHidden/>
          </w:rPr>
          <w:t>61</w:t>
        </w:r>
        <w:r w:rsidR="0079239B">
          <w:rPr>
            <w:noProof/>
            <w:webHidden/>
          </w:rPr>
          <w:fldChar w:fldCharType="end"/>
        </w:r>
      </w:hyperlink>
    </w:p>
    <w:p w14:paraId="32FF517D" w14:textId="1EAF7391" w:rsidR="0079239B" w:rsidRDefault="00FA183A">
      <w:pPr>
        <w:pStyle w:val="TableofFigures"/>
        <w:tabs>
          <w:tab w:val="right" w:leader="dot" w:pos="8494"/>
        </w:tabs>
        <w:rPr>
          <w:rFonts w:asciiTheme="minorHAnsi" w:eastAsiaTheme="minorEastAsia" w:hAnsiTheme="minorHAnsi" w:cstheme="minorBidi"/>
          <w:noProof/>
          <w:sz w:val="22"/>
          <w:szCs w:val="22"/>
          <w:lang w:val="en-US" w:eastAsia="en-US"/>
        </w:rPr>
      </w:pPr>
      <w:hyperlink w:anchor="_Toc2853733" w:history="1">
        <w:r w:rsidR="0079239B" w:rsidRPr="003472B5">
          <w:rPr>
            <w:rStyle w:val="Hyperlink"/>
            <w:rFonts w:eastAsiaTheme="majorEastAsia"/>
            <w:noProof/>
          </w:rPr>
          <w:t>Figura 16  Cambio porcentual respecto al escenario base, en la producción de bienes y servicios</w:t>
        </w:r>
        <w:r w:rsidR="0079239B">
          <w:rPr>
            <w:noProof/>
            <w:webHidden/>
          </w:rPr>
          <w:tab/>
        </w:r>
        <w:r w:rsidR="0079239B">
          <w:rPr>
            <w:noProof/>
            <w:webHidden/>
          </w:rPr>
          <w:fldChar w:fldCharType="begin"/>
        </w:r>
        <w:r w:rsidR="0079239B">
          <w:rPr>
            <w:noProof/>
            <w:webHidden/>
          </w:rPr>
          <w:instrText xml:space="preserve"> PAGEREF _Toc2853733 \h </w:instrText>
        </w:r>
        <w:r w:rsidR="0079239B">
          <w:rPr>
            <w:noProof/>
            <w:webHidden/>
          </w:rPr>
        </w:r>
        <w:r w:rsidR="0079239B">
          <w:rPr>
            <w:noProof/>
            <w:webHidden/>
          </w:rPr>
          <w:fldChar w:fldCharType="separate"/>
        </w:r>
        <w:r w:rsidR="0079239B">
          <w:rPr>
            <w:noProof/>
            <w:webHidden/>
          </w:rPr>
          <w:t>62</w:t>
        </w:r>
        <w:r w:rsidR="0079239B">
          <w:rPr>
            <w:noProof/>
            <w:webHidden/>
          </w:rPr>
          <w:fldChar w:fldCharType="end"/>
        </w:r>
      </w:hyperlink>
    </w:p>
    <w:p w14:paraId="636C5210" w14:textId="3500A241" w:rsidR="00060219" w:rsidRDefault="007044A9" w:rsidP="00060219">
      <w:pPr>
        <w:spacing w:line="240" w:lineRule="auto"/>
      </w:pPr>
      <w:r>
        <w:fldChar w:fldCharType="end"/>
      </w:r>
      <w:r w:rsidR="00060219">
        <w:br w:type="page"/>
      </w:r>
    </w:p>
    <w:p w14:paraId="59D6FD72" w14:textId="480CEA24" w:rsidR="0067744C" w:rsidRDefault="0067744C" w:rsidP="00C139E7">
      <w:pPr>
        <w:pStyle w:val="Heading1"/>
        <w:spacing w:line="240" w:lineRule="auto"/>
      </w:pPr>
      <w:bookmarkStart w:id="9" w:name="_Toc2853742"/>
      <w:r>
        <w:lastRenderedPageBreak/>
        <w:t xml:space="preserve">Índice de </w:t>
      </w:r>
      <w:r w:rsidR="007823B0">
        <w:t>Tablas</w:t>
      </w:r>
      <w:bookmarkEnd w:id="9"/>
    </w:p>
    <w:p w14:paraId="6E29D8BE" w14:textId="77777777" w:rsidR="0067744C" w:rsidRDefault="0067744C" w:rsidP="00C139E7">
      <w:pPr>
        <w:pStyle w:val="TableofFigures"/>
        <w:tabs>
          <w:tab w:val="right" w:leader="dot" w:pos="8494"/>
        </w:tabs>
        <w:spacing w:line="240" w:lineRule="auto"/>
      </w:pPr>
    </w:p>
    <w:p w14:paraId="353B2FF9" w14:textId="190B71DA" w:rsidR="0079239B" w:rsidRDefault="00B276BF">
      <w:pPr>
        <w:pStyle w:val="TableofFigures"/>
        <w:tabs>
          <w:tab w:val="right" w:leader="dot" w:pos="8494"/>
        </w:tabs>
        <w:rPr>
          <w:rFonts w:asciiTheme="minorHAnsi" w:eastAsiaTheme="minorEastAsia" w:hAnsiTheme="minorHAnsi" w:cstheme="minorBidi"/>
          <w:noProof/>
          <w:sz w:val="22"/>
          <w:szCs w:val="22"/>
          <w:lang w:val="en-US" w:eastAsia="en-US"/>
        </w:rPr>
      </w:pPr>
      <w:r>
        <w:fldChar w:fldCharType="begin"/>
      </w:r>
      <w:r>
        <w:instrText xml:space="preserve"> TOC \h \z \c "Tabla" </w:instrText>
      </w:r>
      <w:r>
        <w:fldChar w:fldCharType="separate"/>
      </w:r>
      <w:hyperlink w:anchor="_Toc2853691" w:history="1">
        <w:r w:rsidR="0079239B" w:rsidRPr="00FB5A8F">
          <w:rPr>
            <w:rStyle w:val="Hyperlink"/>
            <w:rFonts w:eastAsiaTheme="majorEastAsia"/>
            <w:noProof/>
          </w:rPr>
          <w:t>Tabla 1  Transacciones en el modelo STAGE</w:t>
        </w:r>
        <w:r w:rsidR="0079239B">
          <w:rPr>
            <w:noProof/>
            <w:webHidden/>
          </w:rPr>
          <w:tab/>
        </w:r>
        <w:r w:rsidR="0079239B">
          <w:rPr>
            <w:noProof/>
            <w:webHidden/>
          </w:rPr>
          <w:fldChar w:fldCharType="begin"/>
        </w:r>
        <w:r w:rsidR="0079239B">
          <w:rPr>
            <w:noProof/>
            <w:webHidden/>
          </w:rPr>
          <w:instrText xml:space="preserve"> PAGEREF _Toc2853691 \h </w:instrText>
        </w:r>
        <w:r w:rsidR="0079239B">
          <w:rPr>
            <w:noProof/>
            <w:webHidden/>
          </w:rPr>
        </w:r>
        <w:r w:rsidR="0079239B">
          <w:rPr>
            <w:noProof/>
            <w:webHidden/>
          </w:rPr>
          <w:fldChar w:fldCharType="separate"/>
        </w:r>
        <w:r w:rsidR="0079239B">
          <w:rPr>
            <w:noProof/>
            <w:webHidden/>
          </w:rPr>
          <w:t>22</w:t>
        </w:r>
        <w:r w:rsidR="0079239B">
          <w:rPr>
            <w:noProof/>
            <w:webHidden/>
          </w:rPr>
          <w:fldChar w:fldCharType="end"/>
        </w:r>
      </w:hyperlink>
    </w:p>
    <w:p w14:paraId="3AAC453D" w14:textId="0AE376A9" w:rsidR="0079239B" w:rsidRDefault="00FA183A">
      <w:pPr>
        <w:pStyle w:val="TableofFigures"/>
        <w:tabs>
          <w:tab w:val="right" w:leader="dot" w:pos="8494"/>
        </w:tabs>
        <w:rPr>
          <w:rFonts w:asciiTheme="minorHAnsi" w:eastAsiaTheme="minorEastAsia" w:hAnsiTheme="minorHAnsi" w:cstheme="minorBidi"/>
          <w:noProof/>
          <w:sz w:val="22"/>
          <w:szCs w:val="22"/>
          <w:lang w:val="en-US" w:eastAsia="en-US"/>
        </w:rPr>
      </w:pPr>
      <w:hyperlink w:anchor="_Toc2853692" w:history="1">
        <w:r w:rsidR="0079239B" w:rsidRPr="00FB5A8F">
          <w:rPr>
            <w:rStyle w:val="Hyperlink"/>
            <w:rFonts w:eastAsiaTheme="majorEastAsia"/>
            <w:noProof/>
          </w:rPr>
          <w:t>Tabla 2  Bloque de exportación</w:t>
        </w:r>
        <w:r w:rsidR="0079239B">
          <w:rPr>
            <w:noProof/>
            <w:webHidden/>
          </w:rPr>
          <w:tab/>
        </w:r>
        <w:r w:rsidR="0079239B">
          <w:rPr>
            <w:noProof/>
            <w:webHidden/>
          </w:rPr>
          <w:fldChar w:fldCharType="begin"/>
        </w:r>
        <w:r w:rsidR="0079239B">
          <w:rPr>
            <w:noProof/>
            <w:webHidden/>
          </w:rPr>
          <w:instrText xml:space="preserve"> PAGEREF _Toc2853692 \h </w:instrText>
        </w:r>
        <w:r w:rsidR="0079239B">
          <w:rPr>
            <w:noProof/>
            <w:webHidden/>
          </w:rPr>
        </w:r>
        <w:r w:rsidR="0079239B">
          <w:rPr>
            <w:noProof/>
            <w:webHidden/>
          </w:rPr>
          <w:fldChar w:fldCharType="separate"/>
        </w:r>
        <w:r w:rsidR="0079239B">
          <w:rPr>
            <w:noProof/>
            <w:webHidden/>
          </w:rPr>
          <w:t>30</w:t>
        </w:r>
        <w:r w:rsidR="0079239B">
          <w:rPr>
            <w:noProof/>
            <w:webHidden/>
          </w:rPr>
          <w:fldChar w:fldCharType="end"/>
        </w:r>
      </w:hyperlink>
    </w:p>
    <w:p w14:paraId="7DE91092" w14:textId="75193EBC" w:rsidR="0079239B" w:rsidRDefault="00FA183A">
      <w:pPr>
        <w:pStyle w:val="TableofFigures"/>
        <w:tabs>
          <w:tab w:val="right" w:leader="dot" w:pos="8494"/>
        </w:tabs>
        <w:rPr>
          <w:rFonts w:asciiTheme="minorHAnsi" w:eastAsiaTheme="minorEastAsia" w:hAnsiTheme="minorHAnsi" w:cstheme="minorBidi"/>
          <w:noProof/>
          <w:sz w:val="22"/>
          <w:szCs w:val="22"/>
          <w:lang w:val="en-US" w:eastAsia="en-US"/>
        </w:rPr>
      </w:pPr>
      <w:hyperlink w:anchor="_Toc2853693" w:history="1">
        <w:r w:rsidR="0079239B" w:rsidRPr="00FB5A8F">
          <w:rPr>
            <w:rStyle w:val="Hyperlink"/>
            <w:rFonts w:eastAsiaTheme="majorEastAsia"/>
            <w:noProof/>
          </w:rPr>
          <w:t>Tabla 3  Bloque de importación</w:t>
        </w:r>
        <w:r w:rsidR="0079239B">
          <w:rPr>
            <w:noProof/>
            <w:webHidden/>
          </w:rPr>
          <w:tab/>
        </w:r>
        <w:r w:rsidR="0079239B">
          <w:rPr>
            <w:noProof/>
            <w:webHidden/>
          </w:rPr>
          <w:fldChar w:fldCharType="begin"/>
        </w:r>
        <w:r w:rsidR="0079239B">
          <w:rPr>
            <w:noProof/>
            <w:webHidden/>
          </w:rPr>
          <w:instrText xml:space="preserve"> PAGEREF _Toc2853693 \h </w:instrText>
        </w:r>
        <w:r w:rsidR="0079239B">
          <w:rPr>
            <w:noProof/>
            <w:webHidden/>
          </w:rPr>
        </w:r>
        <w:r w:rsidR="0079239B">
          <w:rPr>
            <w:noProof/>
            <w:webHidden/>
          </w:rPr>
          <w:fldChar w:fldCharType="separate"/>
        </w:r>
        <w:r w:rsidR="0079239B">
          <w:rPr>
            <w:noProof/>
            <w:webHidden/>
          </w:rPr>
          <w:t>30</w:t>
        </w:r>
        <w:r w:rsidR="0079239B">
          <w:rPr>
            <w:noProof/>
            <w:webHidden/>
          </w:rPr>
          <w:fldChar w:fldCharType="end"/>
        </w:r>
      </w:hyperlink>
    </w:p>
    <w:p w14:paraId="712DA1F4" w14:textId="772CCB60" w:rsidR="0079239B" w:rsidRDefault="00FA183A">
      <w:pPr>
        <w:pStyle w:val="TableofFigures"/>
        <w:tabs>
          <w:tab w:val="right" w:leader="dot" w:pos="8494"/>
        </w:tabs>
        <w:rPr>
          <w:rFonts w:asciiTheme="minorHAnsi" w:eastAsiaTheme="minorEastAsia" w:hAnsiTheme="minorHAnsi" w:cstheme="minorBidi"/>
          <w:noProof/>
          <w:sz w:val="22"/>
          <w:szCs w:val="22"/>
          <w:lang w:val="en-US" w:eastAsia="en-US"/>
        </w:rPr>
      </w:pPr>
      <w:hyperlink w:anchor="_Toc2853694" w:history="1">
        <w:r w:rsidR="0079239B" w:rsidRPr="00FB5A8F">
          <w:rPr>
            <w:rStyle w:val="Hyperlink"/>
            <w:rFonts w:eastAsiaTheme="majorEastAsia"/>
            <w:noProof/>
          </w:rPr>
          <w:t>Tabla 4  Bloque de márgenes de comercio y transporte</w:t>
        </w:r>
        <w:r w:rsidR="0079239B">
          <w:rPr>
            <w:noProof/>
            <w:webHidden/>
          </w:rPr>
          <w:tab/>
        </w:r>
        <w:r w:rsidR="0079239B">
          <w:rPr>
            <w:noProof/>
            <w:webHidden/>
          </w:rPr>
          <w:fldChar w:fldCharType="begin"/>
        </w:r>
        <w:r w:rsidR="0079239B">
          <w:rPr>
            <w:noProof/>
            <w:webHidden/>
          </w:rPr>
          <w:instrText xml:space="preserve"> PAGEREF _Toc2853694 \h </w:instrText>
        </w:r>
        <w:r w:rsidR="0079239B">
          <w:rPr>
            <w:noProof/>
            <w:webHidden/>
          </w:rPr>
        </w:r>
        <w:r w:rsidR="0079239B">
          <w:rPr>
            <w:noProof/>
            <w:webHidden/>
          </w:rPr>
          <w:fldChar w:fldCharType="separate"/>
        </w:r>
        <w:r w:rsidR="0079239B">
          <w:rPr>
            <w:noProof/>
            <w:webHidden/>
          </w:rPr>
          <w:t>31</w:t>
        </w:r>
        <w:r w:rsidR="0079239B">
          <w:rPr>
            <w:noProof/>
            <w:webHidden/>
          </w:rPr>
          <w:fldChar w:fldCharType="end"/>
        </w:r>
      </w:hyperlink>
    </w:p>
    <w:p w14:paraId="7EAB03A6" w14:textId="277CC535" w:rsidR="0079239B" w:rsidRDefault="00FA183A">
      <w:pPr>
        <w:pStyle w:val="TableofFigures"/>
        <w:tabs>
          <w:tab w:val="right" w:leader="dot" w:pos="8494"/>
        </w:tabs>
        <w:rPr>
          <w:rFonts w:asciiTheme="minorHAnsi" w:eastAsiaTheme="minorEastAsia" w:hAnsiTheme="minorHAnsi" w:cstheme="minorBidi"/>
          <w:noProof/>
          <w:sz w:val="22"/>
          <w:szCs w:val="22"/>
          <w:lang w:val="en-US" w:eastAsia="en-US"/>
        </w:rPr>
      </w:pPr>
      <w:hyperlink w:anchor="_Toc2853695" w:history="1">
        <w:r w:rsidR="0079239B" w:rsidRPr="00FB5A8F">
          <w:rPr>
            <w:rStyle w:val="Hyperlink"/>
            <w:rFonts w:eastAsiaTheme="majorEastAsia"/>
            <w:noProof/>
          </w:rPr>
          <w:t>Tabla 5  Bloque de precios de los bienes</w:t>
        </w:r>
        <w:r w:rsidR="0079239B">
          <w:rPr>
            <w:noProof/>
            <w:webHidden/>
          </w:rPr>
          <w:tab/>
        </w:r>
        <w:r w:rsidR="0079239B">
          <w:rPr>
            <w:noProof/>
            <w:webHidden/>
          </w:rPr>
          <w:fldChar w:fldCharType="begin"/>
        </w:r>
        <w:r w:rsidR="0079239B">
          <w:rPr>
            <w:noProof/>
            <w:webHidden/>
          </w:rPr>
          <w:instrText xml:space="preserve"> PAGEREF _Toc2853695 \h </w:instrText>
        </w:r>
        <w:r w:rsidR="0079239B">
          <w:rPr>
            <w:noProof/>
            <w:webHidden/>
          </w:rPr>
        </w:r>
        <w:r w:rsidR="0079239B">
          <w:rPr>
            <w:noProof/>
            <w:webHidden/>
          </w:rPr>
          <w:fldChar w:fldCharType="separate"/>
        </w:r>
        <w:r w:rsidR="0079239B">
          <w:rPr>
            <w:noProof/>
            <w:webHidden/>
          </w:rPr>
          <w:t>31</w:t>
        </w:r>
        <w:r w:rsidR="0079239B">
          <w:rPr>
            <w:noProof/>
            <w:webHidden/>
          </w:rPr>
          <w:fldChar w:fldCharType="end"/>
        </w:r>
      </w:hyperlink>
    </w:p>
    <w:p w14:paraId="01B7FACF" w14:textId="2D0D7FEF" w:rsidR="0079239B" w:rsidRDefault="00FA183A">
      <w:pPr>
        <w:pStyle w:val="TableofFigures"/>
        <w:tabs>
          <w:tab w:val="right" w:leader="dot" w:pos="8494"/>
        </w:tabs>
        <w:rPr>
          <w:rFonts w:asciiTheme="minorHAnsi" w:eastAsiaTheme="minorEastAsia" w:hAnsiTheme="minorHAnsi" w:cstheme="minorBidi"/>
          <w:noProof/>
          <w:sz w:val="22"/>
          <w:szCs w:val="22"/>
          <w:lang w:val="en-US" w:eastAsia="en-US"/>
        </w:rPr>
      </w:pPr>
      <w:hyperlink w:anchor="_Toc2853696" w:history="1">
        <w:r w:rsidR="0079239B" w:rsidRPr="00FB5A8F">
          <w:rPr>
            <w:rStyle w:val="Hyperlink"/>
            <w:rFonts w:eastAsiaTheme="majorEastAsia"/>
            <w:noProof/>
          </w:rPr>
          <w:t>Tabla 6  Bloque numerario</w:t>
        </w:r>
        <w:r w:rsidR="0079239B">
          <w:rPr>
            <w:noProof/>
            <w:webHidden/>
          </w:rPr>
          <w:tab/>
        </w:r>
        <w:r w:rsidR="0079239B">
          <w:rPr>
            <w:noProof/>
            <w:webHidden/>
          </w:rPr>
          <w:fldChar w:fldCharType="begin"/>
        </w:r>
        <w:r w:rsidR="0079239B">
          <w:rPr>
            <w:noProof/>
            <w:webHidden/>
          </w:rPr>
          <w:instrText xml:space="preserve"> PAGEREF _Toc2853696 \h </w:instrText>
        </w:r>
        <w:r w:rsidR="0079239B">
          <w:rPr>
            <w:noProof/>
            <w:webHidden/>
          </w:rPr>
        </w:r>
        <w:r w:rsidR="0079239B">
          <w:rPr>
            <w:noProof/>
            <w:webHidden/>
          </w:rPr>
          <w:fldChar w:fldCharType="separate"/>
        </w:r>
        <w:r w:rsidR="0079239B">
          <w:rPr>
            <w:noProof/>
            <w:webHidden/>
          </w:rPr>
          <w:t>32</w:t>
        </w:r>
        <w:r w:rsidR="0079239B">
          <w:rPr>
            <w:noProof/>
            <w:webHidden/>
          </w:rPr>
          <w:fldChar w:fldCharType="end"/>
        </w:r>
      </w:hyperlink>
    </w:p>
    <w:p w14:paraId="0A1D8249" w14:textId="724BD115" w:rsidR="0079239B" w:rsidRDefault="00FA183A">
      <w:pPr>
        <w:pStyle w:val="TableofFigures"/>
        <w:tabs>
          <w:tab w:val="right" w:leader="dot" w:pos="8494"/>
        </w:tabs>
        <w:rPr>
          <w:rFonts w:asciiTheme="minorHAnsi" w:eastAsiaTheme="minorEastAsia" w:hAnsiTheme="minorHAnsi" w:cstheme="minorBidi"/>
          <w:noProof/>
          <w:sz w:val="22"/>
          <w:szCs w:val="22"/>
          <w:lang w:val="en-US" w:eastAsia="en-US"/>
        </w:rPr>
      </w:pPr>
      <w:hyperlink w:anchor="_Toc2853697" w:history="1">
        <w:r w:rsidR="0079239B" w:rsidRPr="00FB5A8F">
          <w:rPr>
            <w:rStyle w:val="Hyperlink"/>
            <w:rFonts w:eastAsiaTheme="majorEastAsia"/>
            <w:noProof/>
          </w:rPr>
          <w:t>Tabla 7  Bloque Producción nivel 1</w:t>
        </w:r>
        <w:r w:rsidR="0079239B">
          <w:rPr>
            <w:noProof/>
            <w:webHidden/>
          </w:rPr>
          <w:tab/>
        </w:r>
        <w:r w:rsidR="0079239B">
          <w:rPr>
            <w:noProof/>
            <w:webHidden/>
          </w:rPr>
          <w:fldChar w:fldCharType="begin"/>
        </w:r>
        <w:r w:rsidR="0079239B">
          <w:rPr>
            <w:noProof/>
            <w:webHidden/>
          </w:rPr>
          <w:instrText xml:space="preserve"> PAGEREF _Toc2853697 \h </w:instrText>
        </w:r>
        <w:r w:rsidR="0079239B">
          <w:rPr>
            <w:noProof/>
            <w:webHidden/>
          </w:rPr>
        </w:r>
        <w:r w:rsidR="0079239B">
          <w:rPr>
            <w:noProof/>
            <w:webHidden/>
          </w:rPr>
          <w:fldChar w:fldCharType="separate"/>
        </w:r>
        <w:r w:rsidR="0079239B">
          <w:rPr>
            <w:noProof/>
            <w:webHidden/>
          </w:rPr>
          <w:t>32</w:t>
        </w:r>
        <w:r w:rsidR="0079239B">
          <w:rPr>
            <w:noProof/>
            <w:webHidden/>
          </w:rPr>
          <w:fldChar w:fldCharType="end"/>
        </w:r>
      </w:hyperlink>
    </w:p>
    <w:p w14:paraId="291BEF02" w14:textId="1B541CDB" w:rsidR="0079239B" w:rsidRDefault="00FA183A">
      <w:pPr>
        <w:pStyle w:val="TableofFigures"/>
        <w:tabs>
          <w:tab w:val="right" w:leader="dot" w:pos="8494"/>
        </w:tabs>
        <w:rPr>
          <w:rFonts w:asciiTheme="minorHAnsi" w:eastAsiaTheme="minorEastAsia" w:hAnsiTheme="minorHAnsi" w:cstheme="minorBidi"/>
          <w:noProof/>
          <w:sz w:val="22"/>
          <w:szCs w:val="22"/>
          <w:lang w:val="en-US" w:eastAsia="en-US"/>
        </w:rPr>
      </w:pPr>
      <w:hyperlink w:anchor="_Toc2853698" w:history="1">
        <w:r w:rsidR="0079239B" w:rsidRPr="00FB5A8F">
          <w:rPr>
            <w:rStyle w:val="Hyperlink"/>
            <w:rFonts w:eastAsiaTheme="majorEastAsia"/>
            <w:noProof/>
          </w:rPr>
          <w:t>Tabla 8  Bloque Producción nivel 2</w:t>
        </w:r>
        <w:r w:rsidR="0079239B">
          <w:rPr>
            <w:noProof/>
            <w:webHidden/>
          </w:rPr>
          <w:tab/>
        </w:r>
        <w:r w:rsidR="0079239B">
          <w:rPr>
            <w:noProof/>
            <w:webHidden/>
          </w:rPr>
          <w:fldChar w:fldCharType="begin"/>
        </w:r>
        <w:r w:rsidR="0079239B">
          <w:rPr>
            <w:noProof/>
            <w:webHidden/>
          </w:rPr>
          <w:instrText xml:space="preserve"> PAGEREF _Toc2853698 \h </w:instrText>
        </w:r>
        <w:r w:rsidR="0079239B">
          <w:rPr>
            <w:noProof/>
            <w:webHidden/>
          </w:rPr>
        </w:r>
        <w:r w:rsidR="0079239B">
          <w:rPr>
            <w:noProof/>
            <w:webHidden/>
          </w:rPr>
          <w:fldChar w:fldCharType="separate"/>
        </w:r>
        <w:r w:rsidR="0079239B">
          <w:rPr>
            <w:noProof/>
            <w:webHidden/>
          </w:rPr>
          <w:t>33</w:t>
        </w:r>
        <w:r w:rsidR="0079239B">
          <w:rPr>
            <w:noProof/>
            <w:webHidden/>
          </w:rPr>
          <w:fldChar w:fldCharType="end"/>
        </w:r>
      </w:hyperlink>
    </w:p>
    <w:p w14:paraId="2FACEAF2" w14:textId="5225081E" w:rsidR="0079239B" w:rsidRDefault="00FA183A">
      <w:pPr>
        <w:pStyle w:val="TableofFigures"/>
        <w:tabs>
          <w:tab w:val="right" w:leader="dot" w:pos="8494"/>
        </w:tabs>
        <w:rPr>
          <w:rFonts w:asciiTheme="minorHAnsi" w:eastAsiaTheme="minorEastAsia" w:hAnsiTheme="minorHAnsi" w:cstheme="minorBidi"/>
          <w:noProof/>
          <w:sz w:val="22"/>
          <w:szCs w:val="22"/>
          <w:lang w:val="en-US" w:eastAsia="en-US"/>
        </w:rPr>
      </w:pPr>
      <w:hyperlink w:anchor="_Toc2853699" w:history="1">
        <w:r w:rsidR="0079239B" w:rsidRPr="00FB5A8F">
          <w:rPr>
            <w:rStyle w:val="Hyperlink"/>
            <w:rFonts w:eastAsiaTheme="majorEastAsia"/>
            <w:noProof/>
          </w:rPr>
          <w:t>Tabla 9  Bloque de bienes</w:t>
        </w:r>
        <w:r w:rsidR="0079239B">
          <w:rPr>
            <w:noProof/>
            <w:webHidden/>
          </w:rPr>
          <w:tab/>
        </w:r>
        <w:r w:rsidR="0079239B">
          <w:rPr>
            <w:noProof/>
            <w:webHidden/>
          </w:rPr>
          <w:fldChar w:fldCharType="begin"/>
        </w:r>
        <w:r w:rsidR="0079239B">
          <w:rPr>
            <w:noProof/>
            <w:webHidden/>
          </w:rPr>
          <w:instrText xml:space="preserve"> PAGEREF _Toc2853699 \h </w:instrText>
        </w:r>
        <w:r w:rsidR="0079239B">
          <w:rPr>
            <w:noProof/>
            <w:webHidden/>
          </w:rPr>
        </w:r>
        <w:r w:rsidR="0079239B">
          <w:rPr>
            <w:noProof/>
            <w:webHidden/>
          </w:rPr>
          <w:fldChar w:fldCharType="separate"/>
        </w:r>
        <w:r w:rsidR="0079239B">
          <w:rPr>
            <w:noProof/>
            <w:webHidden/>
          </w:rPr>
          <w:t>34</w:t>
        </w:r>
        <w:r w:rsidR="0079239B">
          <w:rPr>
            <w:noProof/>
            <w:webHidden/>
          </w:rPr>
          <w:fldChar w:fldCharType="end"/>
        </w:r>
      </w:hyperlink>
    </w:p>
    <w:p w14:paraId="17BE1E98" w14:textId="1BCFD3C5" w:rsidR="0079239B" w:rsidRDefault="00FA183A">
      <w:pPr>
        <w:pStyle w:val="TableofFigures"/>
        <w:tabs>
          <w:tab w:val="right" w:leader="dot" w:pos="8494"/>
        </w:tabs>
        <w:rPr>
          <w:rFonts w:asciiTheme="minorHAnsi" w:eastAsiaTheme="minorEastAsia" w:hAnsiTheme="minorHAnsi" w:cstheme="minorBidi"/>
          <w:noProof/>
          <w:sz w:val="22"/>
          <w:szCs w:val="22"/>
          <w:lang w:val="en-US" w:eastAsia="en-US"/>
        </w:rPr>
      </w:pPr>
      <w:hyperlink w:anchor="_Toc2853700" w:history="1">
        <w:r w:rsidR="0079239B" w:rsidRPr="00FB5A8F">
          <w:rPr>
            <w:rStyle w:val="Hyperlink"/>
            <w:rFonts w:eastAsiaTheme="majorEastAsia"/>
            <w:noProof/>
          </w:rPr>
          <w:t>Tabla 10  Bloque de factores</w:t>
        </w:r>
        <w:r w:rsidR="0079239B">
          <w:rPr>
            <w:noProof/>
            <w:webHidden/>
          </w:rPr>
          <w:tab/>
        </w:r>
        <w:r w:rsidR="0079239B">
          <w:rPr>
            <w:noProof/>
            <w:webHidden/>
          </w:rPr>
          <w:fldChar w:fldCharType="begin"/>
        </w:r>
        <w:r w:rsidR="0079239B">
          <w:rPr>
            <w:noProof/>
            <w:webHidden/>
          </w:rPr>
          <w:instrText xml:space="preserve"> PAGEREF _Toc2853700 \h </w:instrText>
        </w:r>
        <w:r w:rsidR="0079239B">
          <w:rPr>
            <w:noProof/>
            <w:webHidden/>
          </w:rPr>
        </w:r>
        <w:r w:rsidR="0079239B">
          <w:rPr>
            <w:noProof/>
            <w:webHidden/>
          </w:rPr>
          <w:fldChar w:fldCharType="separate"/>
        </w:r>
        <w:r w:rsidR="0079239B">
          <w:rPr>
            <w:noProof/>
            <w:webHidden/>
          </w:rPr>
          <w:t>34</w:t>
        </w:r>
        <w:r w:rsidR="0079239B">
          <w:rPr>
            <w:noProof/>
            <w:webHidden/>
          </w:rPr>
          <w:fldChar w:fldCharType="end"/>
        </w:r>
      </w:hyperlink>
    </w:p>
    <w:p w14:paraId="73A872C9" w14:textId="76497D96" w:rsidR="0079239B" w:rsidRDefault="00FA183A">
      <w:pPr>
        <w:pStyle w:val="TableofFigures"/>
        <w:tabs>
          <w:tab w:val="right" w:leader="dot" w:pos="8494"/>
        </w:tabs>
        <w:rPr>
          <w:rFonts w:asciiTheme="minorHAnsi" w:eastAsiaTheme="minorEastAsia" w:hAnsiTheme="minorHAnsi" w:cstheme="minorBidi"/>
          <w:noProof/>
          <w:sz w:val="22"/>
          <w:szCs w:val="22"/>
          <w:lang w:val="en-US" w:eastAsia="en-US"/>
        </w:rPr>
      </w:pPr>
      <w:hyperlink w:anchor="_Toc2853701" w:history="1">
        <w:r w:rsidR="0079239B" w:rsidRPr="00FB5A8F">
          <w:rPr>
            <w:rStyle w:val="Hyperlink"/>
            <w:rFonts w:eastAsiaTheme="majorEastAsia"/>
            <w:noProof/>
          </w:rPr>
          <w:t>Tabla 11  Bloque de hogares</w:t>
        </w:r>
        <w:r w:rsidR="0079239B">
          <w:rPr>
            <w:noProof/>
            <w:webHidden/>
          </w:rPr>
          <w:tab/>
        </w:r>
        <w:r w:rsidR="0079239B">
          <w:rPr>
            <w:noProof/>
            <w:webHidden/>
          </w:rPr>
          <w:fldChar w:fldCharType="begin"/>
        </w:r>
        <w:r w:rsidR="0079239B">
          <w:rPr>
            <w:noProof/>
            <w:webHidden/>
          </w:rPr>
          <w:instrText xml:space="preserve"> PAGEREF _Toc2853701 \h </w:instrText>
        </w:r>
        <w:r w:rsidR="0079239B">
          <w:rPr>
            <w:noProof/>
            <w:webHidden/>
          </w:rPr>
        </w:r>
        <w:r w:rsidR="0079239B">
          <w:rPr>
            <w:noProof/>
            <w:webHidden/>
          </w:rPr>
          <w:fldChar w:fldCharType="separate"/>
        </w:r>
        <w:r w:rsidR="0079239B">
          <w:rPr>
            <w:noProof/>
            <w:webHidden/>
          </w:rPr>
          <w:t>35</w:t>
        </w:r>
        <w:r w:rsidR="0079239B">
          <w:rPr>
            <w:noProof/>
            <w:webHidden/>
          </w:rPr>
          <w:fldChar w:fldCharType="end"/>
        </w:r>
      </w:hyperlink>
    </w:p>
    <w:p w14:paraId="20488F1B" w14:textId="26BFFE16" w:rsidR="0079239B" w:rsidRDefault="00FA183A">
      <w:pPr>
        <w:pStyle w:val="TableofFigures"/>
        <w:tabs>
          <w:tab w:val="right" w:leader="dot" w:pos="8494"/>
        </w:tabs>
        <w:rPr>
          <w:rFonts w:asciiTheme="minorHAnsi" w:eastAsiaTheme="minorEastAsia" w:hAnsiTheme="minorHAnsi" w:cstheme="minorBidi"/>
          <w:noProof/>
          <w:sz w:val="22"/>
          <w:szCs w:val="22"/>
          <w:lang w:val="en-US" w:eastAsia="en-US"/>
        </w:rPr>
      </w:pPr>
      <w:hyperlink w:anchor="_Toc2853702" w:history="1">
        <w:r w:rsidR="0079239B" w:rsidRPr="00FB5A8F">
          <w:rPr>
            <w:rStyle w:val="Hyperlink"/>
            <w:rFonts w:eastAsiaTheme="majorEastAsia"/>
            <w:noProof/>
          </w:rPr>
          <w:t>Tabla 12  Bloque de empresas</w:t>
        </w:r>
        <w:r w:rsidR="0079239B">
          <w:rPr>
            <w:noProof/>
            <w:webHidden/>
          </w:rPr>
          <w:tab/>
        </w:r>
        <w:r w:rsidR="0079239B">
          <w:rPr>
            <w:noProof/>
            <w:webHidden/>
          </w:rPr>
          <w:fldChar w:fldCharType="begin"/>
        </w:r>
        <w:r w:rsidR="0079239B">
          <w:rPr>
            <w:noProof/>
            <w:webHidden/>
          </w:rPr>
          <w:instrText xml:space="preserve"> PAGEREF _Toc2853702 \h </w:instrText>
        </w:r>
        <w:r w:rsidR="0079239B">
          <w:rPr>
            <w:noProof/>
            <w:webHidden/>
          </w:rPr>
        </w:r>
        <w:r w:rsidR="0079239B">
          <w:rPr>
            <w:noProof/>
            <w:webHidden/>
          </w:rPr>
          <w:fldChar w:fldCharType="separate"/>
        </w:r>
        <w:r w:rsidR="0079239B">
          <w:rPr>
            <w:noProof/>
            <w:webHidden/>
          </w:rPr>
          <w:t>35</w:t>
        </w:r>
        <w:r w:rsidR="0079239B">
          <w:rPr>
            <w:noProof/>
            <w:webHidden/>
          </w:rPr>
          <w:fldChar w:fldCharType="end"/>
        </w:r>
      </w:hyperlink>
    </w:p>
    <w:p w14:paraId="1AA6C744" w14:textId="54A15234" w:rsidR="0079239B" w:rsidRDefault="00FA183A">
      <w:pPr>
        <w:pStyle w:val="TableofFigures"/>
        <w:tabs>
          <w:tab w:val="right" w:leader="dot" w:pos="8494"/>
        </w:tabs>
        <w:rPr>
          <w:rFonts w:asciiTheme="minorHAnsi" w:eastAsiaTheme="minorEastAsia" w:hAnsiTheme="minorHAnsi" w:cstheme="minorBidi"/>
          <w:noProof/>
          <w:sz w:val="22"/>
          <w:szCs w:val="22"/>
          <w:lang w:val="en-US" w:eastAsia="en-US"/>
        </w:rPr>
      </w:pPr>
      <w:hyperlink w:anchor="_Toc2853703" w:history="1">
        <w:r w:rsidR="0079239B" w:rsidRPr="00FB5A8F">
          <w:rPr>
            <w:rStyle w:val="Hyperlink"/>
            <w:rFonts w:eastAsiaTheme="majorEastAsia"/>
            <w:noProof/>
          </w:rPr>
          <w:t>Tabla 13  Bloque de impuestos</w:t>
        </w:r>
        <w:r w:rsidR="0079239B">
          <w:rPr>
            <w:noProof/>
            <w:webHidden/>
          </w:rPr>
          <w:tab/>
        </w:r>
        <w:r w:rsidR="0079239B">
          <w:rPr>
            <w:noProof/>
            <w:webHidden/>
          </w:rPr>
          <w:fldChar w:fldCharType="begin"/>
        </w:r>
        <w:r w:rsidR="0079239B">
          <w:rPr>
            <w:noProof/>
            <w:webHidden/>
          </w:rPr>
          <w:instrText xml:space="preserve"> PAGEREF _Toc2853703 \h </w:instrText>
        </w:r>
        <w:r w:rsidR="0079239B">
          <w:rPr>
            <w:noProof/>
            <w:webHidden/>
          </w:rPr>
        </w:r>
        <w:r w:rsidR="0079239B">
          <w:rPr>
            <w:noProof/>
            <w:webHidden/>
          </w:rPr>
          <w:fldChar w:fldCharType="separate"/>
        </w:r>
        <w:r w:rsidR="0079239B">
          <w:rPr>
            <w:noProof/>
            <w:webHidden/>
          </w:rPr>
          <w:t>36</w:t>
        </w:r>
        <w:r w:rsidR="0079239B">
          <w:rPr>
            <w:noProof/>
            <w:webHidden/>
          </w:rPr>
          <w:fldChar w:fldCharType="end"/>
        </w:r>
      </w:hyperlink>
    </w:p>
    <w:p w14:paraId="0B3747FC" w14:textId="375D896B" w:rsidR="0079239B" w:rsidRDefault="00FA183A">
      <w:pPr>
        <w:pStyle w:val="TableofFigures"/>
        <w:tabs>
          <w:tab w:val="right" w:leader="dot" w:pos="8494"/>
        </w:tabs>
        <w:rPr>
          <w:rFonts w:asciiTheme="minorHAnsi" w:eastAsiaTheme="minorEastAsia" w:hAnsiTheme="minorHAnsi" w:cstheme="minorBidi"/>
          <w:noProof/>
          <w:sz w:val="22"/>
          <w:szCs w:val="22"/>
          <w:lang w:val="en-US" w:eastAsia="en-US"/>
        </w:rPr>
      </w:pPr>
      <w:hyperlink w:anchor="_Toc2853704" w:history="1">
        <w:r w:rsidR="0079239B" w:rsidRPr="00FB5A8F">
          <w:rPr>
            <w:rStyle w:val="Hyperlink"/>
            <w:rFonts w:eastAsiaTheme="majorEastAsia"/>
            <w:noProof/>
          </w:rPr>
          <w:t>Tabla 14  Bloque del gobierno</w:t>
        </w:r>
        <w:r w:rsidR="0079239B">
          <w:rPr>
            <w:noProof/>
            <w:webHidden/>
          </w:rPr>
          <w:tab/>
        </w:r>
        <w:r w:rsidR="0079239B">
          <w:rPr>
            <w:noProof/>
            <w:webHidden/>
          </w:rPr>
          <w:fldChar w:fldCharType="begin"/>
        </w:r>
        <w:r w:rsidR="0079239B">
          <w:rPr>
            <w:noProof/>
            <w:webHidden/>
          </w:rPr>
          <w:instrText xml:space="preserve"> PAGEREF _Toc2853704 \h </w:instrText>
        </w:r>
        <w:r w:rsidR="0079239B">
          <w:rPr>
            <w:noProof/>
            <w:webHidden/>
          </w:rPr>
        </w:r>
        <w:r w:rsidR="0079239B">
          <w:rPr>
            <w:noProof/>
            <w:webHidden/>
          </w:rPr>
          <w:fldChar w:fldCharType="separate"/>
        </w:r>
        <w:r w:rsidR="0079239B">
          <w:rPr>
            <w:noProof/>
            <w:webHidden/>
          </w:rPr>
          <w:t>37</w:t>
        </w:r>
        <w:r w:rsidR="0079239B">
          <w:rPr>
            <w:noProof/>
            <w:webHidden/>
          </w:rPr>
          <w:fldChar w:fldCharType="end"/>
        </w:r>
      </w:hyperlink>
    </w:p>
    <w:p w14:paraId="62D13E93" w14:textId="05FE46F5" w:rsidR="0079239B" w:rsidRDefault="00FA183A">
      <w:pPr>
        <w:pStyle w:val="TableofFigures"/>
        <w:tabs>
          <w:tab w:val="right" w:leader="dot" w:pos="8494"/>
        </w:tabs>
        <w:rPr>
          <w:rFonts w:asciiTheme="minorHAnsi" w:eastAsiaTheme="minorEastAsia" w:hAnsiTheme="minorHAnsi" w:cstheme="minorBidi"/>
          <w:noProof/>
          <w:sz w:val="22"/>
          <w:szCs w:val="22"/>
          <w:lang w:val="en-US" w:eastAsia="en-US"/>
        </w:rPr>
      </w:pPr>
      <w:hyperlink w:anchor="_Toc2853705" w:history="1">
        <w:r w:rsidR="0079239B" w:rsidRPr="00FB5A8F">
          <w:rPr>
            <w:rStyle w:val="Hyperlink"/>
            <w:rFonts w:eastAsiaTheme="majorEastAsia"/>
            <w:noProof/>
          </w:rPr>
          <w:t>Tabla 15  Bloque de inversión</w:t>
        </w:r>
        <w:r w:rsidR="0079239B">
          <w:rPr>
            <w:noProof/>
            <w:webHidden/>
          </w:rPr>
          <w:tab/>
        </w:r>
        <w:r w:rsidR="0079239B">
          <w:rPr>
            <w:noProof/>
            <w:webHidden/>
          </w:rPr>
          <w:fldChar w:fldCharType="begin"/>
        </w:r>
        <w:r w:rsidR="0079239B">
          <w:rPr>
            <w:noProof/>
            <w:webHidden/>
          </w:rPr>
          <w:instrText xml:space="preserve"> PAGEREF _Toc2853705 \h </w:instrText>
        </w:r>
        <w:r w:rsidR="0079239B">
          <w:rPr>
            <w:noProof/>
            <w:webHidden/>
          </w:rPr>
        </w:r>
        <w:r w:rsidR="0079239B">
          <w:rPr>
            <w:noProof/>
            <w:webHidden/>
          </w:rPr>
          <w:fldChar w:fldCharType="separate"/>
        </w:r>
        <w:r w:rsidR="0079239B">
          <w:rPr>
            <w:noProof/>
            <w:webHidden/>
          </w:rPr>
          <w:t>38</w:t>
        </w:r>
        <w:r w:rsidR="0079239B">
          <w:rPr>
            <w:noProof/>
            <w:webHidden/>
          </w:rPr>
          <w:fldChar w:fldCharType="end"/>
        </w:r>
      </w:hyperlink>
    </w:p>
    <w:p w14:paraId="105A77CE" w14:textId="196484A7" w:rsidR="0079239B" w:rsidRDefault="00FA183A">
      <w:pPr>
        <w:pStyle w:val="TableofFigures"/>
        <w:tabs>
          <w:tab w:val="right" w:leader="dot" w:pos="8494"/>
        </w:tabs>
        <w:rPr>
          <w:rFonts w:asciiTheme="minorHAnsi" w:eastAsiaTheme="minorEastAsia" w:hAnsiTheme="minorHAnsi" w:cstheme="minorBidi"/>
          <w:noProof/>
          <w:sz w:val="22"/>
          <w:szCs w:val="22"/>
          <w:lang w:val="en-US" w:eastAsia="en-US"/>
        </w:rPr>
      </w:pPr>
      <w:hyperlink w:anchor="_Toc2853706" w:history="1">
        <w:r w:rsidR="0079239B" w:rsidRPr="00FB5A8F">
          <w:rPr>
            <w:rStyle w:val="Hyperlink"/>
            <w:rFonts w:eastAsiaTheme="majorEastAsia"/>
            <w:noProof/>
          </w:rPr>
          <w:t>Tabla 16  Bloque de institución extranjera</w:t>
        </w:r>
        <w:r w:rsidR="0079239B">
          <w:rPr>
            <w:noProof/>
            <w:webHidden/>
          </w:rPr>
          <w:tab/>
        </w:r>
        <w:r w:rsidR="0079239B">
          <w:rPr>
            <w:noProof/>
            <w:webHidden/>
          </w:rPr>
          <w:fldChar w:fldCharType="begin"/>
        </w:r>
        <w:r w:rsidR="0079239B">
          <w:rPr>
            <w:noProof/>
            <w:webHidden/>
          </w:rPr>
          <w:instrText xml:space="preserve"> PAGEREF _Toc2853706 \h </w:instrText>
        </w:r>
        <w:r w:rsidR="0079239B">
          <w:rPr>
            <w:noProof/>
            <w:webHidden/>
          </w:rPr>
        </w:r>
        <w:r w:rsidR="0079239B">
          <w:rPr>
            <w:noProof/>
            <w:webHidden/>
          </w:rPr>
          <w:fldChar w:fldCharType="separate"/>
        </w:r>
        <w:r w:rsidR="0079239B">
          <w:rPr>
            <w:noProof/>
            <w:webHidden/>
          </w:rPr>
          <w:t>38</w:t>
        </w:r>
        <w:r w:rsidR="0079239B">
          <w:rPr>
            <w:noProof/>
            <w:webHidden/>
          </w:rPr>
          <w:fldChar w:fldCharType="end"/>
        </w:r>
      </w:hyperlink>
    </w:p>
    <w:p w14:paraId="79B2CA9C" w14:textId="53E78B83" w:rsidR="0079239B" w:rsidRDefault="00FA183A">
      <w:pPr>
        <w:pStyle w:val="TableofFigures"/>
        <w:tabs>
          <w:tab w:val="right" w:leader="dot" w:pos="8494"/>
        </w:tabs>
        <w:rPr>
          <w:rFonts w:asciiTheme="minorHAnsi" w:eastAsiaTheme="minorEastAsia" w:hAnsiTheme="minorHAnsi" w:cstheme="minorBidi"/>
          <w:noProof/>
          <w:sz w:val="22"/>
          <w:szCs w:val="22"/>
          <w:lang w:val="en-US" w:eastAsia="en-US"/>
        </w:rPr>
      </w:pPr>
      <w:hyperlink w:anchor="_Toc2853707" w:history="1">
        <w:r w:rsidR="0079239B" w:rsidRPr="00FB5A8F">
          <w:rPr>
            <w:rStyle w:val="Hyperlink"/>
            <w:rFonts w:eastAsiaTheme="majorEastAsia"/>
            <w:noProof/>
          </w:rPr>
          <w:t>Tabla 17  Bloque de equilibrio de Mercado</w:t>
        </w:r>
        <w:r w:rsidR="0079239B">
          <w:rPr>
            <w:noProof/>
            <w:webHidden/>
          </w:rPr>
          <w:tab/>
        </w:r>
        <w:r w:rsidR="0079239B">
          <w:rPr>
            <w:noProof/>
            <w:webHidden/>
          </w:rPr>
          <w:fldChar w:fldCharType="begin"/>
        </w:r>
        <w:r w:rsidR="0079239B">
          <w:rPr>
            <w:noProof/>
            <w:webHidden/>
          </w:rPr>
          <w:instrText xml:space="preserve"> PAGEREF _Toc2853707 \h </w:instrText>
        </w:r>
        <w:r w:rsidR="0079239B">
          <w:rPr>
            <w:noProof/>
            <w:webHidden/>
          </w:rPr>
        </w:r>
        <w:r w:rsidR="0079239B">
          <w:rPr>
            <w:noProof/>
            <w:webHidden/>
          </w:rPr>
          <w:fldChar w:fldCharType="separate"/>
        </w:r>
        <w:r w:rsidR="0079239B">
          <w:rPr>
            <w:noProof/>
            <w:webHidden/>
          </w:rPr>
          <w:t>39</w:t>
        </w:r>
        <w:r w:rsidR="0079239B">
          <w:rPr>
            <w:noProof/>
            <w:webHidden/>
          </w:rPr>
          <w:fldChar w:fldCharType="end"/>
        </w:r>
      </w:hyperlink>
    </w:p>
    <w:p w14:paraId="5B13CC64" w14:textId="4F650CED" w:rsidR="0079239B" w:rsidRDefault="00FA183A">
      <w:pPr>
        <w:pStyle w:val="TableofFigures"/>
        <w:tabs>
          <w:tab w:val="right" w:leader="dot" w:pos="8494"/>
        </w:tabs>
        <w:rPr>
          <w:rFonts w:asciiTheme="minorHAnsi" w:eastAsiaTheme="minorEastAsia" w:hAnsiTheme="minorHAnsi" w:cstheme="minorBidi"/>
          <w:noProof/>
          <w:sz w:val="22"/>
          <w:szCs w:val="22"/>
          <w:lang w:val="en-US" w:eastAsia="en-US"/>
        </w:rPr>
      </w:pPr>
      <w:hyperlink w:anchor="_Toc2853708" w:history="1">
        <w:r w:rsidR="0079239B" w:rsidRPr="00FB5A8F">
          <w:rPr>
            <w:rStyle w:val="Hyperlink"/>
            <w:rFonts w:eastAsiaTheme="majorEastAsia"/>
            <w:noProof/>
          </w:rPr>
          <w:t>Tabla 18  Bloque de Cierre del Modelo</w:t>
        </w:r>
        <w:r w:rsidR="0079239B">
          <w:rPr>
            <w:noProof/>
            <w:webHidden/>
          </w:rPr>
          <w:tab/>
        </w:r>
        <w:r w:rsidR="0079239B">
          <w:rPr>
            <w:noProof/>
            <w:webHidden/>
          </w:rPr>
          <w:fldChar w:fldCharType="begin"/>
        </w:r>
        <w:r w:rsidR="0079239B">
          <w:rPr>
            <w:noProof/>
            <w:webHidden/>
          </w:rPr>
          <w:instrText xml:space="preserve"> PAGEREF _Toc2853708 \h </w:instrText>
        </w:r>
        <w:r w:rsidR="0079239B">
          <w:rPr>
            <w:noProof/>
            <w:webHidden/>
          </w:rPr>
        </w:r>
        <w:r w:rsidR="0079239B">
          <w:rPr>
            <w:noProof/>
            <w:webHidden/>
          </w:rPr>
          <w:fldChar w:fldCharType="separate"/>
        </w:r>
        <w:r w:rsidR="0079239B">
          <w:rPr>
            <w:noProof/>
            <w:webHidden/>
          </w:rPr>
          <w:t>40</w:t>
        </w:r>
        <w:r w:rsidR="0079239B">
          <w:rPr>
            <w:noProof/>
            <w:webHidden/>
          </w:rPr>
          <w:fldChar w:fldCharType="end"/>
        </w:r>
      </w:hyperlink>
    </w:p>
    <w:p w14:paraId="2194ECC6" w14:textId="229DFE55" w:rsidR="0079239B" w:rsidRDefault="00FA183A">
      <w:pPr>
        <w:pStyle w:val="TableofFigures"/>
        <w:tabs>
          <w:tab w:val="right" w:leader="dot" w:pos="8494"/>
        </w:tabs>
        <w:rPr>
          <w:rFonts w:asciiTheme="minorHAnsi" w:eastAsiaTheme="minorEastAsia" w:hAnsiTheme="minorHAnsi" w:cstheme="minorBidi"/>
          <w:noProof/>
          <w:sz w:val="22"/>
          <w:szCs w:val="22"/>
          <w:lang w:val="en-US" w:eastAsia="en-US"/>
        </w:rPr>
      </w:pPr>
      <w:hyperlink w:anchor="_Toc2853709" w:history="1">
        <w:r w:rsidR="0079239B" w:rsidRPr="00FB5A8F">
          <w:rPr>
            <w:rStyle w:val="Hyperlink"/>
            <w:rFonts w:eastAsiaTheme="majorEastAsia"/>
            <w:noProof/>
          </w:rPr>
          <w:t>Tabla 19  Esquema de agregación de la Matriz de Contabilidad Social 2012</w:t>
        </w:r>
        <w:r w:rsidR="0079239B">
          <w:rPr>
            <w:noProof/>
            <w:webHidden/>
          </w:rPr>
          <w:tab/>
        </w:r>
        <w:r w:rsidR="0079239B">
          <w:rPr>
            <w:noProof/>
            <w:webHidden/>
          </w:rPr>
          <w:fldChar w:fldCharType="begin"/>
        </w:r>
        <w:r w:rsidR="0079239B">
          <w:rPr>
            <w:noProof/>
            <w:webHidden/>
          </w:rPr>
          <w:instrText xml:space="preserve"> PAGEREF _Toc2853709 \h </w:instrText>
        </w:r>
        <w:r w:rsidR="0079239B">
          <w:rPr>
            <w:noProof/>
            <w:webHidden/>
          </w:rPr>
        </w:r>
        <w:r w:rsidR="0079239B">
          <w:rPr>
            <w:noProof/>
            <w:webHidden/>
          </w:rPr>
          <w:fldChar w:fldCharType="separate"/>
        </w:r>
        <w:r w:rsidR="0079239B">
          <w:rPr>
            <w:noProof/>
            <w:webHidden/>
          </w:rPr>
          <w:t>46</w:t>
        </w:r>
        <w:r w:rsidR="0079239B">
          <w:rPr>
            <w:noProof/>
            <w:webHidden/>
          </w:rPr>
          <w:fldChar w:fldCharType="end"/>
        </w:r>
      </w:hyperlink>
    </w:p>
    <w:p w14:paraId="694C369A" w14:textId="70DF4FD5" w:rsidR="0079239B" w:rsidRDefault="00FA183A">
      <w:pPr>
        <w:pStyle w:val="TableofFigures"/>
        <w:tabs>
          <w:tab w:val="right" w:leader="dot" w:pos="8494"/>
        </w:tabs>
        <w:rPr>
          <w:rFonts w:asciiTheme="minorHAnsi" w:eastAsiaTheme="minorEastAsia" w:hAnsiTheme="minorHAnsi" w:cstheme="minorBidi"/>
          <w:noProof/>
          <w:sz w:val="22"/>
          <w:szCs w:val="22"/>
          <w:lang w:val="en-US" w:eastAsia="en-US"/>
        </w:rPr>
      </w:pPr>
      <w:hyperlink w:anchor="_Toc2853710" w:history="1">
        <w:r w:rsidR="0079239B" w:rsidRPr="00FB5A8F">
          <w:rPr>
            <w:rStyle w:val="Hyperlink"/>
            <w:rFonts w:eastAsiaTheme="majorEastAsia"/>
            <w:noProof/>
          </w:rPr>
          <w:t>Tabla 20  Composición del gasto en bienes, año 2012</w:t>
        </w:r>
        <w:r w:rsidR="0079239B">
          <w:rPr>
            <w:noProof/>
            <w:webHidden/>
          </w:rPr>
          <w:tab/>
        </w:r>
        <w:r w:rsidR="0079239B">
          <w:rPr>
            <w:noProof/>
            <w:webHidden/>
          </w:rPr>
          <w:fldChar w:fldCharType="begin"/>
        </w:r>
        <w:r w:rsidR="0079239B">
          <w:rPr>
            <w:noProof/>
            <w:webHidden/>
          </w:rPr>
          <w:instrText xml:space="preserve"> PAGEREF _Toc2853710 \h </w:instrText>
        </w:r>
        <w:r w:rsidR="0079239B">
          <w:rPr>
            <w:noProof/>
            <w:webHidden/>
          </w:rPr>
        </w:r>
        <w:r w:rsidR="0079239B">
          <w:rPr>
            <w:noProof/>
            <w:webHidden/>
          </w:rPr>
          <w:fldChar w:fldCharType="separate"/>
        </w:r>
        <w:r w:rsidR="0079239B">
          <w:rPr>
            <w:noProof/>
            <w:webHidden/>
          </w:rPr>
          <w:t>51</w:t>
        </w:r>
        <w:r w:rsidR="0079239B">
          <w:rPr>
            <w:noProof/>
            <w:webHidden/>
          </w:rPr>
          <w:fldChar w:fldCharType="end"/>
        </w:r>
      </w:hyperlink>
    </w:p>
    <w:p w14:paraId="2BD7A782" w14:textId="3823876E" w:rsidR="0079239B" w:rsidRDefault="00FA183A">
      <w:pPr>
        <w:pStyle w:val="TableofFigures"/>
        <w:tabs>
          <w:tab w:val="right" w:leader="dot" w:pos="8494"/>
        </w:tabs>
        <w:rPr>
          <w:rFonts w:asciiTheme="minorHAnsi" w:eastAsiaTheme="minorEastAsia" w:hAnsiTheme="minorHAnsi" w:cstheme="minorBidi"/>
          <w:noProof/>
          <w:sz w:val="22"/>
          <w:szCs w:val="22"/>
          <w:lang w:val="en-US" w:eastAsia="en-US"/>
        </w:rPr>
      </w:pPr>
      <w:hyperlink w:anchor="_Toc2853711" w:history="1">
        <w:r w:rsidR="0079239B" w:rsidRPr="00FB5A8F">
          <w:rPr>
            <w:rStyle w:val="Hyperlink"/>
            <w:rFonts w:eastAsiaTheme="majorEastAsia"/>
            <w:noProof/>
          </w:rPr>
          <w:t>Tabla 21  Tasas efectivas del impuesto sobre las ventas, según producto, año 2012</w:t>
        </w:r>
        <w:r w:rsidR="0079239B">
          <w:rPr>
            <w:noProof/>
            <w:webHidden/>
          </w:rPr>
          <w:tab/>
        </w:r>
        <w:r w:rsidR="0079239B">
          <w:rPr>
            <w:noProof/>
            <w:webHidden/>
          </w:rPr>
          <w:fldChar w:fldCharType="begin"/>
        </w:r>
        <w:r w:rsidR="0079239B">
          <w:rPr>
            <w:noProof/>
            <w:webHidden/>
          </w:rPr>
          <w:instrText xml:space="preserve"> PAGEREF _Toc2853711 \h </w:instrText>
        </w:r>
        <w:r w:rsidR="0079239B">
          <w:rPr>
            <w:noProof/>
            <w:webHidden/>
          </w:rPr>
        </w:r>
        <w:r w:rsidR="0079239B">
          <w:rPr>
            <w:noProof/>
            <w:webHidden/>
          </w:rPr>
          <w:fldChar w:fldCharType="separate"/>
        </w:r>
        <w:r w:rsidR="0079239B">
          <w:rPr>
            <w:noProof/>
            <w:webHidden/>
          </w:rPr>
          <w:t>54</w:t>
        </w:r>
        <w:r w:rsidR="0079239B">
          <w:rPr>
            <w:noProof/>
            <w:webHidden/>
          </w:rPr>
          <w:fldChar w:fldCharType="end"/>
        </w:r>
      </w:hyperlink>
    </w:p>
    <w:p w14:paraId="0B41FFD8" w14:textId="4A228EEB" w:rsidR="0079239B" w:rsidRDefault="00FA183A">
      <w:pPr>
        <w:pStyle w:val="TableofFigures"/>
        <w:tabs>
          <w:tab w:val="right" w:leader="dot" w:pos="8494"/>
        </w:tabs>
        <w:rPr>
          <w:rFonts w:asciiTheme="minorHAnsi" w:eastAsiaTheme="minorEastAsia" w:hAnsiTheme="minorHAnsi" w:cstheme="minorBidi"/>
          <w:noProof/>
          <w:sz w:val="22"/>
          <w:szCs w:val="22"/>
          <w:lang w:val="en-US" w:eastAsia="en-US"/>
        </w:rPr>
      </w:pPr>
      <w:hyperlink w:anchor="_Toc2853712" w:history="1">
        <w:r w:rsidR="0079239B" w:rsidRPr="00FB5A8F">
          <w:rPr>
            <w:rStyle w:val="Hyperlink"/>
            <w:rFonts w:eastAsiaTheme="majorEastAsia"/>
            <w:noProof/>
          </w:rPr>
          <w:t>Tabla 22.  Simulaciones para el análisis de incidencia.</w:t>
        </w:r>
        <w:r w:rsidR="0079239B">
          <w:rPr>
            <w:noProof/>
            <w:webHidden/>
          </w:rPr>
          <w:tab/>
        </w:r>
        <w:r w:rsidR="0079239B">
          <w:rPr>
            <w:noProof/>
            <w:webHidden/>
          </w:rPr>
          <w:fldChar w:fldCharType="begin"/>
        </w:r>
        <w:r w:rsidR="0079239B">
          <w:rPr>
            <w:noProof/>
            <w:webHidden/>
          </w:rPr>
          <w:instrText xml:space="preserve"> PAGEREF _Toc2853712 \h </w:instrText>
        </w:r>
        <w:r w:rsidR="0079239B">
          <w:rPr>
            <w:noProof/>
            <w:webHidden/>
          </w:rPr>
        </w:r>
        <w:r w:rsidR="0079239B">
          <w:rPr>
            <w:noProof/>
            <w:webHidden/>
          </w:rPr>
          <w:fldChar w:fldCharType="separate"/>
        </w:r>
        <w:r w:rsidR="0079239B">
          <w:rPr>
            <w:noProof/>
            <w:webHidden/>
          </w:rPr>
          <w:t>58</w:t>
        </w:r>
        <w:r w:rsidR="0079239B">
          <w:rPr>
            <w:noProof/>
            <w:webHidden/>
          </w:rPr>
          <w:fldChar w:fldCharType="end"/>
        </w:r>
      </w:hyperlink>
    </w:p>
    <w:p w14:paraId="7E00BE3B" w14:textId="538F739A" w:rsidR="0079239B" w:rsidRDefault="00FA183A">
      <w:pPr>
        <w:pStyle w:val="TableofFigures"/>
        <w:tabs>
          <w:tab w:val="right" w:leader="dot" w:pos="8494"/>
        </w:tabs>
        <w:rPr>
          <w:rFonts w:asciiTheme="minorHAnsi" w:eastAsiaTheme="minorEastAsia" w:hAnsiTheme="minorHAnsi" w:cstheme="minorBidi"/>
          <w:noProof/>
          <w:sz w:val="22"/>
          <w:szCs w:val="22"/>
          <w:lang w:val="en-US" w:eastAsia="en-US"/>
        </w:rPr>
      </w:pPr>
      <w:hyperlink w:anchor="_Toc2853713" w:history="1">
        <w:r w:rsidR="0079239B" w:rsidRPr="00FB5A8F">
          <w:rPr>
            <w:rStyle w:val="Hyperlink"/>
            <w:rFonts w:eastAsiaTheme="majorEastAsia"/>
            <w:noProof/>
          </w:rPr>
          <w:t>Tabla 23  Variación Equivalente por simulación y por decil</w:t>
        </w:r>
        <w:r w:rsidR="0079239B">
          <w:rPr>
            <w:noProof/>
            <w:webHidden/>
          </w:rPr>
          <w:tab/>
        </w:r>
        <w:r w:rsidR="0079239B">
          <w:rPr>
            <w:noProof/>
            <w:webHidden/>
          </w:rPr>
          <w:fldChar w:fldCharType="begin"/>
        </w:r>
        <w:r w:rsidR="0079239B">
          <w:rPr>
            <w:noProof/>
            <w:webHidden/>
          </w:rPr>
          <w:instrText xml:space="preserve"> PAGEREF _Toc2853713 \h </w:instrText>
        </w:r>
        <w:r w:rsidR="0079239B">
          <w:rPr>
            <w:noProof/>
            <w:webHidden/>
          </w:rPr>
        </w:r>
        <w:r w:rsidR="0079239B">
          <w:rPr>
            <w:noProof/>
            <w:webHidden/>
          </w:rPr>
          <w:fldChar w:fldCharType="separate"/>
        </w:r>
        <w:r w:rsidR="0079239B">
          <w:rPr>
            <w:noProof/>
            <w:webHidden/>
          </w:rPr>
          <w:t>59</w:t>
        </w:r>
        <w:r w:rsidR="0079239B">
          <w:rPr>
            <w:noProof/>
            <w:webHidden/>
          </w:rPr>
          <w:fldChar w:fldCharType="end"/>
        </w:r>
      </w:hyperlink>
    </w:p>
    <w:p w14:paraId="7D8EE98C" w14:textId="61A27506" w:rsidR="0079239B" w:rsidRDefault="00FA183A">
      <w:pPr>
        <w:pStyle w:val="TableofFigures"/>
        <w:tabs>
          <w:tab w:val="right" w:leader="dot" w:pos="8494"/>
        </w:tabs>
        <w:rPr>
          <w:rFonts w:asciiTheme="minorHAnsi" w:eastAsiaTheme="minorEastAsia" w:hAnsiTheme="minorHAnsi" w:cstheme="minorBidi"/>
          <w:noProof/>
          <w:sz w:val="22"/>
          <w:szCs w:val="22"/>
          <w:lang w:val="en-US" w:eastAsia="en-US"/>
        </w:rPr>
      </w:pPr>
      <w:hyperlink w:anchor="_Toc2853714" w:history="1">
        <w:r w:rsidR="0079239B" w:rsidRPr="00FB5A8F">
          <w:rPr>
            <w:rStyle w:val="Hyperlink"/>
            <w:rFonts w:eastAsiaTheme="majorEastAsia"/>
            <w:noProof/>
          </w:rPr>
          <w:t>Tabla 24  Resultados de las variables macroeconómicas por simulaciones</w:t>
        </w:r>
        <w:r w:rsidR="0079239B">
          <w:rPr>
            <w:noProof/>
            <w:webHidden/>
          </w:rPr>
          <w:tab/>
        </w:r>
        <w:r w:rsidR="0079239B">
          <w:rPr>
            <w:noProof/>
            <w:webHidden/>
          </w:rPr>
          <w:fldChar w:fldCharType="begin"/>
        </w:r>
        <w:r w:rsidR="0079239B">
          <w:rPr>
            <w:noProof/>
            <w:webHidden/>
          </w:rPr>
          <w:instrText xml:space="preserve"> PAGEREF _Toc2853714 \h </w:instrText>
        </w:r>
        <w:r w:rsidR="0079239B">
          <w:rPr>
            <w:noProof/>
            <w:webHidden/>
          </w:rPr>
        </w:r>
        <w:r w:rsidR="0079239B">
          <w:rPr>
            <w:noProof/>
            <w:webHidden/>
          </w:rPr>
          <w:fldChar w:fldCharType="separate"/>
        </w:r>
        <w:r w:rsidR="0079239B">
          <w:rPr>
            <w:noProof/>
            <w:webHidden/>
          </w:rPr>
          <w:t>60</w:t>
        </w:r>
        <w:r w:rsidR="0079239B">
          <w:rPr>
            <w:noProof/>
            <w:webHidden/>
          </w:rPr>
          <w:fldChar w:fldCharType="end"/>
        </w:r>
      </w:hyperlink>
    </w:p>
    <w:p w14:paraId="6EA29379" w14:textId="39212FAC" w:rsidR="0079239B" w:rsidRDefault="00FA183A">
      <w:pPr>
        <w:pStyle w:val="TableofFigures"/>
        <w:tabs>
          <w:tab w:val="right" w:leader="dot" w:pos="8494"/>
        </w:tabs>
        <w:rPr>
          <w:rFonts w:asciiTheme="minorHAnsi" w:eastAsiaTheme="minorEastAsia" w:hAnsiTheme="minorHAnsi" w:cstheme="minorBidi"/>
          <w:noProof/>
          <w:sz w:val="22"/>
          <w:szCs w:val="22"/>
          <w:lang w:val="en-US" w:eastAsia="en-US"/>
        </w:rPr>
      </w:pPr>
      <w:hyperlink w:anchor="_Toc2853715" w:history="1">
        <w:r w:rsidR="0079239B" w:rsidRPr="00FB5A8F">
          <w:rPr>
            <w:rStyle w:val="Hyperlink"/>
            <w:rFonts w:eastAsiaTheme="majorEastAsia"/>
            <w:noProof/>
          </w:rPr>
          <w:t>Tabla 25  Costo Marginal de Fondos Públicos (CMFP) en Escenarios 3 y 5</w:t>
        </w:r>
        <w:r w:rsidR="0079239B">
          <w:rPr>
            <w:noProof/>
            <w:webHidden/>
          </w:rPr>
          <w:tab/>
        </w:r>
        <w:r w:rsidR="0079239B">
          <w:rPr>
            <w:noProof/>
            <w:webHidden/>
          </w:rPr>
          <w:fldChar w:fldCharType="begin"/>
        </w:r>
        <w:r w:rsidR="0079239B">
          <w:rPr>
            <w:noProof/>
            <w:webHidden/>
          </w:rPr>
          <w:instrText xml:space="preserve"> PAGEREF _Toc2853715 \h </w:instrText>
        </w:r>
        <w:r w:rsidR="0079239B">
          <w:rPr>
            <w:noProof/>
            <w:webHidden/>
          </w:rPr>
        </w:r>
        <w:r w:rsidR="0079239B">
          <w:rPr>
            <w:noProof/>
            <w:webHidden/>
          </w:rPr>
          <w:fldChar w:fldCharType="separate"/>
        </w:r>
        <w:r w:rsidR="0079239B">
          <w:rPr>
            <w:noProof/>
            <w:webHidden/>
          </w:rPr>
          <w:t>61</w:t>
        </w:r>
        <w:r w:rsidR="0079239B">
          <w:rPr>
            <w:noProof/>
            <w:webHidden/>
          </w:rPr>
          <w:fldChar w:fldCharType="end"/>
        </w:r>
      </w:hyperlink>
    </w:p>
    <w:p w14:paraId="6E006D49" w14:textId="6328786D" w:rsidR="0079239B" w:rsidRDefault="00FA183A">
      <w:pPr>
        <w:pStyle w:val="TableofFigures"/>
        <w:tabs>
          <w:tab w:val="right" w:leader="dot" w:pos="8494"/>
        </w:tabs>
        <w:rPr>
          <w:rFonts w:asciiTheme="minorHAnsi" w:eastAsiaTheme="minorEastAsia" w:hAnsiTheme="minorHAnsi" w:cstheme="minorBidi"/>
          <w:noProof/>
          <w:sz w:val="22"/>
          <w:szCs w:val="22"/>
          <w:lang w:val="en-US" w:eastAsia="en-US"/>
        </w:rPr>
      </w:pPr>
      <w:hyperlink w:anchor="_Toc2853716" w:history="1">
        <w:r w:rsidR="0079239B" w:rsidRPr="00FB5A8F">
          <w:rPr>
            <w:rStyle w:val="Hyperlink"/>
            <w:rFonts w:eastAsiaTheme="majorEastAsia"/>
            <w:noProof/>
          </w:rPr>
          <w:t>Tabla 26 Cambio del PIB en los escenarios 3 y 5</w:t>
        </w:r>
        <w:r w:rsidR="0079239B">
          <w:rPr>
            <w:noProof/>
            <w:webHidden/>
          </w:rPr>
          <w:tab/>
        </w:r>
        <w:r w:rsidR="0079239B">
          <w:rPr>
            <w:noProof/>
            <w:webHidden/>
          </w:rPr>
          <w:fldChar w:fldCharType="begin"/>
        </w:r>
        <w:r w:rsidR="0079239B">
          <w:rPr>
            <w:noProof/>
            <w:webHidden/>
          </w:rPr>
          <w:instrText xml:space="preserve"> PAGEREF _Toc2853716 \h </w:instrText>
        </w:r>
        <w:r w:rsidR="0079239B">
          <w:rPr>
            <w:noProof/>
            <w:webHidden/>
          </w:rPr>
        </w:r>
        <w:r w:rsidR="0079239B">
          <w:rPr>
            <w:noProof/>
            <w:webHidden/>
          </w:rPr>
          <w:fldChar w:fldCharType="separate"/>
        </w:r>
        <w:r w:rsidR="0079239B">
          <w:rPr>
            <w:noProof/>
            <w:webHidden/>
          </w:rPr>
          <w:t>63</w:t>
        </w:r>
        <w:r w:rsidR="0079239B">
          <w:rPr>
            <w:noProof/>
            <w:webHidden/>
          </w:rPr>
          <w:fldChar w:fldCharType="end"/>
        </w:r>
      </w:hyperlink>
    </w:p>
    <w:p w14:paraId="216D6BC1" w14:textId="07D40203" w:rsidR="0079239B" w:rsidRDefault="00FA183A">
      <w:pPr>
        <w:pStyle w:val="TableofFigures"/>
        <w:tabs>
          <w:tab w:val="right" w:leader="dot" w:pos="8494"/>
        </w:tabs>
        <w:rPr>
          <w:rFonts w:asciiTheme="minorHAnsi" w:eastAsiaTheme="minorEastAsia" w:hAnsiTheme="minorHAnsi" w:cstheme="minorBidi"/>
          <w:noProof/>
          <w:sz w:val="22"/>
          <w:szCs w:val="22"/>
          <w:lang w:val="en-US" w:eastAsia="en-US"/>
        </w:rPr>
      </w:pPr>
      <w:hyperlink w:anchor="_Toc2853717" w:history="1">
        <w:r w:rsidR="0079239B" w:rsidRPr="00FB5A8F">
          <w:rPr>
            <w:rStyle w:val="Hyperlink"/>
            <w:rFonts w:eastAsiaTheme="majorEastAsia"/>
            <w:noProof/>
          </w:rPr>
          <w:t>Tabla 27  Variables proxy para bienes en la MCS</w:t>
        </w:r>
        <w:r w:rsidR="0079239B">
          <w:rPr>
            <w:noProof/>
            <w:webHidden/>
          </w:rPr>
          <w:tab/>
        </w:r>
        <w:r w:rsidR="0079239B">
          <w:rPr>
            <w:noProof/>
            <w:webHidden/>
          </w:rPr>
          <w:fldChar w:fldCharType="begin"/>
        </w:r>
        <w:r w:rsidR="0079239B">
          <w:rPr>
            <w:noProof/>
            <w:webHidden/>
          </w:rPr>
          <w:instrText xml:space="preserve"> PAGEREF _Toc2853717 \h </w:instrText>
        </w:r>
        <w:r w:rsidR="0079239B">
          <w:rPr>
            <w:noProof/>
            <w:webHidden/>
          </w:rPr>
        </w:r>
        <w:r w:rsidR="0079239B">
          <w:rPr>
            <w:noProof/>
            <w:webHidden/>
          </w:rPr>
          <w:fldChar w:fldCharType="separate"/>
        </w:r>
        <w:r w:rsidR="0079239B">
          <w:rPr>
            <w:noProof/>
            <w:webHidden/>
          </w:rPr>
          <w:t>68</w:t>
        </w:r>
        <w:r w:rsidR="0079239B">
          <w:rPr>
            <w:noProof/>
            <w:webHidden/>
          </w:rPr>
          <w:fldChar w:fldCharType="end"/>
        </w:r>
      </w:hyperlink>
    </w:p>
    <w:p w14:paraId="4B284D32" w14:textId="50CF213E" w:rsidR="0067744C" w:rsidRDefault="00B276BF" w:rsidP="00C139E7">
      <w:pPr>
        <w:spacing w:line="240" w:lineRule="auto"/>
      </w:pPr>
      <w:r>
        <w:fldChar w:fldCharType="end"/>
      </w:r>
    </w:p>
    <w:p w14:paraId="204F79C5" w14:textId="5A5288FF" w:rsidR="00A8546F" w:rsidRDefault="00A8546F" w:rsidP="00C139E7">
      <w:pPr>
        <w:spacing w:line="240" w:lineRule="auto"/>
      </w:pPr>
    </w:p>
    <w:p w14:paraId="523DFE6A" w14:textId="77777777" w:rsidR="00166C42" w:rsidRDefault="00166C42" w:rsidP="00C139E7">
      <w:pPr>
        <w:spacing w:line="240" w:lineRule="auto"/>
        <w:sectPr w:rsidR="00166C42" w:rsidSect="00A8546F">
          <w:pgSz w:w="11906" w:h="16838"/>
          <w:pgMar w:top="1417" w:right="1701" w:bottom="1417" w:left="1701" w:header="708" w:footer="708" w:gutter="0"/>
          <w:pgNumType w:fmt="upperRoman"/>
          <w:cols w:space="708"/>
          <w:titlePg/>
          <w:docGrid w:linePitch="360"/>
        </w:sectPr>
      </w:pPr>
    </w:p>
    <w:p w14:paraId="2873E09C" w14:textId="2ED2EF9D" w:rsidR="001779E3" w:rsidRDefault="001779E3" w:rsidP="00C139E7">
      <w:pPr>
        <w:spacing w:line="240" w:lineRule="auto"/>
        <w:rPr>
          <w:rFonts w:cs="Arial"/>
        </w:rPr>
      </w:pPr>
      <w:r>
        <w:rPr>
          <w:rFonts w:cs="Arial"/>
        </w:rPr>
        <w:lastRenderedPageBreak/>
        <w:t>Capítulo I: Contextualización.</w:t>
      </w:r>
    </w:p>
    <w:p w14:paraId="6D3F3884" w14:textId="249DBECD" w:rsidR="00E609A1" w:rsidRDefault="00E609A1" w:rsidP="00C139E7">
      <w:pPr>
        <w:spacing w:line="240" w:lineRule="auto"/>
        <w:rPr>
          <w:rFonts w:cs="Arial"/>
        </w:rPr>
      </w:pPr>
      <w:r>
        <w:rPr>
          <w:rFonts w:cs="Arial"/>
        </w:rPr>
        <w:t xml:space="preserve">Introducción: Se muestra el contexto de la reforma fiscal y la </w:t>
      </w:r>
      <w:r w:rsidR="00B40E87">
        <w:rPr>
          <w:rFonts w:cs="Arial"/>
        </w:rPr>
        <w:t xml:space="preserve">importancia de tomar medidas que </w:t>
      </w:r>
      <w:r w:rsidR="009B32A3">
        <w:rPr>
          <w:rFonts w:cs="Arial"/>
        </w:rPr>
        <w:t>permitan reducir</w:t>
      </w:r>
      <w:r w:rsidR="00B40E87">
        <w:rPr>
          <w:rFonts w:cs="Arial"/>
        </w:rPr>
        <w:t xml:space="preserve"> el déficit fiscal</w:t>
      </w:r>
      <w:r w:rsidR="00402A44">
        <w:rPr>
          <w:rFonts w:cs="Arial"/>
        </w:rPr>
        <w:t xml:space="preserve"> de forma tal que permita estabilizar la trayectoria de la deuda.</w:t>
      </w:r>
    </w:p>
    <w:p w14:paraId="56D1D65A" w14:textId="18A558AE" w:rsidR="001779E3" w:rsidRDefault="000D6644" w:rsidP="00C139E7">
      <w:pPr>
        <w:spacing w:line="240" w:lineRule="auto"/>
        <w:rPr>
          <w:rFonts w:cs="Arial"/>
        </w:rPr>
      </w:pPr>
      <w:r>
        <w:rPr>
          <w:rFonts w:cs="Arial"/>
        </w:rPr>
        <w:t>Antecedentes</w:t>
      </w:r>
      <w:r w:rsidR="00EE5450">
        <w:rPr>
          <w:rFonts w:cs="Arial"/>
        </w:rPr>
        <w:t>:</w:t>
      </w:r>
      <w:r>
        <w:rPr>
          <w:rFonts w:cs="Arial"/>
        </w:rPr>
        <w:t xml:space="preserve"> En este apartado se relata sobre el pasado de la reforma fiscal y los </w:t>
      </w:r>
      <w:r w:rsidR="00B40E87">
        <w:rPr>
          <w:rFonts w:cs="Arial"/>
        </w:rPr>
        <w:t xml:space="preserve">distintos </w:t>
      </w:r>
      <w:r w:rsidR="00723F78">
        <w:rPr>
          <w:rFonts w:cs="Arial"/>
        </w:rPr>
        <w:t>M</w:t>
      </w:r>
      <w:r>
        <w:rPr>
          <w:rFonts w:cs="Arial"/>
        </w:rPr>
        <w:t xml:space="preserve">odelos de </w:t>
      </w:r>
      <w:r w:rsidR="00723F78">
        <w:rPr>
          <w:rFonts w:cs="Arial"/>
        </w:rPr>
        <w:t>E</w:t>
      </w:r>
      <w:r>
        <w:rPr>
          <w:rFonts w:cs="Arial"/>
        </w:rPr>
        <w:t xml:space="preserve">quilibrio </w:t>
      </w:r>
      <w:r w:rsidR="00723F78">
        <w:rPr>
          <w:rFonts w:cs="Arial"/>
        </w:rPr>
        <w:t>G</w:t>
      </w:r>
      <w:r>
        <w:rPr>
          <w:rFonts w:cs="Arial"/>
        </w:rPr>
        <w:t>eneral</w:t>
      </w:r>
      <w:r w:rsidR="00A43EF0">
        <w:rPr>
          <w:rFonts w:cs="Arial"/>
        </w:rPr>
        <w:t xml:space="preserve"> </w:t>
      </w:r>
      <w:r>
        <w:rPr>
          <w:rFonts w:cs="Arial"/>
        </w:rPr>
        <w:t>en análisis de incidencia.</w:t>
      </w:r>
    </w:p>
    <w:p w14:paraId="6079FB1D" w14:textId="1A6CB1F5" w:rsidR="001779E3" w:rsidRDefault="000D6644" w:rsidP="00C139E7">
      <w:pPr>
        <w:spacing w:line="240" w:lineRule="auto"/>
        <w:rPr>
          <w:rFonts w:cs="Arial"/>
        </w:rPr>
      </w:pPr>
      <w:r>
        <w:rPr>
          <w:rFonts w:cs="Arial"/>
        </w:rPr>
        <w:t>Justificación</w:t>
      </w:r>
      <w:r w:rsidR="00E609A1">
        <w:rPr>
          <w:rFonts w:cs="Arial"/>
        </w:rPr>
        <w:t xml:space="preserve"> y planteamiento del problema</w:t>
      </w:r>
      <w:r>
        <w:rPr>
          <w:rFonts w:cs="Arial"/>
        </w:rPr>
        <w:t xml:space="preserve">: </w:t>
      </w:r>
      <w:r w:rsidR="0020468D">
        <w:rPr>
          <w:rFonts w:cs="Arial"/>
        </w:rPr>
        <w:t>Presenta</w:t>
      </w:r>
      <w:r>
        <w:rPr>
          <w:rFonts w:cs="Arial"/>
        </w:rPr>
        <w:t xml:space="preserve"> la importancia que tiene sobre el análisis de incidencia fiscal una perspectiva de equilibrio general</w:t>
      </w:r>
      <w:r w:rsidR="00E609A1">
        <w:rPr>
          <w:rFonts w:cs="Arial"/>
        </w:rPr>
        <w:t xml:space="preserve"> y la pregunta que se responderá mediante los objetivos</w:t>
      </w:r>
      <w:r>
        <w:rPr>
          <w:rFonts w:cs="Arial"/>
        </w:rPr>
        <w:t>.</w:t>
      </w:r>
    </w:p>
    <w:p w14:paraId="0F396E49" w14:textId="0F867C74" w:rsidR="001779E3" w:rsidRDefault="001779E3" w:rsidP="00C139E7">
      <w:pPr>
        <w:spacing w:line="240" w:lineRule="auto"/>
        <w:rPr>
          <w:rFonts w:cs="Arial"/>
        </w:rPr>
      </w:pPr>
      <w:r>
        <w:rPr>
          <w:rFonts w:cs="Arial"/>
        </w:rPr>
        <w:t xml:space="preserve">Objetivo: Este apartado presenta el objetivo general y </w:t>
      </w:r>
      <w:r w:rsidR="00F81FB4">
        <w:rPr>
          <w:rFonts w:cs="Arial"/>
        </w:rPr>
        <w:t>los</w:t>
      </w:r>
      <w:r w:rsidR="0047197F">
        <w:rPr>
          <w:rFonts w:cs="Arial"/>
        </w:rPr>
        <w:t xml:space="preserve"> </w:t>
      </w:r>
      <w:r>
        <w:rPr>
          <w:rFonts w:cs="Arial"/>
        </w:rPr>
        <w:t>específicos.</w:t>
      </w:r>
    </w:p>
    <w:p w14:paraId="453B915E" w14:textId="4137F911" w:rsidR="000D6644" w:rsidRDefault="001779E3" w:rsidP="00C139E7">
      <w:pPr>
        <w:spacing w:line="240" w:lineRule="auto"/>
        <w:rPr>
          <w:rFonts w:cs="Arial"/>
        </w:rPr>
      </w:pPr>
      <w:r>
        <w:rPr>
          <w:rFonts w:cs="Arial"/>
        </w:rPr>
        <w:t>Cap</w:t>
      </w:r>
      <w:r w:rsidR="001B061C">
        <w:rPr>
          <w:rFonts w:cs="Arial"/>
        </w:rPr>
        <w:t>í</w:t>
      </w:r>
      <w:r>
        <w:rPr>
          <w:rFonts w:cs="Arial"/>
        </w:rPr>
        <w:t>tulo II: Marco Teórico.</w:t>
      </w:r>
    </w:p>
    <w:p w14:paraId="4036EC87" w14:textId="3E09614B" w:rsidR="001779E3" w:rsidRDefault="000D6644" w:rsidP="00C139E7">
      <w:pPr>
        <w:spacing w:line="240" w:lineRule="auto"/>
        <w:rPr>
          <w:rFonts w:cs="Arial"/>
        </w:rPr>
      </w:pPr>
      <w:r>
        <w:rPr>
          <w:rFonts w:cs="Arial"/>
        </w:rPr>
        <w:t>Marco Teórico:</w:t>
      </w:r>
      <w:r w:rsidR="00047749">
        <w:rPr>
          <w:rFonts w:cs="Arial"/>
        </w:rPr>
        <w:t xml:space="preserve"> P</w:t>
      </w:r>
      <w:r>
        <w:rPr>
          <w:rFonts w:cs="Arial"/>
        </w:rPr>
        <w:t>resenta el origen de los modelos de Equilibrio General y ejemplos de algunos que se han implementado en Costa Rica</w:t>
      </w:r>
      <w:r w:rsidR="00047749">
        <w:rPr>
          <w:rFonts w:cs="Arial"/>
        </w:rPr>
        <w:t xml:space="preserve">, </w:t>
      </w:r>
      <w:r w:rsidR="00C3385B">
        <w:rPr>
          <w:rFonts w:cs="Arial"/>
        </w:rPr>
        <w:t>y el uso</w:t>
      </w:r>
      <w:r w:rsidR="00E609A1">
        <w:rPr>
          <w:rFonts w:cs="Arial"/>
        </w:rPr>
        <w:t xml:space="preserve"> de</w:t>
      </w:r>
      <w:r w:rsidR="00047749">
        <w:rPr>
          <w:rFonts w:cs="Arial"/>
        </w:rPr>
        <w:t xml:space="preserve"> Matrices de Contabilidad Social</w:t>
      </w:r>
      <w:r w:rsidR="00723F78">
        <w:rPr>
          <w:rFonts w:cs="Arial"/>
        </w:rPr>
        <w:t xml:space="preserve"> (MCS</w:t>
      </w:r>
      <w:r w:rsidR="00EE07E2">
        <w:rPr>
          <w:rFonts w:cs="Arial"/>
        </w:rPr>
        <w:t xml:space="preserve"> su contraparte en ingles SAM</w:t>
      </w:r>
      <w:r w:rsidR="00723F78">
        <w:rPr>
          <w:rFonts w:cs="Arial"/>
        </w:rPr>
        <w:t>)</w:t>
      </w:r>
      <w:r w:rsidR="00047749">
        <w:rPr>
          <w:rFonts w:cs="Arial"/>
        </w:rPr>
        <w:t xml:space="preserve"> y su lógica de flujo circular</w:t>
      </w:r>
      <w:r>
        <w:rPr>
          <w:rFonts w:cs="Arial"/>
        </w:rPr>
        <w:t>.</w:t>
      </w:r>
      <w:r w:rsidR="00E609A1">
        <w:rPr>
          <w:rFonts w:cs="Arial"/>
        </w:rPr>
        <w:t xml:space="preserve"> Además, se presenta el modelo matemático que se utiliza en</w:t>
      </w:r>
      <w:r w:rsidR="009D42D1">
        <w:rPr>
          <w:rFonts w:cs="Arial"/>
        </w:rPr>
        <w:t xml:space="preserve"> este</w:t>
      </w:r>
      <w:r w:rsidR="00E609A1">
        <w:rPr>
          <w:rFonts w:cs="Arial"/>
        </w:rPr>
        <w:t xml:space="preserve"> proyecto de graduación.</w:t>
      </w:r>
    </w:p>
    <w:p w14:paraId="40D7872A" w14:textId="0C7B73BB" w:rsidR="00047749" w:rsidRDefault="001779E3" w:rsidP="00C139E7">
      <w:pPr>
        <w:spacing w:line="240" w:lineRule="auto"/>
        <w:rPr>
          <w:rFonts w:cs="Arial"/>
        </w:rPr>
      </w:pPr>
      <w:r w:rsidRPr="001779E3">
        <w:rPr>
          <w:rFonts w:cs="Arial"/>
        </w:rPr>
        <w:t>Cap</w:t>
      </w:r>
      <w:r w:rsidR="001B061C">
        <w:rPr>
          <w:rFonts w:cs="Arial"/>
        </w:rPr>
        <w:t>í</w:t>
      </w:r>
      <w:r w:rsidRPr="001779E3">
        <w:rPr>
          <w:rFonts w:cs="Arial"/>
        </w:rPr>
        <w:t xml:space="preserve">tulo III: </w:t>
      </w:r>
      <w:r w:rsidR="00DD5BC4" w:rsidRPr="00DD5BC4">
        <w:rPr>
          <w:rFonts w:cs="Arial"/>
        </w:rPr>
        <w:t>Metodología de la Investigación</w:t>
      </w:r>
      <w:r w:rsidR="0001607B">
        <w:rPr>
          <w:rFonts w:cs="Arial"/>
        </w:rPr>
        <w:t>.</w:t>
      </w:r>
    </w:p>
    <w:p w14:paraId="27937549" w14:textId="38C733EE" w:rsidR="00EE5450" w:rsidRDefault="00047749" w:rsidP="00C139E7">
      <w:pPr>
        <w:spacing w:line="240" w:lineRule="auto"/>
        <w:rPr>
          <w:rFonts w:cs="Arial"/>
        </w:rPr>
      </w:pPr>
      <w:r>
        <w:rPr>
          <w:rFonts w:cs="Arial"/>
        </w:rPr>
        <w:t>Marco Metodológico: En este apartado se especifica los detalles metodológicos del proyecto de graduación, como el tipo de investigación, el enfoque y la fuente.</w:t>
      </w:r>
    </w:p>
    <w:p w14:paraId="59AFBDE8" w14:textId="1449A873" w:rsidR="00055B14" w:rsidRDefault="00DD5BC4" w:rsidP="00C139E7">
      <w:pPr>
        <w:spacing w:line="240" w:lineRule="auto"/>
        <w:rPr>
          <w:rFonts w:cs="Arial"/>
        </w:rPr>
      </w:pPr>
      <w:r w:rsidRPr="00DD5BC4">
        <w:rPr>
          <w:rFonts w:cs="Arial"/>
        </w:rPr>
        <w:t>Cap</w:t>
      </w:r>
      <w:r w:rsidR="001B061C">
        <w:rPr>
          <w:rFonts w:cs="Arial"/>
        </w:rPr>
        <w:t>í</w:t>
      </w:r>
      <w:r w:rsidRPr="00DD5BC4">
        <w:rPr>
          <w:rFonts w:cs="Arial"/>
        </w:rPr>
        <w:t>tulo IV: Análisis de Resultados</w:t>
      </w:r>
      <w:r w:rsidR="0001607B">
        <w:rPr>
          <w:rFonts w:cs="Arial"/>
        </w:rPr>
        <w:t>.</w:t>
      </w:r>
    </w:p>
    <w:p w14:paraId="478520FC" w14:textId="2E022AE0" w:rsidR="00C2421B" w:rsidRDefault="0001607B" w:rsidP="00C139E7">
      <w:pPr>
        <w:spacing w:line="240" w:lineRule="auto"/>
        <w:rPr>
          <w:rFonts w:cs="Arial"/>
        </w:rPr>
      </w:pPr>
      <w:r>
        <w:rPr>
          <w:rFonts w:cs="Arial"/>
        </w:rPr>
        <w:t xml:space="preserve">Se analizan los resultados arrojados por el </w:t>
      </w:r>
      <w:r w:rsidR="00A43EF0">
        <w:rPr>
          <w:rFonts w:cs="Arial"/>
        </w:rPr>
        <w:t>Modelo de Equilibrio General Computable (MEG</w:t>
      </w:r>
      <w:r w:rsidR="00B26CDC">
        <w:rPr>
          <w:rFonts w:cs="Arial"/>
        </w:rPr>
        <w:t>C</w:t>
      </w:r>
      <w:r w:rsidR="00A43EF0">
        <w:rPr>
          <w:rFonts w:cs="Arial"/>
        </w:rPr>
        <w:t>)</w:t>
      </w:r>
      <w:r>
        <w:rPr>
          <w:rFonts w:cs="Arial"/>
        </w:rPr>
        <w:t xml:space="preserve">, </w:t>
      </w:r>
      <w:r w:rsidR="002224B5">
        <w:rPr>
          <w:rFonts w:cs="Arial"/>
        </w:rPr>
        <w:t xml:space="preserve">delimitados </w:t>
      </w:r>
      <w:r>
        <w:rPr>
          <w:rFonts w:cs="Arial"/>
        </w:rPr>
        <w:t>mediante la</w:t>
      </w:r>
      <w:r w:rsidR="002224B5">
        <w:rPr>
          <w:rFonts w:cs="Arial"/>
        </w:rPr>
        <w:t>s</w:t>
      </w:r>
      <w:r>
        <w:rPr>
          <w:rFonts w:cs="Arial"/>
        </w:rPr>
        <w:t xml:space="preserve"> propuesta</w:t>
      </w:r>
      <w:r w:rsidR="002224B5">
        <w:rPr>
          <w:rFonts w:cs="Arial"/>
        </w:rPr>
        <w:t>s</w:t>
      </w:r>
      <w:r>
        <w:rPr>
          <w:rFonts w:cs="Arial"/>
        </w:rPr>
        <w:t xml:space="preserve"> de simulaciones</w:t>
      </w:r>
      <w:r w:rsidR="002224B5">
        <w:rPr>
          <w:rFonts w:cs="Arial"/>
        </w:rPr>
        <w:t>.</w:t>
      </w:r>
    </w:p>
    <w:p w14:paraId="12A4208D" w14:textId="53E389C0" w:rsidR="00C2421B" w:rsidRPr="00AA0D72" w:rsidRDefault="002224B5" w:rsidP="00C139E7">
      <w:pPr>
        <w:spacing w:line="240" w:lineRule="auto"/>
        <w:rPr>
          <w:rFonts w:cs="Arial"/>
        </w:rPr>
      </w:pPr>
      <w:r w:rsidRPr="00AA0D72">
        <w:rPr>
          <w:rFonts w:cs="Arial"/>
        </w:rPr>
        <w:t>Capítulo V: Conclusiones y Recomendaciones.</w:t>
      </w:r>
    </w:p>
    <w:p w14:paraId="145E3316" w14:textId="35A985BF" w:rsidR="002B419B" w:rsidRDefault="009B32A3" w:rsidP="00C139E7">
      <w:pPr>
        <w:spacing w:line="240" w:lineRule="auto"/>
        <w:rPr>
          <w:rFonts w:cs="Arial"/>
        </w:rPr>
      </w:pPr>
      <w:r w:rsidRPr="00AA0D72">
        <w:rPr>
          <w:rFonts w:cs="Arial"/>
        </w:rPr>
        <w:t xml:space="preserve">Muestra </w:t>
      </w:r>
      <w:r w:rsidR="005744C8" w:rsidRPr="00AA0D72">
        <w:rPr>
          <w:rFonts w:cs="Arial"/>
        </w:rPr>
        <w:t xml:space="preserve">la importancia de la implementación de un MEGC para el análisis de Incidencia y </w:t>
      </w:r>
      <w:r w:rsidRPr="00AA0D72">
        <w:rPr>
          <w:rFonts w:cs="Arial"/>
        </w:rPr>
        <w:t xml:space="preserve">las conclusiones </w:t>
      </w:r>
      <w:r w:rsidR="005744C8" w:rsidRPr="00AA0D72">
        <w:rPr>
          <w:rFonts w:cs="Arial"/>
        </w:rPr>
        <w:t>d</w:t>
      </w:r>
      <w:r w:rsidRPr="00AA0D72">
        <w:rPr>
          <w:rFonts w:cs="Arial"/>
        </w:rPr>
        <w:t>el proyecto de graduación</w:t>
      </w:r>
      <w:r w:rsidR="005744C8" w:rsidRPr="00AA0D72">
        <w:rPr>
          <w:rFonts w:cs="Arial"/>
        </w:rPr>
        <w:t xml:space="preserve"> respecto a las simulaciones</w:t>
      </w:r>
      <w:r w:rsidR="0079239B" w:rsidRPr="00AA0D72">
        <w:rPr>
          <w:rFonts w:cs="Arial"/>
        </w:rPr>
        <w:t xml:space="preserve"> propuestas</w:t>
      </w:r>
      <w:r w:rsidRPr="00AA0D72">
        <w:rPr>
          <w:rFonts w:cs="Arial"/>
        </w:rPr>
        <w:t xml:space="preserve">, así como las recomendaciones de política económica para conseguir un sistema </w:t>
      </w:r>
      <w:r w:rsidR="00C94336" w:rsidRPr="00AA0D72">
        <w:rPr>
          <w:rFonts w:cs="Arial"/>
        </w:rPr>
        <w:t>tributario más progresivo.</w:t>
      </w:r>
    </w:p>
    <w:p w14:paraId="65404874" w14:textId="6E28883E" w:rsidR="002B419B" w:rsidRDefault="002B419B" w:rsidP="00C139E7">
      <w:pPr>
        <w:spacing w:line="240" w:lineRule="auto"/>
        <w:rPr>
          <w:rFonts w:cs="Arial"/>
        </w:rPr>
      </w:pPr>
    </w:p>
    <w:p w14:paraId="23FFA744" w14:textId="21C08F2E" w:rsidR="002B419B" w:rsidRDefault="002B419B" w:rsidP="00C139E7">
      <w:pPr>
        <w:spacing w:line="240" w:lineRule="auto"/>
        <w:rPr>
          <w:rFonts w:cs="Arial"/>
        </w:rPr>
      </w:pPr>
    </w:p>
    <w:p w14:paraId="7341A961" w14:textId="390BEDFE" w:rsidR="002B419B" w:rsidRDefault="002B419B" w:rsidP="00C139E7">
      <w:pPr>
        <w:spacing w:line="240" w:lineRule="auto"/>
        <w:rPr>
          <w:rFonts w:cs="Arial"/>
        </w:rPr>
      </w:pPr>
    </w:p>
    <w:p w14:paraId="19B5F793" w14:textId="74E7951F" w:rsidR="002B419B" w:rsidRDefault="002B419B" w:rsidP="00C139E7">
      <w:pPr>
        <w:spacing w:line="240" w:lineRule="auto"/>
        <w:rPr>
          <w:rFonts w:cs="Arial"/>
        </w:rPr>
      </w:pPr>
    </w:p>
    <w:p w14:paraId="7350B47A" w14:textId="7A28B403" w:rsidR="002B419B" w:rsidRDefault="002B419B" w:rsidP="00C139E7">
      <w:pPr>
        <w:spacing w:line="240" w:lineRule="auto"/>
        <w:rPr>
          <w:rFonts w:cs="Arial"/>
        </w:rPr>
      </w:pPr>
    </w:p>
    <w:p w14:paraId="068ED57F" w14:textId="30A12D19" w:rsidR="002B419B" w:rsidRDefault="002B419B" w:rsidP="00C139E7">
      <w:pPr>
        <w:spacing w:line="240" w:lineRule="auto"/>
        <w:rPr>
          <w:rFonts w:cs="Arial"/>
        </w:rPr>
      </w:pPr>
    </w:p>
    <w:p w14:paraId="324BE842" w14:textId="2519ED17" w:rsidR="002B419B" w:rsidRDefault="002B419B" w:rsidP="00C139E7">
      <w:pPr>
        <w:spacing w:line="240" w:lineRule="auto"/>
        <w:rPr>
          <w:rFonts w:cs="Arial"/>
        </w:rPr>
      </w:pPr>
    </w:p>
    <w:p w14:paraId="6EA95F46" w14:textId="72B8EB0D" w:rsidR="002B419B" w:rsidRDefault="002B419B" w:rsidP="00C139E7">
      <w:pPr>
        <w:spacing w:line="240" w:lineRule="auto"/>
        <w:rPr>
          <w:rFonts w:cs="Arial"/>
        </w:rPr>
      </w:pPr>
    </w:p>
    <w:p w14:paraId="3B1E3DD8" w14:textId="12376582" w:rsidR="002B419B" w:rsidRDefault="002B419B" w:rsidP="00C139E7">
      <w:pPr>
        <w:spacing w:line="240" w:lineRule="auto"/>
        <w:rPr>
          <w:rFonts w:cs="Arial"/>
        </w:rPr>
      </w:pPr>
    </w:p>
    <w:p w14:paraId="723DDE20" w14:textId="77777777" w:rsidR="002B419B" w:rsidRPr="003A22CA" w:rsidRDefault="002B419B" w:rsidP="00C139E7">
      <w:pPr>
        <w:spacing w:line="240" w:lineRule="auto"/>
        <w:rPr>
          <w:rFonts w:cs="Arial"/>
        </w:rPr>
      </w:pPr>
    </w:p>
    <w:p w14:paraId="1CAEEBD8" w14:textId="77777777" w:rsidR="00270404" w:rsidRDefault="00BF2386" w:rsidP="00270404">
      <w:pPr>
        <w:pStyle w:val="Heading1"/>
        <w:spacing w:line="240" w:lineRule="auto"/>
      </w:pPr>
      <w:bookmarkStart w:id="10" w:name="_Toc2853743"/>
      <w:r>
        <w:lastRenderedPageBreak/>
        <w:t>Capítulo I: Contextualización</w:t>
      </w:r>
      <w:bookmarkEnd w:id="10"/>
    </w:p>
    <w:p w14:paraId="7087E2AE" w14:textId="62FF7738" w:rsidR="00501C51" w:rsidRPr="00270404" w:rsidRDefault="00270404" w:rsidP="009C25E5">
      <w:pPr>
        <w:pStyle w:val="Heading2"/>
      </w:pPr>
      <w:bookmarkStart w:id="11" w:name="_Toc2853744"/>
      <w:r w:rsidRPr="00270404">
        <w:t>1.1 Introducción</w:t>
      </w:r>
      <w:bookmarkEnd w:id="11"/>
    </w:p>
    <w:p w14:paraId="28101969" w14:textId="66299F7F" w:rsidR="00501C51" w:rsidRDefault="00A279C5" w:rsidP="00501C51">
      <w:pPr>
        <w:spacing w:line="240" w:lineRule="auto"/>
        <w:rPr>
          <w:rFonts w:cs="Arial"/>
        </w:rPr>
      </w:pPr>
      <w:r>
        <w:rPr>
          <w:rFonts w:cs="Arial"/>
        </w:rPr>
        <w:t xml:space="preserve">El creciente </w:t>
      </w:r>
      <w:r w:rsidRPr="00FC5341">
        <w:rPr>
          <w:rFonts w:cs="Arial"/>
        </w:rPr>
        <w:t xml:space="preserve">déficit fiscal y </w:t>
      </w:r>
      <w:r>
        <w:rPr>
          <w:rFonts w:cs="Arial"/>
        </w:rPr>
        <w:t xml:space="preserve">la trayectoria insostenible </w:t>
      </w:r>
      <w:r w:rsidRPr="00FC5341">
        <w:rPr>
          <w:rFonts w:cs="Arial"/>
        </w:rPr>
        <w:t xml:space="preserve">de la deuda del Gobierno </w:t>
      </w:r>
      <w:r w:rsidR="00A472E7" w:rsidRPr="00FC5341">
        <w:rPr>
          <w:rFonts w:cs="Arial"/>
        </w:rPr>
        <w:t>Central</w:t>
      </w:r>
      <w:r w:rsidRPr="00FC5341">
        <w:rPr>
          <w:rFonts w:cs="Arial"/>
        </w:rPr>
        <w:t xml:space="preserve"> </w:t>
      </w:r>
      <w:r w:rsidR="006C378A">
        <w:rPr>
          <w:rFonts w:cs="Arial"/>
        </w:rPr>
        <w:t>volvían impostergable una</w:t>
      </w:r>
      <w:r w:rsidR="001B6BA7">
        <w:rPr>
          <w:rFonts w:cs="Arial"/>
        </w:rPr>
        <w:t xml:space="preserve"> </w:t>
      </w:r>
      <w:r w:rsidR="001B6BA7" w:rsidRPr="003A22CA">
        <w:rPr>
          <w:rFonts w:cs="Arial"/>
        </w:rPr>
        <w:t>reforma</w:t>
      </w:r>
      <w:r w:rsidR="001B6BA7">
        <w:rPr>
          <w:rFonts w:cs="Arial"/>
        </w:rPr>
        <w:t xml:space="preserve"> para resolver </w:t>
      </w:r>
      <w:r w:rsidR="001B6BA7" w:rsidRPr="005B48CA">
        <w:rPr>
          <w:rFonts w:cs="Arial"/>
        </w:rPr>
        <w:t>el desequilibrio en las finanzas públicas</w:t>
      </w:r>
      <w:r w:rsidR="001B6BA7" w:rsidRPr="003A22CA">
        <w:rPr>
          <w:rFonts w:cs="Arial"/>
        </w:rPr>
        <w:t xml:space="preserve">, </w:t>
      </w:r>
      <w:r w:rsidR="001B6BA7">
        <w:rPr>
          <w:rFonts w:cs="Arial"/>
        </w:rPr>
        <w:t>la cual necesariamente</w:t>
      </w:r>
      <w:r w:rsidR="00A472E7" w:rsidRPr="00A472E7">
        <w:rPr>
          <w:rFonts w:cs="Arial"/>
        </w:rPr>
        <w:t xml:space="preserve"> </w:t>
      </w:r>
      <w:r w:rsidR="00A472E7">
        <w:rPr>
          <w:rFonts w:cs="Arial"/>
        </w:rPr>
        <w:t>plantea</w:t>
      </w:r>
      <w:r w:rsidR="00A472E7" w:rsidRPr="003A22CA">
        <w:rPr>
          <w:rFonts w:cs="Arial"/>
        </w:rPr>
        <w:t xml:space="preserve"> el traslado de un Impuesto General sobre las Ventas</w:t>
      </w:r>
      <w:r w:rsidR="00A472E7">
        <w:rPr>
          <w:rFonts w:cs="Arial"/>
        </w:rPr>
        <w:t xml:space="preserve"> (IGV)</w:t>
      </w:r>
      <w:r w:rsidR="00A472E7" w:rsidRPr="003A22CA">
        <w:rPr>
          <w:rFonts w:cs="Arial"/>
        </w:rPr>
        <w:t xml:space="preserve"> a un Impuesto al Valor agregado</w:t>
      </w:r>
      <w:r w:rsidR="00A472E7">
        <w:rPr>
          <w:rFonts w:cs="Arial"/>
        </w:rPr>
        <w:t xml:space="preserve"> (IVA)</w:t>
      </w:r>
      <w:r w:rsidR="00501C51" w:rsidRPr="003A22CA">
        <w:rPr>
          <w:rFonts w:cs="Arial"/>
        </w:rPr>
        <w:t>. Las consecuencias que pueden genera</w:t>
      </w:r>
      <w:r w:rsidR="00501C51">
        <w:rPr>
          <w:rFonts w:cs="Arial"/>
        </w:rPr>
        <w:t>r</w:t>
      </w:r>
      <w:r w:rsidR="00501C51" w:rsidRPr="003A22CA">
        <w:rPr>
          <w:rFonts w:cs="Arial"/>
        </w:rPr>
        <w:t>se por esta modificación</w:t>
      </w:r>
      <w:r w:rsidR="00501C51">
        <w:rPr>
          <w:rFonts w:cs="Arial"/>
        </w:rPr>
        <w:t xml:space="preserve"> </w:t>
      </w:r>
      <w:r w:rsidR="00501C51" w:rsidRPr="003A22CA">
        <w:rPr>
          <w:rFonts w:cs="Arial"/>
        </w:rPr>
        <w:t>suelen analizarse desde una perspectiva parcial</w:t>
      </w:r>
      <w:r w:rsidR="00501C51">
        <w:rPr>
          <w:rFonts w:cs="Arial"/>
        </w:rPr>
        <w:t xml:space="preserve">, </w:t>
      </w:r>
      <w:r w:rsidR="00F704A2">
        <w:rPr>
          <w:rFonts w:cs="Arial"/>
        </w:rPr>
        <w:t xml:space="preserve">aunque por </w:t>
      </w:r>
      <w:r w:rsidR="00501C51">
        <w:rPr>
          <w:rFonts w:cs="Arial"/>
        </w:rPr>
        <w:t xml:space="preserve">la magnitud de la reforma, es necesario observar todos </w:t>
      </w:r>
      <w:r w:rsidR="001136DF">
        <w:rPr>
          <w:rFonts w:cs="Arial"/>
        </w:rPr>
        <w:t>sus</w:t>
      </w:r>
      <w:r w:rsidR="00501C51">
        <w:rPr>
          <w:rFonts w:cs="Arial"/>
        </w:rPr>
        <w:t xml:space="preserve"> efectos, entre ellos los indirectos, capacidad que tiene la teoría del equilibrio general.</w:t>
      </w:r>
    </w:p>
    <w:p w14:paraId="6B2FC929" w14:textId="2D81E3D0" w:rsidR="00B1355F" w:rsidRDefault="00BD1D7C" w:rsidP="00501C51">
      <w:pPr>
        <w:spacing w:line="240" w:lineRule="auto"/>
        <w:rPr>
          <w:rFonts w:cs="Arial"/>
        </w:rPr>
      </w:pPr>
      <w:r>
        <w:rPr>
          <w:rFonts w:cs="Arial"/>
        </w:rPr>
        <w:t xml:space="preserve">La situación deficitaria del gobierno central ha ido evolucionando de manera </w:t>
      </w:r>
      <w:r w:rsidR="00BC5335">
        <w:rPr>
          <w:rFonts w:cs="Arial"/>
        </w:rPr>
        <w:t>gradual</w:t>
      </w:r>
      <w:r w:rsidR="00FD76A7">
        <w:rPr>
          <w:rFonts w:cs="Arial"/>
        </w:rPr>
        <w:t xml:space="preserve"> desde el 2006, como se observa en la </w:t>
      </w:r>
      <w:r w:rsidR="0042057C">
        <w:rPr>
          <w:rFonts w:cs="Arial"/>
        </w:rPr>
        <w:fldChar w:fldCharType="begin"/>
      </w:r>
      <w:r w:rsidR="0042057C">
        <w:rPr>
          <w:rFonts w:cs="Arial"/>
        </w:rPr>
        <w:instrText xml:space="preserve"> REF _Ref525033573 \h </w:instrText>
      </w:r>
      <w:r w:rsidR="0042057C" w:rsidRPr="0042057C">
        <w:rPr>
          <w:rFonts w:cs="Arial"/>
        </w:rPr>
        <w:instrText>\*</w:instrText>
      </w:r>
      <w:r w:rsidR="0042057C">
        <w:rPr>
          <w:rFonts w:cs="Arial"/>
        </w:rPr>
        <w:instrText xml:space="preserve"> lower </w:instrText>
      </w:r>
      <w:r w:rsidR="0042057C">
        <w:rPr>
          <w:rFonts w:cs="Arial"/>
        </w:rPr>
      </w:r>
      <w:r w:rsidR="0042057C">
        <w:rPr>
          <w:rFonts w:cs="Arial"/>
        </w:rPr>
        <w:fldChar w:fldCharType="separate"/>
      </w:r>
      <w:r w:rsidR="00A95E32">
        <w:t xml:space="preserve">figura </w:t>
      </w:r>
      <w:r w:rsidR="00A95E32">
        <w:rPr>
          <w:noProof/>
        </w:rPr>
        <w:t>1</w:t>
      </w:r>
      <w:r w:rsidR="0042057C">
        <w:rPr>
          <w:rFonts w:cs="Arial"/>
        </w:rPr>
        <w:fldChar w:fldCharType="end"/>
      </w:r>
      <w:r w:rsidR="00FD76A7">
        <w:rPr>
          <w:rFonts w:cs="Arial"/>
        </w:rPr>
        <w:t xml:space="preserve">. Esto es resultado de una serie de ajustes que se </w:t>
      </w:r>
      <w:r w:rsidR="00783C6F">
        <w:rPr>
          <w:rFonts w:cs="Arial"/>
        </w:rPr>
        <w:t>realizaron</w:t>
      </w:r>
      <w:r w:rsidR="00FD76A7">
        <w:rPr>
          <w:rFonts w:cs="Arial"/>
        </w:rPr>
        <w:t xml:space="preserve"> para </w:t>
      </w:r>
      <w:r w:rsidR="00FC2E84">
        <w:rPr>
          <w:rFonts w:cs="Arial"/>
        </w:rPr>
        <w:t>mitigar los efectos de la crisis financiera</w:t>
      </w:r>
      <w:r w:rsidR="00761910">
        <w:rPr>
          <w:rFonts w:cs="Arial"/>
        </w:rPr>
        <w:t xml:space="preserve"> internacional</w:t>
      </w:r>
      <w:r w:rsidR="00FC2E84">
        <w:rPr>
          <w:rFonts w:cs="Arial"/>
        </w:rPr>
        <w:t xml:space="preserve">, sin embargo, </w:t>
      </w:r>
      <w:r w:rsidR="0082055E">
        <w:rPr>
          <w:rFonts w:cs="Arial"/>
        </w:rPr>
        <w:t>el aumento de los</w:t>
      </w:r>
      <w:r w:rsidR="00FC2E84">
        <w:rPr>
          <w:rFonts w:cs="Arial"/>
        </w:rPr>
        <w:t xml:space="preserve"> gastos no fu</w:t>
      </w:r>
      <w:r w:rsidR="003B389C">
        <w:rPr>
          <w:rFonts w:cs="Arial"/>
        </w:rPr>
        <w:t>e</w:t>
      </w:r>
      <w:r w:rsidR="00FC2E84">
        <w:rPr>
          <w:rFonts w:cs="Arial"/>
        </w:rPr>
        <w:t xml:space="preserve"> compensado</w:t>
      </w:r>
      <w:r w:rsidR="003B389C">
        <w:rPr>
          <w:rFonts w:cs="Arial"/>
        </w:rPr>
        <w:t xml:space="preserve"> con</w:t>
      </w:r>
      <w:r w:rsidR="00FC2E84">
        <w:rPr>
          <w:rFonts w:cs="Arial"/>
        </w:rPr>
        <w:t xml:space="preserve"> </w:t>
      </w:r>
      <w:r w:rsidR="00E513BF">
        <w:rPr>
          <w:rFonts w:cs="Arial"/>
        </w:rPr>
        <w:t>mayores</w:t>
      </w:r>
      <w:r w:rsidR="00FC2E84">
        <w:rPr>
          <w:rFonts w:cs="Arial"/>
        </w:rPr>
        <w:t xml:space="preserve"> ingresos tributarios en periodos posteriores de la crisis.</w:t>
      </w:r>
    </w:p>
    <w:p w14:paraId="7A8E6D8F" w14:textId="0D0B7958" w:rsidR="00865FFE" w:rsidRDefault="0042057C" w:rsidP="00F32BDB">
      <w:pPr>
        <w:pStyle w:val="Caption"/>
        <w:rPr>
          <w:rFonts w:cs="Arial"/>
        </w:rPr>
      </w:pPr>
      <w:bookmarkStart w:id="12" w:name="_Ref525033573"/>
      <w:bookmarkStart w:id="13" w:name="_Toc2853718"/>
      <w:r>
        <w:t xml:space="preserve">Figura </w:t>
      </w:r>
      <w:r w:rsidR="00F700CF">
        <w:rPr>
          <w:noProof/>
        </w:rPr>
        <w:fldChar w:fldCharType="begin"/>
      </w:r>
      <w:r w:rsidR="00F700CF">
        <w:rPr>
          <w:noProof/>
        </w:rPr>
        <w:instrText xml:space="preserve"> SEQ Figura \* ARABIC </w:instrText>
      </w:r>
      <w:r w:rsidR="00F700CF">
        <w:rPr>
          <w:noProof/>
        </w:rPr>
        <w:fldChar w:fldCharType="separate"/>
      </w:r>
      <w:r w:rsidR="00A95E32">
        <w:rPr>
          <w:noProof/>
        </w:rPr>
        <w:t>1</w:t>
      </w:r>
      <w:r w:rsidR="00F700CF">
        <w:rPr>
          <w:noProof/>
        </w:rPr>
        <w:fldChar w:fldCharType="end"/>
      </w:r>
      <w:bookmarkEnd w:id="12"/>
      <w:r>
        <w:t xml:space="preserve"> </w:t>
      </w:r>
      <w:r>
        <w:br/>
        <w:t>Ingresos, gastos y déficit del Gobierno Central</w:t>
      </w:r>
      <w:r w:rsidR="00F32BDB">
        <w:t xml:space="preserve"> de Costa Rica de 1991 al 2017</w:t>
      </w:r>
      <w:r w:rsidR="00F32BDB">
        <w:rPr>
          <w:rFonts w:cs="Arial"/>
        </w:rPr>
        <w:t xml:space="preserve"> </w:t>
      </w:r>
      <w:r w:rsidR="00F32BDB">
        <w:t>como porcentaje del PIB</w:t>
      </w:r>
      <w:bookmarkEnd w:id="13"/>
      <w:r>
        <w:t xml:space="preserve"> </w:t>
      </w:r>
    </w:p>
    <w:p w14:paraId="03580A21" w14:textId="7FB5D88C" w:rsidR="00E54ACA" w:rsidRDefault="003C37E1" w:rsidP="00501C51">
      <w:pPr>
        <w:spacing w:line="240" w:lineRule="auto"/>
        <w:rPr>
          <w:rFonts w:cs="Arial"/>
        </w:rPr>
      </w:pPr>
      <w:r>
        <w:rPr>
          <w:noProof/>
        </w:rPr>
        <w:drawing>
          <wp:inline distT="0" distB="0" distL="0" distR="0" wp14:anchorId="7E415FBA" wp14:editId="7921B73B">
            <wp:extent cx="5731510" cy="3117215"/>
            <wp:effectExtent l="0" t="0" r="2540" b="6985"/>
            <wp:docPr id="4" name="Chart 4">
              <a:extLst xmlns:a="http://schemas.openxmlformats.org/drawingml/2006/main">
                <a:ext uri="{FF2B5EF4-FFF2-40B4-BE49-F238E27FC236}">
                  <a16:creationId xmlns:a16="http://schemas.microsoft.com/office/drawing/2014/main" id="{AFF918B7-73F2-4DE4-A7DD-9AD804CB7D4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3868F986" w14:textId="22C1A7F3" w:rsidR="0042057C" w:rsidRPr="0042057C" w:rsidRDefault="0042057C" w:rsidP="00501C51">
      <w:pPr>
        <w:spacing w:line="240" w:lineRule="auto"/>
        <w:rPr>
          <w:rFonts w:cs="Arial"/>
          <w:sz w:val="18"/>
        </w:rPr>
      </w:pPr>
      <w:r>
        <w:rPr>
          <w:rFonts w:cs="Arial"/>
          <w:sz w:val="18"/>
        </w:rPr>
        <w:t>Fuente: elaboración propia con datos del Ministerio de Hacienda.</w:t>
      </w:r>
    </w:p>
    <w:p w14:paraId="5B55923C" w14:textId="419658FC" w:rsidR="0039382B" w:rsidRDefault="00CB735F" w:rsidP="00501C51">
      <w:pPr>
        <w:spacing w:line="240" w:lineRule="auto"/>
        <w:rPr>
          <w:rFonts w:cs="Arial"/>
        </w:rPr>
      </w:pPr>
      <w:r>
        <w:rPr>
          <w:rFonts w:cs="Arial"/>
        </w:rPr>
        <w:t>La</w:t>
      </w:r>
      <w:r w:rsidR="00AA1175">
        <w:rPr>
          <w:rFonts w:cs="Arial"/>
        </w:rPr>
        <w:t>s</w:t>
      </w:r>
      <w:r>
        <w:rPr>
          <w:rFonts w:cs="Arial"/>
        </w:rPr>
        <w:t xml:space="preserve"> reforma</w:t>
      </w:r>
      <w:r w:rsidR="002A5C86">
        <w:rPr>
          <w:rFonts w:cs="Arial"/>
        </w:rPr>
        <w:t>s</w:t>
      </w:r>
      <w:r w:rsidR="00AA1175">
        <w:rPr>
          <w:rFonts w:cs="Arial"/>
        </w:rPr>
        <w:t xml:space="preserve"> que han estado en discusión en los últimos años proponen </w:t>
      </w:r>
      <w:r w:rsidR="0012330B">
        <w:rPr>
          <w:rFonts w:cs="Arial"/>
        </w:rPr>
        <w:t>transforma</w:t>
      </w:r>
      <w:r w:rsidR="00AA1175">
        <w:rPr>
          <w:rFonts w:cs="Arial"/>
        </w:rPr>
        <w:t>r</w:t>
      </w:r>
      <w:r w:rsidR="0012330B">
        <w:rPr>
          <w:rFonts w:cs="Arial"/>
        </w:rPr>
        <w:t xml:space="preserve"> el IGV a IVA, </w:t>
      </w:r>
      <w:r w:rsidR="00BF6E1A">
        <w:rPr>
          <w:rFonts w:cs="Arial"/>
        </w:rPr>
        <w:t>para mejorar el diseño tributario y disminuir las distorsiones</w:t>
      </w:r>
      <w:r w:rsidR="004D12CC">
        <w:rPr>
          <w:rFonts w:cs="Arial"/>
        </w:rPr>
        <w:t>,</w:t>
      </w:r>
      <w:r w:rsidR="00BF6E1A">
        <w:rPr>
          <w:rFonts w:cs="Arial"/>
        </w:rPr>
        <w:t xml:space="preserve"> </w:t>
      </w:r>
      <w:r w:rsidR="0012330B">
        <w:rPr>
          <w:rFonts w:cs="Arial"/>
        </w:rPr>
        <w:t>incluye</w:t>
      </w:r>
      <w:r w:rsidR="00AA1175">
        <w:rPr>
          <w:rFonts w:cs="Arial"/>
        </w:rPr>
        <w:t>n</w:t>
      </w:r>
      <w:r w:rsidR="000F0A29">
        <w:rPr>
          <w:rFonts w:cs="Arial"/>
        </w:rPr>
        <w:t xml:space="preserve">do </w:t>
      </w:r>
      <w:r w:rsidR="0012330B">
        <w:rPr>
          <w:rFonts w:cs="Arial"/>
        </w:rPr>
        <w:t>una serie de artículos exonerados</w:t>
      </w:r>
      <w:r w:rsidR="00DC7D40">
        <w:rPr>
          <w:rFonts w:cs="Arial"/>
        </w:rPr>
        <w:t xml:space="preserve"> </w:t>
      </w:r>
      <w:r w:rsidR="00674F27">
        <w:rPr>
          <w:rFonts w:cs="Arial"/>
        </w:rPr>
        <w:t xml:space="preserve">que potencialmente podrían contribuir a </w:t>
      </w:r>
      <w:r w:rsidR="00DC7D40">
        <w:rPr>
          <w:rFonts w:cs="Arial"/>
        </w:rPr>
        <w:t>reducir la regresividad</w:t>
      </w:r>
      <w:r w:rsidR="0097656D">
        <w:rPr>
          <w:rFonts w:cs="Arial"/>
        </w:rPr>
        <w:t xml:space="preserve">. </w:t>
      </w:r>
      <w:r w:rsidR="00056A81">
        <w:rPr>
          <w:rFonts w:cs="Arial"/>
        </w:rPr>
        <w:t xml:space="preserve">El impuesto de ventas es </w:t>
      </w:r>
      <w:r w:rsidR="0080636A">
        <w:rPr>
          <w:rFonts w:cs="Arial"/>
        </w:rPr>
        <w:t>la</w:t>
      </w:r>
      <w:r w:rsidR="00056A81">
        <w:rPr>
          <w:rFonts w:cs="Arial"/>
        </w:rPr>
        <w:t xml:space="preserve"> fuente</w:t>
      </w:r>
      <w:r w:rsidR="0080636A">
        <w:rPr>
          <w:rFonts w:cs="Arial"/>
        </w:rPr>
        <w:t xml:space="preserve"> más</w:t>
      </w:r>
      <w:r w:rsidR="00056A81">
        <w:rPr>
          <w:rFonts w:cs="Arial"/>
        </w:rPr>
        <w:t xml:space="preserve"> importante de ingresos para el fisco</w:t>
      </w:r>
      <w:r w:rsidR="00BE47A3">
        <w:rPr>
          <w:rFonts w:cs="Arial"/>
        </w:rPr>
        <w:t xml:space="preserve"> como se muestra en la</w:t>
      </w:r>
      <w:r w:rsidR="00912372">
        <w:rPr>
          <w:rFonts w:cs="Arial"/>
        </w:rPr>
        <w:t xml:space="preserve"> </w:t>
      </w:r>
      <w:r w:rsidR="00912372">
        <w:rPr>
          <w:rFonts w:cs="Arial"/>
        </w:rPr>
        <w:fldChar w:fldCharType="begin"/>
      </w:r>
      <w:r w:rsidR="00912372">
        <w:rPr>
          <w:rFonts w:cs="Arial"/>
        </w:rPr>
        <w:instrText xml:space="preserve"> REF _Ref527310183 \h \* lower </w:instrText>
      </w:r>
      <w:r w:rsidR="00912372">
        <w:rPr>
          <w:rFonts w:cs="Arial"/>
        </w:rPr>
      </w:r>
      <w:r w:rsidR="00912372">
        <w:rPr>
          <w:rFonts w:cs="Arial"/>
        </w:rPr>
        <w:fldChar w:fldCharType="separate"/>
      </w:r>
      <w:r w:rsidR="00A95E32">
        <w:t xml:space="preserve">figura </w:t>
      </w:r>
      <w:r w:rsidR="00A95E32">
        <w:rPr>
          <w:noProof/>
        </w:rPr>
        <w:t>2</w:t>
      </w:r>
      <w:r w:rsidR="00912372">
        <w:rPr>
          <w:rFonts w:cs="Arial"/>
        </w:rPr>
        <w:fldChar w:fldCharType="end"/>
      </w:r>
      <w:r w:rsidR="00912372">
        <w:rPr>
          <w:rFonts w:cs="Arial"/>
        </w:rPr>
        <w:t xml:space="preserve">, </w:t>
      </w:r>
      <w:r w:rsidR="00056A81">
        <w:rPr>
          <w:rFonts w:cs="Arial"/>
        </w:rPr>
        <w:t>por tanto, ha sido pilar para</w:t>
      </w:r>
      <w:r w:rsidR="0039382B">
        <w:rPr>
          <w:rFonts w:cs="Arial"/>
        </w:rPr>
        <w:t xml:space="preserve"> las distintas reformas en discusión, aunque esto ha generado conflictos sociales debido a su conocida regresividad.</w:t>
      </w:r>
    </w:p>
    <w:p w14:paraId="37DE9F13" w14:textId="4F435DD4" w:rsidR="00314460" w:rsidRDefault="007B7312" w:rsidP="00501C51">
      <w:pPr>
        <w:spacing w:line="240" w:lineRule="auto"/>
        <w:rPr>
          <w:rFonts w:cs="Arial"/>
        </w:rPr>
      </w:pPr>
      <w:r>
        <w:rPr>
          <w:rFonts w:cs="Arial"/>
        </w:rPr>
        <w:t xml:space="preserve">Para el 2012 el Banco Central de Costa Rica, introdujo una nueva metodología para el </w:t>
      </w:r>
      <w:r w:rsidR="00162C69">
        <w:rPr>
          <w:rFonts w:cs="Arial"/>
        </w:rPr>
        <w:t>cálculo</w:t>
      </w:r>
      <w:r>
        <w:rPr>
          <w:rFonts w:cs="Arial"/>
        </w:rPr>
        <w:t xml:space="preserve"> del Producto Interno Bruto (PIB), donde se destaca la relevancia </w:t>
      </w:r>
      <w:r w:rsidR="008554BE">
        <w:rPr>
          <w:rFonts w:cs="Arial"/>
        </w:rPr>
        <w:t xml:space="preserve">ha tomado </w:t>
      </w:r>
      <w:r w:rsidR="008554BE">
        <w:rPr>
          <w:rFonts w:cs="Arial"/>
        </w:rPr>
        <w:lastRenderedPageBreak/>
        <w:t xml:space="preserve">el sector de los servicios, el cual </w:t>
      </w:r>
      <w:r w:rsidR="00E00ED3">
        <w:rPr>
          <w:rFonts w:cs="Arial"/>
        </w:rPr>
        <w:t>pas</w:t>
      </w:r>
      <w:r w:rsidR="007969AD">
        <w:rPr>
          <w:rFonts w:cs="Arial"/>
        </w:rPr>
        <w:t xml:space="preserve">ó de </w:t>
      </w:r>
      <w:r w:rsidR="008554BE">
        <w:rPr>
          <w:rFonts w:cs="Arial"/>
        </w:rPr>
        <w:t>representa</w:t>
      </w:r>
      <w:r w:rsidR="00167948">
        <w:rPr>
          <w:rFonts w:cs="Arial"/>
        </w:rPr>
        <w:t>r un 10%</w:t>
      </w:r>
      <w:r w:rsidR="002B123D">
        <w:rPr>
          <w:rFonts w:cs="Arial"/>
        </w:rPr>
        <w:t xml:space="preserve"> de la producción</w:t>
      </w:r>
      <w:r w:rsidR="00505B8B">
        <w:rPr>
          <w:rFonts w:cs="Arial"/>
        </w:rPr>
        <w:t xml:space="preserve"> en los </w:t>
      </w:r>
      <w:r w:rsidR="005A01A4">
        <w:rPr>
          <w:rFonts w:cs="Arial"/>
        </w:rPr>
        <w:t>años 60</w:t>
      </w:r>
      <w:r w:rsidR="001F5C7E">
        <w:rPr>
          <w:rFonts w:cs="Arial"/>
        </w:rPr>
        <w:t>, a</w:t>
      </w:r>
      <w:r w:rsidR="008554BE">
        <w:rPr>
          <w:rFonts w:cs="Arial"/>
        </w:rPr>
        <w:t xml:space="preserve"> un 40% </w:t>
      </w:r>
      <w:r w:rsidR="00B024DD">
        <w:rPr>
          <w:rFonts w:cs="Arial"/>
        </w:rPr>
        <w:t>en años recientes</w:t>
      </w:r>
      <w:r w:rsidR="008554BE">
        <w:rPr>
          <w:rFonts w:cs="Arial"/>
        </w:rPr>
        <w:t xml:space="preserve">. Este cambio es el principal argumento sobre la necesidad de actualizar </w:t>
      </w:r>
      <w:r w:rsidR="006C28C2">
        <w:rPr>
          <w:rFonts w:cs="Arial"/>
        </w:rPr>
        <w:t xml:space="preserve">el </w:t>
      </w:r>
      <w:r w:rsidR="00064686">
        <w:rPr>
          <w:rFonts w:cs="Arial"/>
        </w:rPr>
        <w:t>IGV</w:t>
      </w:r>
      <w:r w:rsidR="00281458">
        <w:rPr>
          <w:rFonts w:cs="Arial"/>
        </w:rPr>
        <w:t xml:space="preserve"> </w:t>
      </w:r>
      <w:r w:rsidR="006C28C2">
        <w:rPr>
          <w:rFonts w:cs="Arial"/>
        </w:rPr>
        <w:t>en uno que pued</w:t>
      </w:r>
      <w:r w:rsidR="00465556">
        <w:rPr>
          <w:rFonts w:cs="Arial"/>
        </w:rPr>
        <w:t>a</w:t>
      </w:r>
      <w:r w:rsidR="006C28C2">
        <w:rPr>
          <w:rFonts w:cs="Arial"/>
        </w:rPr>
        <w:t xml:space="preserve"> capturar la dinámica de la economía.</w:t>
      </w:r>
      <w:r w:rsidR="00F041B7">
        <w:rPr>
          <w:rFonts w:cs="Arial"/>
        </w:rPr>
        <w:t xml:space="preserve"> </w:t>
      </w:r>
      <w:r w:rsidR="00F041B7">
        <w:rPr>
          <w:rFonts w:cs="Arial"/>
        </w:rPr>
        <w:fldChar w:fldCharType="begin" w:fldLock="1"/>
      </w:r>
      <w:r w:rsidR="005925D0">
        <w:rPr>
          <w:rFonts w:cs="Arial"/>
        </w:rPr>
        <w:instrText>ADDIN CSL_CITATION {"citationItems":[{"id":"ITEM-1","itemData":{"URL":"https://www.bccr.fi.cr/seccion-noticias/Noticia/calculo_cuentas_nacionales.aspx","author":[{"dropping-particle":"","family":"BCCR","given":"","non-dropping-particle":"","parse-names":false,"suffix":""}],"id":"ITEM-1","issued":{"date-parts":[["2016"]]},"title":"Nueva metodología de cálculo de cuentas nacionales dará mayor precisión a datos de producción","type":"webpage"},"uris":["http://www.mendeley.com/documents/?uuid=7c7e448f-679d-438f-925d-fef8c21e66da"]}],"mendeley":{"formattedCitation":"(BCCR, 2016)","plainTextFormattedCitation":"(BCCR, 2016)","previouslyFormattedCitation":"(BCCR, 2016)"},"properties":{"noteIndex":0},"schema":"https://github.com/citation-style-language/schema/raw/master/csl-citation.json"}</w:instrText>
      </w:r>
      <w:r w:rsidR="00F041B7">
        <w:rPr>
          <w:rFonts w:cs="Arial"/>
        </w:rPr>
        <w:fldChar w:fldCharType="separate"/>
      </w:r>
      <w:r w:rsidR="00F041B7" w:rsidRPr="00F041B7">
        <w:rPr>
          <w:rFonts w:cs="Arial"/>
          <w:noProof/>
        </w:rPr>
        <w:t>(BCCR, 2016)</w:t>
      </w:r>
      <w:r w:rsidR="00F041B7">
        <w:rPr>
          <w:rFonts w:cs="Arial"/>
        </w:rPr>
        <w:fldChar w:fldCharType="end"/>
      </w:r>
      <w:r w:rsidR="005925D0">
        <w:rPr>
          <w:rFonts w:cs="Arial"/>
        </w:rPr>
        <w:t>.</w:t>
      </w:r>
    </w:p>
    <w:p w14:paraId="27443BB5" w14:textId="69E3E3E5" w:rsidR="00BE47A3" w:rsidRPr="00CB735F" w:rsidRDefault="00BE47A3" w:rsidP="00BE47A3">
      <w:pPr>
        <w:pStyle w:val="Caption"/>
        <w:rPr>
          <w:rFonts w:cs="Arial"/>
        </w:rPr>
      </w:pPr>
      <w:bookmarkStart w:id="14" w:name="_Ref527310183"/>
      <w:bookmarkStart w:id="15" w:name="_Toc2853719"/>
      <w:r>
        <w:t xml:space="preserve">Figura </w:t>
      </w:r>
      <w:r>
        <w:fldChar w:fldCharType="begin"/>
      </w:r>
      <w:r>
        <w:instrText xml:space="preserve"> SEQ Figura \* ARABIC </w:instrText>
      </w:r>
      <w:r>
        <w:fldChar w:fldCharType="separate"/>
      </w:r>
      <w:r w:rsidR="00A95E32">
        <w:rPr>
          <w:noProof/>
        </w:rPr>
        <w:t>2</w:t>
      </w:r>
      <w:r>
        <w:fldChar w:fldCharType="end"/>
      </w:r>
      <w:bookmarkEnd w:id="14"/>
      <w:r>
        <w:t xml:space="preserve"> </w:t>
      </w:r>
      <w:r>
        <w:br/>
        <w:t>Composición de los ingresos tributarios como porcentaje del PIB</w:t>
      </w:r>
      <w:bookmarkEnd w:id="15"/>
    </w:p>
    <w:p w14:paraId="4DDB3BF0" w14:textId="6EDFDBBC" w:rsidR="00BE47A3" w:rsidRDefault="00BE47A3" w:rsidP="00501C51">
      <w:pPr>
        <w:spacing w:line="240" w:lineRule="auto"/>
        <w:rPr>
          <w:rFonts w:cs="Arial"/>
        </w:rPr>
      </w:pPr>
      <w:r>
        <w:rPr>
          <w:noProof/>
        </w:rPr>
        <w:drawing>
          <wp:inline distT="0" distB="0" distL="0" distR="0" wp14:anchorId="711B47CA" wp14:editId="35A5BF70">
            <wp:extent cx="5731510" cy="3686175"/>
            <wp:effectExtent l="0" t="0" r="2540" b="0"/>
            <wp:docPr id="5" name="Chart 5">
              <a:extLst xmlns:a="http://schemas.openxmlformats.org/drawingml/2006/main">
                <a:ext uri="{FF2B5EF4-FFF2-40B4-BE49-F238E27FC236}">
                  <a16:creationId xmlns:a16="http://schemas.microsoft.com/office/drawing/2014/main" id="{064C33C8-AA6C-43F2-BF86-A1CA96F8455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1CFD9E6E" w14:textId="0970C73C" w:rsidR="00BE47A3" w:rsidRDefault="00BE47A3" w:rsidP="00501C51">
      <w:pPr>
        <w:spacing w:line="240" w:lineRule="auto"/>
        <w:rPr>
          <w:rFonts w:cs="Arial"/>
        </w:rPr>
      </w:pPr>
      <w:r>
        <w:rPr>
          <w:rFonts w:cs="Arial"/>
          <w:sz w:val="18"/>
        </w:rPr>
        <w:t>Fuente: elaboración propia con datos del Ministerio de Hacienda.</w:t>
      </w:r>
    </w:p>
    <w:p w14:paraId="0CAB8FB7" w14:textId="39B13B19" w:rsidR="00501C51" w:rsidRDefault="00501C51" w:rsidP="00501C51">
      <w:pPr>
        <w:spacing w:line="240" w:lineRule="auto"/>
        <w:rPr>
          <w:rFonts w:cs="Arial"/>
        </w:rPr>
      </w:pPr>
      <w:r>
        <w:rPr>
          <w:rFonts w:cs="Arial"/>
        </w:rPr>
        <w:t xml:space="preserve">El principal impacto </w:t>
      </w:r>
      <w:r w:rsidR="005A1E7E">
        <w:rPr>
          <w:rFonts w:cs="Arial"/>
        </w:rPr>
        <w:t>esperado</w:t>
      </w:r>
      <w:r>
        <w:rPr>
          <w:rFonts w:cs="Arial"/>
        </w:rPr>
        <w:t xml:space="preserve"> de la</w:t>
      </w:r>
      <w:r w:rsidR="0039382B">
        <w:rPr>
          <w:rFonts w:cs="Arial"/>
        </w:rPr>
        <w:t>s</w:t>
      </w:r>
      <w:r>
        <w:rPr>
          <w:rFonts w:cs="Arial"/>
        </w:rPr>
        <w:t xml:space="preserve"> </w:t>
      </w:r>
      <w:r w:rsidR="006F37B2">
        <w:rPr>
          <w:rFonts w:cs="Arial"/>
        </w:rPr>
        <w:t xml:space="preserve">distintas </w:t>
      </w:r>
      <w:r>
        <w:rPr>
          <w:rFonts w:cs="Arial"/>
        </w:rPr>
        <w:t>reforma</w:t>
      </w:r>
      <w:r w:rsidR="0039382B">
        <w:rPr>
          <w:rFonts w:cs="Arial"/>
        </w:rPr>
        <w:t>s,</w:t>
      </w:r>
      <w:r>
        <w:rPr>
          <w:rFonts w:cs="Arial"/>
        </w:rPr>
        <w:t xml:space="preserve"> </w:t>
      </w:r>
      <w:r w:rsidR="005A1E7E">
        <w:rPr>
          <w:rFonts w:cs="Arial"/>
        </w:rPr>
        <w:t>mediante el IVA</w:t>
      </w:r>
      <w:r w:rsidR="0039382B">
        <w:rPr>
          <w:rFonts w:cs="Arial"/>
        </w:rPr>
        <w:t>,</w:t>
      </w:r>
      <w:r w:rsidR="005A1E7E">
        <w:rPr>
          <w:rFonts w:cs="Arial"/>
        </w:rPr>
        <w:t xml:space="preserve"> </w:t>
      </w:r>
      <w:r>
        <w:rPr>
          <w:rFonts w:cs="Arial"/>
        </w:rPr>
        <w:t>se da en los hogares, por la naturaleza regresiva del impuesto</w:t>
      </w:r>
      <w:r w:rsidR="0006399D">
        <w:rPr>
          <w:rFonts w:cs="Arial"/>
        </w:rPr>
        <w:t xml:space="preserve"> (gravamen al consumo)</w:t>
      </w:r>
      <w:r>
        <w:rPr>
          <w:rFonts w:cs="Arial"/>
        </w:rPr>
        <w:t xml:space="preserve"> </w:t>
      </w:r>
      <w:r w:rsidR="00045B2F">
        <w:rPr>
          <w:rFonts w:cs="Arial"/>
        </w:rPr>
        <w:t xml:space="preserve">y por la reducción </w:t>
      </w:r>
      <w:r w:rsidR="001D43BB">
        <w:rPr>
          <w:rFonts w:cs="Arial"/>
        </w:rPr>
        <w:t xml:space="preserve">en el ingreso </w:t>
      </w:r>
      <w:r w:rsidR="008245E2">
        <w:rPr>
          <w:rFonts w:cs="Arial"/>
        </w:rPr>
        <w:t>disponible</w:t>
      </w:r>
      <w:r w:rsidR="00EB5DDC">
        <w:rPr>
          <w:rFonts w:cs="Arial"/>
        </w:rPr>
        <w:t>.</w:t>
      </w:r>
      <w:r w:rsidR="006A4A9B">
        <w:rPr>
          <w:rFonts w:cs="Arial"/>
        </w:rPr>
        <w:t xml:space="preserve"> E</w:t>
      </w:r>
      <w:r>
        <w:rPr>
          <w:rFonts w:cs="Arial"/>
        </w:rPr>
        <w:t>sto puede provocar que los consumidores modifiquen sus patrones de consumo, cambiando la situación de equilibro inicial. Además, los supuestos de traslado de carga tributaria</w:t>
      </w:r>
      <w:r w:rsidR="00E620A2">
        <w:rPr>
          <w:rFonts w:cs="Arial"/>
        </w:rPr>
        <w:t xml:space="preserve"> (</w:t>
      </w:r>
      <w:r w:rsidR="00B36DDE">
        <w:rPr>
          <w:rFonts w:cs="Arial"/>
        </w:rPr>
        <w:t>pago recae sobre en</w:t>
      </w:r>
      <w:r w:rsidR="008E61D3">
        <w:rPr>
          <w:rFonts w:cs="Arial"/>
        </w:rPr>
        <w:t xml:space="preserve"> el</w:t>
      </w:r>
      <w:r w:rsidR="00B36DDE">
        <w:rPr>
          <w:rFonts w:cs="Arial"/>
        </w:rPr>
        <w:t xml:space="preserve"> consumidor)</w:t>
      </w:r>
      <w:r>
        <w:rPr>
          <w:rFonts w:cs="Arial"/>
        </w:rPr>
        <w:t xml:space="preserve"> no se dan necesariamente en los modelos de equilibrio general, sustentando </w:t>
      </w:r>
      <w:r w:rsidR="006F37B2">
        <w:rPr>
          <w:rFonts w:cs="Arial"/>
        </w:rPr>
        <w:t xml:space="preserve">por </w:t>
      </w:r>
      <w:r>
        <w:rPr>
          <w:rFonts w:cs="Arial"/>
        </w:rPr>
        <w:t>el análisis de elasticidades de los distintos bienes.</w:t>
      </w:r>
    </w:p>
    <w:p w14:paraId="2CB5064B" w14:textId="3B453A06" w:rsidR="00501C51" w:rsidRDefault="00501C51" w:rsidP="00501C51">
      <w:pPr>
        <w:spacing w:line="240" w:lineRule="auto"/>
        <w:rPr>
          <w:rFonts w:cs="Arial"/>
        </w:rPr>
      </w:pPr>
      <w:r>
        <w:rPr>
          <w:rFonts w:cs="Arial"/>
        </w:rPr>
        <w:t xml:space="preserve">Cuando se combina el análisis de incidencia del impuesto con los </w:t>
      </w:r>
      <w:r w:rsidR="003E26CF">
        <w:rPr>
          <w:rFonts w:cs="Arial"/>
        </w:rPr>
        <w:t>MEGC</w:t>
      </w:r>
      <w:r>
        <w:rPr>
          <w:rFonts w:cs="Arial"/>
        </w:rPr>
        <w:t xml:space="preserve"> es posible realizar una planeación sobre los posibles escenarios del IVA, cambios en la tasa y en la base</w:t>
      </w:r>
      <w:r w:rsidR="006E38BA">
        <w:rPr>
          <w:rFonts w:cs="Arial"/>
        </w:rPr>
        <w:t xml:space="preserve"> imponible</w:t>
      </w:r>
      <w:r>
        <w:rPr>
          <w:rFonts w:cs="Arial"/>
        </w:rPr>
        <w:t>, e inclusive otros tipos de choques</w:t>
      </w:r>
      <w:r w:rsidR="0036443D">
        <w:rPr>
          <w:rFonts w:cs="Arial"/>
        </w:rPr>
        <w:t xml:space="preserve"> (</w:t>
      </w:r>
      <w:r w:rsidR="0073314B">
        <w:rPr>
          <w:rFonts w:cs="Arial"/>
        </w:rPr>
        <w:t>crecimiento exógeno del producto, disminución del gasto público)</w:t>
      </w:r>
      <w:r>
        <w:rPr>
          <w:rFonts w:cs="Arial"/>
        </w:rPr>
        <w:t xml:space="preserve">, para ver cómo puede afectar </w:t>
      </w:r>
      <w:r w:rsidR="00FB3B3C">
        <w:rPr>
          <w:rFonts w:cs="Arial"/>
        </w:rPr>
        <w:t xml:space="preserve">a </w:t>
      </w:r>
      <w:r>
        <w:rPr>
          <w:rFonts w:cs="Arial"/>
        </w:rPr>
        <w:t>los hogares</w:t>
      </w:r>
      <w:r w:rsidR="0029205F">
        <w:rPr>
          <w:rFonts w:cs="Arial"/>
        </w:rPr>
        <w:t xml:space="preserve"> y a la economía</w:t>
      </w:r>
      <w:r>
        <w:rPr>
          <w:rFonts w:cs="Arial"/>
        </w:rPr>
        <w:t xml:space="preserve">, donde cada simulación puede llevar a un análisis </w:t>
      </w:r>
      <w:r w:rsidRPr="00CB764C">
        <w:rPr>
          <w:rFonts w:cs="Arial"/>
        </w:rPr>
        <w:t>incidencia</w:t>
      </w:r>
      <w:r>
        <w:rPr>
          <w:rFonts w:cs="Arial"/>
        </w:rPr>
        <w:t xml:space="preserve"> más complejos </w:t>
      </w:r>
      <w:r w:rsidR="009E6636">
        <w:rPr>
          <w:rFonts w:cs="Arial"/>
        </w:rPr>
        <w:t>que los</w:t>
      </w:r>
      <w:r>
        <w:rPr>
          <w:rFonts w:cs="Arial"/>
        </w:rPr>
        <w:t xml:space="preserve"> estudios </w:t>
      </w:r>
      <w:r w:rsidR="009E6636">
        <w:rPr>
          <w:rFonts w:cs="Arial"/>
        </w:rPr>
        <w:t xml:space="preserve">de equilibrio </w:t>
      </w:r>
      <w:r>
        <w:rPr>
          <w:rFonts w:cs="Arial"/>
        </w:rPr>
        <w:t>parcial.</w:t>
      </w:r>
    </w:p>
    <w:p w14:paraId="438525C5" w14:textId="7EFAE839" w:rsidR="00AB2233" w:rsidRPr="00B153DE" w:rsidRDefault="00B153DE" w:rsidP="00B153DE">
      <w:pPr>
        <w:jc w:val="left"/>
        <w:rPr>
          <w:rFonts w:cs="Arial"/>
        </w:rPr>
      </w:pPr>
      <w:r>
        <w:rPr>
          <w:rFonts w:cs="Arial"/>
        </w:rPr>
        <w:br w:type="page"/>
      </w:r>
    </w:p>
    <w:p w14:paraId="59500A1C" w14:textId="111CDC3C" w:rsidR="000F7620" w:rsidRDefault="003C2A83" w:rsidP="00C139E7">
      <w:pPr>
        <w:pStyle w:val="Heading2"/>
        <w:spacing w:line="240" w:lineRule="auto"/>
      </w:pPr>
      <w:bookmarkStart w:id="16" w:name="_Toc2853745"/>
      <w:r>
        <w:lastRenderedPageBreak/>
        <w:t xml:space="preserve">1.2 </w:t>
      </w:r>
      <w:r w:rsidR="000F7620" w:rsidRPr="004D03EF">
        <w:t>Antecedentes</w:t>
      </w:r>
      <w:bookmarkEnd w:id="16"/>
      <w:r w:rsidR="000F7620" w:rsidRPr="004D03EF">
        <w:t xml:space="preserve"> </w:t>
      </w:r>
    </w:p>
    <w:p w14:paraId="5CB47682" w14:textId="23D1410A" w:rsidR="00C07D67" w:rsidRPr="00801FC7" w:rsidRDefault="00C07D67" w:rsidP="00C139E7">
      <w:pPr>
        <w:spacing w:line="240" w:lineRule="auto"/>
        <w:rPr>
          <w:rFonts w:cs="Arial"/>
        </w:rPr>
      </w:pPr>
      <w:r w:rsidRPr="003B2DC2">
        <w:rPr>
          <w:rFonts w:cs="Arial"/>
        </w:rPr>
        <w:t xml:space="preserve">La reforma fiscal del (IVA) es un tema que se encuentra en discusión </w:t>
      </w:r>
      <w:r w:rsidR="00BC6F6A">
        <w:rPr>
          <w:rFonts w:cs="Arial"/>
        </w:rPr>
        <w:t xml:space="preserve">en el país </w:t>
      </w:r>
      <w:r w:rsidRPr="003B2DC2">
        <w:rPr>
          <w:rFonts w:cs="Arial"/>
        </w:rPr>
        <w:t xml:space="preserve">desde hace </w:t>
      </w:r>
      <w:r w:rsidR="00614BD4">
        <w:rPr>
          <w:rFonts w:cs="Arial"/>
        </w:rPr>
        <w:t>16</w:t>
      </w:r>
      <w:r w:rsidRPr="003B2DC2">
        <w:rPr>
          <w:rFonts w:cs="Arial"/>
        </w:rPr>
        <w:t xml:space="preserve"> años, debido a la necesidad de</w:t>
      </w:r>
      <w:r w:rsidR="0039191E">
        <w:rPr>
          <w:rFonts w:cs="Arial"/>
        </w:rPr>
        <w:t xml:space="preserve"> </w:t>
      </w:r>
      <w:r w:rsidRPr="003B2DC2">
        <w:rPr>
          <w:rFonts w:cs="Arial"/>
        </w:rPr>
        <w:t xml:space="preserve">mejorar el sistema tributario costarricense se estipuló el Impuesto General sobre las Ventas (IGV) en el decreto ejecutivo número </w:t>
      </w:r>
      <w:r w:rsidRPr="00CB764C">
        <w:rPr>
          <w:rFonts w:cs="Arial"/>
        </w:rPr>
        <w:t>14082-H</w:t>
      </w:r>
      <w:r w:rsidRPr="003B2DC2">
        <w:rPr>
          <w:rFonts w:cs="Arial"/>
        </w:rPr>
        <w:t xml:space="preserve"> en 1982. No obstante, </w:t>
      </w:r>
      <w:r w:rsidR="008D088D">
        <w:rPr>
          <w:rFonts w:cs="Arial"/>
        </w:rPr>
        <w:t>existe un</w:t>
      </w:r>
      <w:r w:rsidRPr="003B2DC2">
        <w:rPr>
          <w:rFonts w:cs="Arial"/>
        </w:rPr>
        <w:t xml:space="preserve"> desfase económico entre el momento que se estableció la reforma</w:t>
      </w:r>
      <w:r>
        <w:rPr>
          <w:rFonts w:cs="Arial"/>
        </w:rPr>
        <w:t xml:space="preserve"> y la actualidad</w:t>
      </w:r>
      <w:r w:rsidR="00423F7B">
        <w:rPr>
          <w:rFonts w:cs="Arial"/>
        </w:rPr>
        <w:t>:</w:t>
      </w:r>
      <w:r w:rsidRPr="003B2DC2">
        <w:rPr>
          <w:rFonts w:cs="Arial"/>
        </w:rPr>
        <w:t xml:space="preserve"> “cuando la economía se basaba en la exportación de productos agropecuarios tradicionales y el comercio se basaba en los bienes tangibles”.</w:t>
      </w:r>
      <w:r>
        <w:rPr>
          <w:rFonts w:cs="Arial"/>
        </w:rPr>
        <w:t xml:space="preserve"> </w:t>
      </w:r>
      <w:r>
        <w:rPr>
          <w:rFonts w:cs="Arial"/>
        </w:rPr>
        <w:fldChar w:fldCharType="begin" w:fldLock="1"/>
      </w:r>
      <w:r w:rsidR="00C977ED">
        <w:rPr>
          <w:rFonts w:cs="Arial"/>
        </w:rPr>
        <w:instrText>ADDIN CSL_CITATION {"citationItems":[{"id":"ITEM-1","itemData":{"author":[{"dropping-particle":"","family":"Jiménez Zeledón","given":"Mariano","non-dropping-particle":"","parse-names":false,"suffix":""},{"dropping-particle":"","family":"Rojas Saborio","given":"Ingrid","non-dropping-particle":"","parse-names":false,"suffix":""}],"container-title":"Revista de Ciencias Económicas","id":"ITEM-1","issued":{"date-parts":[["2010"]]},"publisher":"Instituto de Investigaciones en Ciencias Económicas, Universidad de Costa Rica","title":"La reforma tributaria posible en Costa Rica","type":"article-journal","volume":"28"},"uris":["http://www.mendeley.com/documents/?uuid=6bea76ab-3b23-41d4-8075-43ba22f4de5e"]}],"mendeley":{"formattedCitation":"(Jiménez Zeledón &amp; Rojas Saborio, 2010)","plainTextFormattedCitation":"(Jiménez Zeledón &amp; Rojas Saborio, 2010)","previouslyFormattedCitation":"(Jiménez Zeledón, Rojas Saborio, &amp; others, 2010)"},"properties":{"noteIndex":0},"schema":"https://github.com/citation-style-language/schema/raw/master/csl-citation.json"}</w:instrText>
      </w:r>
      <w:r>
        <w:rPr>
          <w:rFonts w:cs="Arial"/>
        </w:rPr>
        <w:fldChar w:fldCharType="separate"/>
      </w:r>
      <w:r w:rsidR="00C977ED" w:rsidRPr="00C977ED">
        <w:rPr>
          <w:rFonts w:cs="Arial"/>
          <w:noProof/>
        </w:rPr>
        <w:t>(Jiménez Zeledón &amp; Rojas Saborio, 2010)</w:t>
      </w:r>
      <w:r>
        <w:rPr>
          <w:rFonts w:cs="Arial"/>
        </w:rPr>
        <w:fldChar w:fldCharType="end"/>
      </w:r>
      <w:r w:rsidRPr="003B2DC2">
        <w:rPr>
          <w:rFonts w:cs="Arial"/>
        </w:rPr>
        <w:t>. Aunado a la complejidad que tiene la canasta tributaria y su nivel de alícuota, se han planteado distintos proyectos que buscan como premisa mejorar la recaudación de este impuesto indirecto.</w:t>
      </w:r>
    </w:p>
    <w:p w14:paraId="55AA51C3" w14:textId="1A4E5B94" w:rsidR="00C07D67" w:rsidRPr="003B2DC2" w:rsidRDefault="00C07D67" w:rsidP="00C139E7">
      <w:pPr>
        <w:spacing w:line="240" w:lineRule="auto"/>
        <w:rPr>
          <w:rFonts w:cs="Arial"/>
        </w:rPr>
      </w:pPr>
      <w:r w:rsidRPr="00B26413">
        <w:rPr>
          <w:rFonts w:cs="Arial"/>
        </w:rPr>
        <w:t>En 1991</w:t>
      </w:r>
      <w:r w:rsidR="00AA36CE">
        <w:rPr>
          <w:rFonts w:cs="Arial"/>
        </w:rPr>
        <w:t>,</w:t>
      </w:r>
      <w:r w:rsidR="00B561B9">
        <w:rPr>
          <w:rFonts w:cs="Arial"/>
        </w:rPr>
        <w:t xml:space="preserve"> </w:t>
      </w:r>
      <w:r w:rsidR="00AA36CE">
        <w:rPr>
          <w:rFonts w:cs="Arial"/>
        </w:rPr>
        <w:t>en la administración</w:t>
      </w:r>
      <w:r w:rsidR="00B561B9">
        <w:rPr>
          <w:rFonts w:cs="Arial"/>
        </w:rPr>
        <w:t xml:space="preserve"> </w:t>
      </w:r>
      <w:r w:rsidR="00AA36CE" w:rsidRPr="00B26413">
        <w:rPr>
          <w:rFonts w:cs="Arial"/>
        </w:rPr>
        <w:t>Calderón Fournier</w:t>
      </w:r>
      <w:r w:rsidR="00AA36CE">
        <w:rPr>
          <w:rFonts w:cs="Arial"/>
        </w:rPr>
        <w:t>,</w:t>
      </w:r>
      <w:r w:rsidR="00AA36CE" w:rsidRPr="00B26413">
        <w:rPr>
          <w:rFonts w:cs="Arial"/>
        </w:rPr>
        <w:t xml:space="preserve"> se </w:t>
      </w:r>
      <w:r w:rsidR="00AA36CE">
        <w:rPr>
          <w:rFonts w:cs="Arial"/>
        </w:rPr>
        <w:t>presentó a la Asamblea Legislativa</w:t>
      </w:r>
      <w:r w:rsidR="00AA36CE" w:rsidRPr="00B26413">
        <w:rPr>
          <w:rFonts w:cs="Arial"/>
        </w:rPr>
        <w:t xml:space="preserve"> </w:t>
      </w:r>
      <w:r w:rsidR="00B561B9" w:rsidRPr="00B26413">
        <w:rPr>
          <w:rFonts w:cs="Arial"/>
        </w:rPr>
        <w:t>un proyecto de reforma llamado Ley de Eficiencia Tributaria</w:t>
      </w:r>
      <w:r w:rsidRPr="00B26413">
        <w:rPr>
          <w:rFonts w:cs="Arial"/>
        </w:rPr>
        <w:t>.</w:t>
      </w:r>
      <w:r w:rsidR="00064E92">
        <w:rPr>
          <w:rFonts w:cs="Arial"/>
        </w:rPr>
        <w:t xml:space="preserve"> De acuerdo</w:t>
      </w:r>
      <w:r w:rsidR="00716DF5">
        <w:rPr>
          <w:rFonts w:cs="Arial"/>
        </w:rPr>
        <w:t xml:space="preserve"> a</w:t>
      </w:r>
      <w:r w:rsidRPr="00B26413">
        <w:rPr>
          <w:rFonts w:cs="Arial"/>
        </w:rPr>
        <w:t xml:space="preserve"> </w:t>
      </w:r>
      <w:r w:rsidRPr="00B26413">
        <w:rPr>
          <w:rFonts w:cs="Arial"/>
        </w:rPr>
        <w:fldChar w:fldCharType="begin" w:fldLock="1"/>
      </w:r>
      <w:r w:rsidR="00475856">
        <w:rPr>
          <w:rFonts w:cs="Arial"/>
        </w:rPr>
        <w:instrText>ADDIN CSL_CITATION {"citationItems":[{"id":"ITEM-1","itemData":{"author":[{"dropping-particle":"","family":"Cornick","given":"J","non-dropping-particle":"","parse-names":false,"suffix":""}],"id":"ITEM-1","issued":{"date-parts":[["1998"]]},"publisher":"EureKa Comunicación","publisher-place":"San José","title":"La reforma del sistema tributario en Costa Rica 1994-1997; logros y tareas pendientes","type":"book"},"uris":["http://www.mendeley.com/documents/?uuid=47dd6614-7930-493c-97f6-4c9ada912674"]}],"mendeley":{"formattedCitation":"(Cornick, 1998)","manualFormatting":"Cornick (1998)","plainTextFormattedCitation":"(Cornick, 1998)","previouslyFormattedCitation":"(Cornick, 1998)"},"properties":{"noteIndex":0},"schema":"https://github.com/citation-style-language/schema/raw/master/csl-citation.json"}</w:instrText>
      </w:r>
      <w:r w:rsidRPr="00B26413">
        <w:rPr>
          <w:rFonts w:cs="Arial"/>
        </w:rPr>
        <w:fldChar w:fldCharType="separate"/>
      </w:r>
      <w:r w:rsidRPr="00B26413">
        <w:rPr>
          <w:rFonts w:cs="Arial"/>
          <w:noProof/>
        </w:rPr>
        <w:t>Cornick (1998)</w:t>
      </w:r>
      <w:r w:rsidRPr="00B26413">
        <w:rPr>
          <w:rFonts w:cs="Arial"/>
        </w:rPr>
        <w:fldChar w:fldCharType="end"/>
      </w:r>
      <w:r w:rsidR="00AC2D69">
        <w:rPr>
          <w:rFonts w:cs="Arial"/>
        </w:rPr>
        <w:t xml:space="preserve">, </w:t>
      </w:r>
      <w:r w:rsidRPr="00B26413">
        <w:rPr>
          <w:rFonts w:cs="Arial"/>
        </w:rPr>
        <w:t xml:space="preserve">la propuesta </w:t>
      </w:r>
      <w:r w:rsidR="001516EE">
        <w:rPr>
          <w:rFonts w:cs="Arial"/>
        </w:rPr>
        <w:t xml:space="preserve">contempló </w:t>
      </w:r>
      <w:r w:rsidRPr="00B26413">
        <w:rPr>
          <w:rFonts w:cs="Arial"/>
        </w:rPr>
        <w:t xml:space="preserve"> el aumento de la base gravable; además, una reducción de bienes exentos entre ellos: el consumo de la electricidad, por debajo de 250 Kwh, y los materiales para la construcción de viviendas. Sin embargo, el proyecto no llego a ser </w:t>
      </w:r>
      <w:r>
        <w:rPr>
          <w:rFonts w:cs="Arial"/>
        </w:rPr>
        <w:t>aprobado</w:t>
      </w:r>
      <w:r w:rsidRPr="00B26413">
        <w:rPr>
          <w:rFonts w:cs="Arial"/>
        </w:rPr>
        <w:t>.</w:t>
      </w:r>
    </w:p>
    <w:p w14:paraId="2AD54307" w14:textId="6B76B210" w:rsidR="00C07D67" w:rsidRPr="003B2DC2" w:rsidRDefault="00C07D67" w:rsidP="00C139E7">
      <w:pPr>
        <w:spacing w:line="240" w:lineRule="auto"/>
        <w:rPr>
          <w:rFonts w:cs="Arial"/>
        </w:rPr>
      </w:pPr>
      <w:r w:rsidRPr="003B2DC2">
        <w:rPr>
          <w:rFonts w:cs="Arial"/>
        </w:rPr>
        <w:t>Durante ese mismo año se realizó la reforma</w:t>
      </w:r>
      <w:r w:rsidR="00911DB1">
        <w:rPr>
          <w:rFonts w:cs="Arial"/>
        </w:rPr>
        <w:t xml:space="preserve"> </w:t>
      </w:r>
      <w:r w:rsidRPr="003B2DC2">
        <w:rPr>
          <w:rFonts w:cs="Arial"/>
        </w:rPr>
        <w:t xml:space="preserve">Ley de </w:t>
      </w:r>
      <w:r w:rsidR="00E073E5">
        <w:rPr>
          <w:rFonts w:cs="Arial"/>
        </w:rPr>
        <w:t>A</w:t>
      </w:r>
      <w:r w:rsidRPr="003B2DC2">
        <w:rPr>
          <w:rFonts w:cs="Arial"/>
        </w:rPr>
        <w:t xml:space="preserve">juste </w:t>
      </w:r>
      <w:r w:rsidR="00E073E5">
        <w:rPr>
          <w:rFonts w:cs="Arial"/>
        </w:rPr>
        <w:t>T</w:t>
      </w:r>
      <w:r w:rsidRPr="003B2DC2">
        <w:rPr>
          <w:rFonts w:cs="Arial"/>
        </w:rPr>
        <w:t>ributario</w:t>
      </w:r>
      <w:r w:rsidR="001811DD">
        <w:rPr>
          <w:rFonts w:cs="Arial"/>
        </w:rPr>
        <w:t xml:space="preserve"> </w:t>
      </w:r>
      <w:r w:rsidR="001811DD" w:rsidRPr="001811DD">
        <w:rPr>
          <w:rFonts w:cs="Arial"/>
        </w:rPr>
        <w:t>N° 7218</w:t>
      </w:r>
      <w:r w:rsidRPr="003B2DC2">
        <w:rPr>
          <w:rFonts w:cs="Arial"/>
        </w:rPr>
        <w:t xml:space="preserve">: </w:t>
      </w:r>
    </w:p>
    <w:p w14:paraId="52792555" w14:textId="515C0F1B" w:rsidR="00C07D67" w:rsidRDefault="00C07D67" w:rsidP="00C139E7">
      <w:pPr>
        <w:spacing w:line="240" w:lineRule="auto"/>
        <w:ind w:left="708"/>
        <w:rPr>
          <w:rFonts w:cs="Arial"/>
        </w:rPr>
      </w:pPr>
      <w:r w:rsidRPr="003B2DC2">
        <w:rPr>
          <w:rFonts w:cs="Arial"/>
        </w:rPr>
        <w:t xml:space="preserve">Cuando la economía hiló dos años de crecimiento por debajo del 4%, la Ley de ajuste tributario estableció en un 13% el gravamen sobre el consumo. El porcentaje debía disminuir de manera escalonada un punto por año hasta el 1994, cuando la tarifa se estacionaría en un 10%. </w:t>
      </w:r>
      <w:r>
        <w:rPr>
          <w:rFonts w:cs="Arial"/>
        </w:rPr>
        <w:fldChar w:fldCharType="begin" w:fldLock="1"/>
      </w:r>
      <w:r w:rsidR="00475856">
        <w:rPr>
          <w:rFonts w:cs="Arial"/>
        </w:rPr>
        <w:instrText>ADDIN CSL_CITATION {"citationItems":[{"id":"ITEM-1","itemData":{"author":[{"dropping-particle":"","family":"Morales","given":"E","non-dropping-particle":"","parse-names":false,"suffix":""}],"container-title":"El financiero","id":"ITEM-1","issued":{"date-parts":[["2013","12","15"]]},"publisher-place":"San José","title":"Impuesto de ventas ha sufrido más reformas en los últimos 26 años.","type":"article-newspaper"},"uris":["http://www.mendeley.com/documents/?uuid=0a054020-7569-4294-a7fa-3c0bc3ad958c"]}],"mendeley":{"formattedCitation":"(Morales, 2013)","plainTextFormattedCitation":"(Morales, 2013)","previouslyFormattedCitation":"(Morales, 2013)"},"properties":{"noteIndex":0},"schema":"https://github.com/citation-style-language/schema/raw/master/csl-citation.json"}</w:instrText>
      </w:r>
      <w:r>
        <w:rPr>
          <w:rFonts w:cs="Arial"/>
        </w:rPr>
        <w:fldChar w:fldCharType="separate"/>
      </w:r>
      <w:r w:rsidRPr="00B26413">
        <w:rPr>
          <w:rFonts w:cs="Arial"/>
          <w:noProof/>
        </w:rPr>
        <w:t>(Morales, 2013)</w:t>
      </w:r>
      <w:r>
        <w:rPr>
          <w:rFonts w:cs="Arial"/>
        </w:rPr>
        <w:fldChar w:fldCharType="end"/>
      </w:r>
      <w:r>
        <w:rPr>
          <w:rFonts w:cs="Arial"/>
        </w:rPr>
        <w:t>.</w:t>
      </w:r>
    </w:p>
    <w:p w14:paraId="0C9CCA37" w14:textId="77777777" w:rsidR="00C07D67" w:rsidRPr="003B2DC2" w:rsidRDefault="00C07D67" w:rsidP="00C139E7">
      <w:pPr>
        <w:spacing w:line="240" w:lineRule="auto"/>
        <w:rPr>
          <w:rFonts w:cs="Arial"/>
        </w:rPr>
      </w:pPr>
      <w:r w:rsidRPr="003B2DC2">
        <w:rPr>
          <w:rFonts w:cs="Arial"/>
        </w:rPr>
        <w:t xml:space="preserve">De esta manera, se </w:t>
      </w:r>
      <w:r>
        <w:rPr>
          <w:rFonts w:cs="Arial"/>
        </w:rPr>
        <w:t>definió</w:t>
      </w:r>
      <w:r w:rsidRPr="003B2DC2">
        <w:rPr>
          <w:rFonts w:cs="Arial"/>
        </w:rPr>
        <w:t xml:space="preserve"> el nivel de alícuota para los siguientes años, debido a que la tendencia de la tasa del impuesto era decreciente, se efectuó un condicionamiento de los ingresos tributarios, al menos los provenientes por el impuesto general sobre las ventas.</w:t>
      </w:r>
    </w:p>
    <w:p w14:paraId="6F17FA81" w14:textId="7D8DE172" w:rsidR="00C07D67" w:rsidRPr="003B2DC2" w:rsidRDefault="00C07D67" w:rsidP="00C139E7">
      <w:pPr>
        <w:spacing w:line="240" w:lineRule="auto"/>
        <w:rPr>
          <w:rFonts w:cs="Arial"/>
        </w:rPr>
      </w:pPr>
      <w:r w:rsidRPr="003B2DC2">
        <w:rPr>
          <w:rFonts w:cs="Arial"/>
        </w:rPr>
        <w:t xml:space="preserve">Posteriormente, </w:t>
      </w:r>
      <w:r w:rsidRPr="00B26413">
        <w:rPr>
          <w:rFonts w:cs="Arial"/>
        </w:rPr>
        <w:fldChar w:fldCharType="begin" w:fldLock="1"/>
      </w:r>
      <w:r w:rsidR="00475856">
        <w:rPr>
          <w:rFonts w:cs="Arial"/>
        </w:rPr>
        <w:instrText>ADDIN CSL_CITATION {"citationItems":[{"id":"ITEM-1","itemData":{"author":[{"dropping-particle":"","family":"Cornick","given":"J","non-dropping-particle":"","parse-names":false,"suffix":""}],"id":"ITEM-1","issued":{"date-parts":[["1998"]]},"publisher":"EureKa Comunicación","publisher-place":"San José","title":"La reforma del sistema tributario en Costa Rica 1994-1997; logros y tareas pendientes","type":"book"},"uris":["http://www.mendeley.com/documents/?uuid=47dd6614-7930-493c-97f6-4c9ada912674"]}],"mendeley":{"formattedCitation":"(Cornick, 1998)","manualFormatting":"Cornick (1998)","plainTextFormattedCitation":"(Cornick, 1998)","previouslyFormattedCitation":"(Cornick, 1998)"},"properties":{"noteIndex":0},"schema":"https://github.com/citation-style-language/schema/raw/master/csl-citation.json"}</w:instrText>
      </w:r>
      <w:r w:rsidRPr="00B26413">
        <w:rPr>
          <w:rFonts w:cs="Arial"/>
        </w:rPr>
        <w:fldChar w:fldCharType="separate"/>
      </w:r>
      <w:r w:rsidRPr="00B26413">
        <w:rPr>
          <w:rFonts w:cs="Arial"/>
          <w:noProof/>
        </w:rPr>
        <w:t>Cornick (1998)</w:t>
      </w:r>
      <w:r w:rsidRPr="00B26413">
        <w:rPr>
          <w:rFonts w:cs="Arial"/>
        </w:rPr>
        <w:fldChar w:fldCharType="end"/>
      </w:r>
      <w:r>
        <w:rPr>
          <w:rFonts w:cs="Arial"/>
        </w:rPr>
        <w:t xml:space="preserve"> </w:t>
      </w:r>
      <w:r w:rsidRPr="003B2DC2">
        <w:rPr>
          <w:rFonts w:cs="Arial"/>
        </w:rPr>
        <w:t xml:space="preserve">planteó que el impuesto sobre las ventas en 1994, no era un impuesto general, debido a que sus características </w:t>
      </w:r>
      <w:r w:rsidR="004647B8">
        <w:rPr>
          <w:rFonts w:cs="Arial"/>
        </w:rPr>
        <w:t>generaban</w:t>
      </w:r>
      <w:r w:rsidRPr="003B2DC2">
        <w:rPr>
          <w:rFonts w:cs="Arial"/>
        </w:rPr>
        <w:t xml:space="preserve"> un gran número de bienes y servicios exentos provocando que el tamaño del base gravable </w:t>
      </w:r>
      <w:r w:rsidR="00470B55">
        <w:rPr>
          <w:rFonts w:cs="Arial"/>
        </w:rPr>
        <w:t xml:space="preserve">no </w:t>
      </w:r>
      <w:r w:rsidRPr="003B2DC2">
        <w:rPr>
          <w:rFonts w:cs="Arial"/>
        </w:rPr>
        <w:t xml:space="preserve">fuera </w:t>
      </w:r>
      <w:r w:rsidR="00470B55">
        <w:rPr>
          <w:rFonts w:cs="Arial"/>
        </w:rPr>
        <w:t>tan amplio</w:t>
      </w:r>
      <w:r w:rsidRPr="003B2DC2">
        <w:rPr>
          <w:rFonts w:cs="Arial"/>
        </w:rPr>
        <w:t>. Este impuesto establecía que la alícuota era de un 10%, siendo considerada moderada, por tanto, los problemas que presentaba el impuesto sobre las ventas en los años noventa eran desde ambas perspectivas: problemas del lado de la base y del lado de alícuota.</w:t>
      </w:r>
    </w:p>
    <w:p w14:paraId="3513D176" w14:textId="4256B76B" w:rsidR="00C07D67" w:rsidRPr="003B2DC2" w:rsidRDefault="00C07D67" w:rsidP="00C139E7">
      <w:pPr>
        <w:spacing w:line="240" w:lineRule="auto"/>
        <w:rPr>
          <w:rFonts w:cs="Arial"/>
        </w:rPr>
      </w:pPr>
      <w:r w:rsidRPr="003B2DC2">
        <w:rPr>
          <w:rFonts w:cs="Arial"/>
        </w:rPr>
        <w:t>Un año después</w:t>
      </w:r>
      <w:r w:rsidR="00160E00">
        <w:rPr>
          <w:rFonts w:cs="Arial"/>
        </w:rPr>
        <w:t xml:space="preserve"> de </w:t>
      </w:r>
      <w:r w:rsidR="005D2DCD">
        <w:rPr>
          <w:rFonts w:cs="Arial"/>
        </w:rPr>
        <w:t>la aprobación de la ley</w:t>
      </w:r>
      <w:r w:rsidR="00AF114C">
        <w:rPr>
          <w:rFonts w:cs="Arial"/>
        </w:rPr>
        <w:t>,</w:t>
      </w:r>
      <w:r w:rsidRPr="003B2DC2">
        <w:rPr>
          <w:rFonts w:cs="Arial"/>
        </w:rPr>
        <w:t xml:space="preserve"> </w:t>
      </w:r>
      <w:r>
        <w:rPr>
          <w:rFonts w:cs="Arial"/>
        </w:rPr>
        <w:fldChar w:fldCharType="begin" w:fldLock="1"/>
      </w:r>
      <w:r w:rsidR="00475856">
        <w:rPr>
          <w:rFonts w:cs="Arial"/>
        </w:rPr>
        <w:instrText>ADDIN CSL_CITATION {"citationItems":[{"id":"ITEM-1","itemData":{"author":[{"dropping-particle":"","family":"Morales","given":"E","non-dropping-particle":"","parse-names":false,"suffix":""}],"container-title":"El financiero","id":"ITEM-1","issued":{"date-parts":[["2013","12","15"]]},"publisher-place":"San José","title":"Impuesto de ventas ha sufrido más reformas en los últimos 26 años.","type":"article-newspaper"},"uris":["http://www.mendeley.com/documents/?uuid=0a054020-7569-4294-a7fa-3c0bc3ad958c"]}],"mendeley":{"formattedCitation":"(Morales, 2013)","manualFormatting":"Morales (2013)","plainTextFormattedCitation":"(Morales, 2013)","previouslyFormattedCitation":"(Morales, 2013)"},"properties":{"noteIndex":0},"schema":"https://github.com/citation-style-language/schema/raw/master/csl-citation.json"}</w:instrText>
      </w:r>
      <w:r>
        <w:rPr>
          <w:rFonts w:cs="Arial"/>
        </w:rPr>
        <w:fldChar w:fldCharType="separate"/>
      </w:r>
      <w:r>
        <w:rPr>
          <w:rFonts w:cs="Arial"/>
          <w:noProof/>
        </w:rPr>
        <w:t>Morales</w:t>
      </w:r>
      <w:r w:rsidRPr="00B26413">
        <w:rPr>
          <w:rFonts w:cs="Arial"/>
          <w:noProof/>
        </w:rPr>
        <w:t xml:space="preserve"> </w:t>
      </w:r>
      <w:r>
        <w:rPr>
          <w:rFonts w:cs="Arial"/>
          <w:noProof/>
        </w:rPr>
        <w:t>(</w:t>
      </w:r>
      <w:r w:rsidRPr="00B26413">
        <w:rPr>
          <w:rFonts w:cs="Arial"/>
          <w:noProof/>
        </w:rPr>
        <w:t>2013)</w:t>
      </w:r>
      <w:r>
        <w:rPr>
          <w:rFonts w:cs="Arial"/>
        </w:rPr>
        <w:fldChar w:fldCharType="end"/>
      </w:r>
      <w:r>
        <w:rPr>
          <w:rFonts w:cs="Arial"/>
        </w:rPr>
        <w:t xml:space="preserve"> </w:t>
      </w:r>
      <w:r w:rsidRPr="003B2DC2">
        <w:rPr>
          <w:rFonts w:cs="Arial"/>
        </w:rPr>
        <w:t>menciona que se realizó el ajuste más alto en tasa del impuesto general sobre las ventas; el cual era de un 15%, mediante la Ley de Ajuste Tributario, dicho ajuste perduró 18 meses antes de volver al valor de la tasa actual del 13%. Ese aumento en la alícuota, como era de esperar, permitió subir la recaudación del primer semestre del año 1996. Además, el tiempo definido (18 meses) para el aumento de la tasa del impuesto fue dado en el momento de negociación.</w:t>
      </w:r>
    </w:p>
    <w:p w14:paraId="360A0371" w14:textId="16B88507" w:rsidR="00C07D67" w:rsidRPr="003B2DC2" w:rsidRDefault="00C07D67" w:rsidP="00C139E7">
      <w:pPr>
        <w:spacing w:line="240" w:lineRule="auto"/>
        <w:rPr>
          <w:rFonts w:cs="Arial"/>
        </w:rPr>
      </w:pPr>
      <w:r>
        <w:rPr>
          <w:rFonts w:cs="Arial"/>
        </w:rPr>
        <w:t xml:space="preserve">El </w:t>
      </w:r>
      <w:r w:rsidRPr="009A6311">
        <w:rPr>
          <w:rFonts w:cs="Arial"/>
        </w:rPr>
        <w:t>profesor</w:t>
      </w:r>
      <w:r>
        <w:rPr>
          <w:rFonts w:cs="Arial"/>
        </w:rPr>
        <w:t xml:space="preserve"> y exministro de Hacienda, Fernando</w:t>
      </w:r>
      <w:r w:rsidRPr="003B2DC2">
        <w:rPr>
          <w:rFonts w:cs="Arial"/>
        </w:rPr>
        <w:t xml:space="preserve"> Herrero</w:t>
      </w:r>
      <w:r w:rsidR="00A66848">
        <w:rPr>
          <w:rFonts w:cs="Arial"/>
        </w:rPr>
        <w:t xml:space="preserve"> Acosta</w:t>
      </w:r>
      <w:r>
        <w:rPr>
          <w:rFonts w:cs="Arial"/>
        </w:rPr>
        <w:t>,</w:t>
      </w:r>
      <w:r w:rsidRPr="003B2DC2">
        <w:rPr>
          <w:rFonts w:cs="Arial"/>
        </w:rPr>
        <w:t xml:space="preserve"> declaró “Cuando se dio el aumento del impuesto, la negociación se dio con la condición de que en los dos años posteriores bajara, perdiéndose la oportunidad de reforma. Ese gobierno tenía la particularidad de tener un poder en el congreso, facilitando la aprobación del impuesto”. (F. Herrero, comunicación personal, 6 de abril del 2017).</w:t>
      </w:r>
    </w:p>
    <w:p w14:paraId="6E0C3349" w14:textId="61298B99" w:rsidR="00C07D67" w:rsidRPr="003B2DC2" w:rsidRDefault="00C07D67" w:rsidP="00C139E7">
      <w:pPr>
        <w:spacing w:line="240" w:lineRule="auto"/>
        <w:rPr>
          <w:rFonts w:cs="Arial"/>
        </w:rPr>
      </w:pPr>
      <w:r w:rsidRPr="003B2DC2">
        <w:rPr>
          <w:rFonts w:cs="Arial"/>
        </w:rPr>
        <w:lastRenderedPageBreak/>
        <w:t xml:space="preserve">Para que se realizará la aprobación de la </w:t>
      </w:r>
      <w:r w:rsidR="00891655">
        <w:rPr>
          <w:rFonts w:cs="Arial"/>
        </w:rPr>
        <w:t>L</w:t>
      </w:r>
      <w:r w:rsidRPr="003B2DC2">
        <w:rPr>
          <w:rFonts w:cs="Arial"/>
        </w:rPr>
        <w:t xml:space="preserve">ey de </w:t>
      </w:r>
      <w:r w:rsidR="00E27E7A">
        <w:rPr>
          <w:rFonts w:cs="Arial"/>
        </w:rPr>
        <w:t>A</w:t>
      </w:r>
      <w:r w:rsidRPr="003B2DC2">
        <w:rPr>
          <w:rFonts w:cs="Arial"/>
        </w:rPr>
        <w:t xml:space="preserve">juste </w:t>
      </w:r>
      <w:r w:rsidR="00E27E7A">
        <w:rPr>
          <w:rFonts w:cs="Arial"/>
        </w:rPr>
        <w:t>T</w:t>
      </w:r>
      <w:r w:rsidRPr="003B2DC2">
        <w:rPr>
          <w:rFonts w:cs="Arial"/>
        </w:rPr>
        <w:t>ributario se dieron un conjunto de condiciones, cualidades y destrezas que no se han dado en gobiernos posteriores para la reforma tributarita del IVA. Sin embargo, si se dieron reformas fiscales</w:t>
      </w:r>
      <w:r w:rsidR="00133F49">
        <w:rPr>
          <w:rFonts w:cs="Arial"/>
        </w:rPr>
        <w:t>:</w:t>
      </w:r>
      <w:r w:rsidR="00E4555C">
        <w:rPr>
          <w:rFonts w:cs="Arial"/>
        </w:rPr>
        <w:t xml:space="preserve"> </w:t>
      </w:r>
      <w:r w:rsidRPr="003B2DC2">
        <w:rPr>
          <w:rFonts w:cs="Arial"/>
        </w:rPr>
        <w:t xml:space="preserve">en el </w:t>
      </w:r>
      <w:r w:rsidR="00406153">
        <w:rPr>
          <w:rFonts w:cs="Arial"/>
        </w:rPr>
        <w:t>G</w:t>
      </w:r>
      <w:r w:rsidRPr="003B2DC2">
        <w:rPr>
          <w:rFonts w:cs="Arial"/>
        </w:rPr>
        <w:t xml:space="preserve">obierno de </w:t>
      </w:r>
      <w:r w:rsidRPr="00E56A1D">
        <w:rPr>
          <w:rFonts w:cs="Arial"/>
        </w:rPr>
        <w:t>Miguel Ángel Rodríguez Bajón</w:t>
      </w:r>
      <w:r w:rsidR="00E4555C">
        <w:rPr>
          <w:rFonts w:cs="Arial"/>
        </w:rPr>
        <w:t>,</w:t>
      </w:r>
      <w:r w:rsidRPr="00E56A1D">
        <w:rPr>
          <w:rFonts w:cs="Arial"/>
        </w:rPr>
        <w:t xml:space="preserve"> </w:t>
      </w:r>
      <w:r w:rsidRPr="003B2DC2">
        <w:rPr>
          <w:rFonts w:cs="Arial"/>
        </w:rPr>
        <w:t>se dio la Ley de Simplificación y Eficiencia, además</w:t>
      </w:r>
      <w:r>
        <w:rPr>
          <w:rFonts w:cs="Arial"/>
        </w:rPr>
        <w:t>,</w:t>
      </w:r>
      <w:r w:rsidRPr="003B2DC2">
        <w:rPr>
          <w:rFonts w:cs="Arial"/>
        </w:rPr>
        <w:t xml:space="preserve"> en el </w:t>
      </w:r>
      <w:r w:rsidR="001C3469">
        <w:rPr>
          <w:rFonts w:cs="Arial"/>
        </w:rPr>
        <w:t>G</w:t>
      </w:r>
      <w:r w:rsidRPr="003B2DC2">
        <w:rPr>
          <w:rFonts w:cs="Arial"/>
        </w:rPr>
        <w:t>obierno de Abel Pacheco</w:t>
      </w:r>
      <w:r w:rsidR="00CF0165">
        <w:rPr>
          <w:rFonts w:cs="Arial"/>
        </w:rPr>
        <w:t xml:space="preserve"> </w:t>
      </w:r>
      <w:r w:rsidR="00CF0165">
        <w:t>de la Espriella</w:t>
      </w:r>
      <w:r w:rsidRPr="003B2DC2">
        <w:rPr>
          <w:rFonts w:cs="Arial"/>
        </w:rPr>
        <w:t xml:space="preserve"> se dio la Ley de Contingencia Fiscal</w:t>
      </w:r>
      <w:r w:rsidR="00EA2889">
        <w:rPr>
          <w:rFonts w:cs="Arial"/>
        </w:rPr>
        <w:t xml:space="preserve"> </w:t>
      </w:r>
      <w:r w:rsidR="00EA2889" w:rsidRPr="00EA2889">
        <w:rPr>
          <w:rFonts w:cs="Arial"/>
        </w:rPr>
        <w:t>Nº 8343</w:t>
      </w:r>
      <w:r w:rsidR="00A20CC8">
        <w:rPr>
          <w:rFonts w:cs="Arial"/>
        </w:rPr>
        <w:t>,</w:t>
      </w:r>
      <w:r w:rsidR="008A304E">
        <w:rPr>
          <w:rFonts w:cs="Arial"/>
        </w:rPr>
        <w:t xml:space="preserve"> donde el objetivo fue: </w:t>
      </w:r>
      <w:r w:rsidR="008A304E" w:rsidRPr="008A304E">
        <w:rPr>
          <w:rFonts w:cs="Arial"/>
        </w:rPr>
        <w:t xml:space="preserve">racionalizar el gasto público, mejorar </w:t>
      </w:r>
      <w:r w:rsidR="00754C03">
        <w:rPr>
          <w:rFonts w:cs="Arial"/>
        </w:rPr>
        <w:t xml:space="preserve">la </w:t>
      </w:r>
      <w:r w:rsidR="008A304E" w:rsidRPr="008A304E">
        <w:rPr>
          <w:rFonts w:cs="Arial"/>
        </w:rPr>
        <w:t xml:space="preserve">recaudación tributaria, </w:t>
      </w:r>
      <w:r w:rsidR="00754C03">
        <w:rPr>
          <w:rFonts w:cs="Arial"/>
        </w:rPr>
        <w:t>y</w:t>
      </w:r>
      <w:r w:rsidR="008A304E" w:rsidRPr="008A304E">
        <w:rPr>
          <w:rFonts w:cs="Arial"/>
        </w:rPr>
        <w:t xml:space="preserve"> generar nuevos ingresos</w:t>
      </w:r>
      <w:r w:rsidR="00754C03">
        <w:rPr>
          <w:rFonts w:cs="Arial"/>
        </w:rPr>
        <w:t xml:space="preserve">, </w:t>
      </w:r>
      <w:r w:rsidR="006E0766">
        <w:rPr>
          <w:rFonts w:cs="Arial"/>
        </w:rPr>
        <w:t xml:space="preserve">como a los vehículos </w:t>
      </w:r>
      <w:r w:rsidR="00F87AD9">
        <w:rPr>
          <w:rFonts w:cs="Arial"/>
        </w:rPr>
        <w:t>o los casinos</w:t>
      </w:r>
      <w:r w:rsidRPr="003B2DC2">
        <w:rPr>
          <w:rFonts w:cs="Arial"/>
        </w:rPr>
        <w:t>.</w:t>
      </w:r>
    </w:p>
    <w:p w14:paraId="7365CC07" w14:textId="3F0FBE60" w:rsidR="00C07D67" w:rsidRPr="003B2DC2" w:rsidRDefault="00C07D67" w:rsidP="00C139E7">
      <w:pPr>
        <w:spacing w:line="240" w:lineRule="auto"/>
        <w:rPr>
          <w:rFonts w:cs="Arial"/>
        </w:rPr>
      </w:pPr>
      <w:r w:rsidRPr="003B2DC2">
        <w:rPr>
          <w:rFonts w:cs="Arial"/>
        </w:rPr>
        <w:t xml:space="preserve">En el mismo gobierno de Pacheco </w:t>
      </w:r>
      <w:r w:rsidR="003C62A4">
        <w:rPr>
          <w:rFonts w:cs="Arial"/>
        </w:rPr>
        <w:t xml:space="preserve">de la Espriella </w:t>
      </w:r>
      <w:r w:rsidRPr="003B2DC2">
        <w:rPr>
          <w:rFonts w:cs="Arial"/>
        </w:rPr>
        <w:t xml:space="preserve">se hicieron esfuerzos, al igual que en el </w:t>
      </w:r>
      <w:r w:rsidR="00730786">
        <w:rPr>
          <w:rFonts w:cs="Arial"/>
        </w:rPr>
        <w:t>G</w:t>
      </w:r>
      <w:r w:rsidRPr="003B2DC2">
        <w:rPr>
          <w:rFonts w:cs="Arial"/>
        </w:rPr>
        <w:t xml:space="preserve">obierno de </w:t>
      </w:r>
      <w:r w:rsidRPr="00E56A1D">
        <w:rPr>
          <w:rFonts w:cs="Arial"/>
        </w:rPr>
        <w:t>Óscar Arias Sánchez</w:t>
      </w:r>
      <w:r w:rsidRPr="003B2DC2">
        <w:rPr>
          <w:rFonts w:cs="Arial"/>
        </w:rPr>
        <w:t xml:space="preserve">: </w:t>
      </w:r>
      <w:r w:rsidRPr="003B2DC2">
        <w:rPr>
          <w:rFonts w:cs="Arial"/>
        </w:rPr>
        <w:tab/>
      </w:r>
    </w:p>
    <w:p w14:paraId="79BAAE8B" w14:textId="75AA7D37" w:rsidR="00C07D67" w:rsidRPr="003B2DC2" w:rsidRDefault="00C07D67" w:rsidP="00B67428">
      <w:pPr>
        <w:spacing w:line="240" w:lineRule="auto"/>
        <w:ind w:left="708"/>
        <w:rPr>
          <w:rFonts w:cs="Arial"/>
        </w:rPr>
      </w:pPr>
      <w:r w:rsidRPr="003B2DC2">
        <w:rPr>
          <w:rFonts w:cs="Arial"/>
        </w:rPr>
        <w:t>Abel Pacheco (2002-2006) invirtió tres años en la Ley de Pacto Fiscal, que fue aprobada en el 2006 pero fue anulada por la Sala IV por problemas de trámite. Óscar Arias (2006-2010) impulsó al menos cinco proyectos diferentes, pero después de dos años, decidió rendirse porque ya no quedaba tiempo para desgastarse en temas como ese.</w:t>
      </w:r>
      <w:r>
        <w:rPr>
          <w:rFonts w:cs="Arial"/>
        </w:rPr>
        <w:t xml:space="preserve"> </w:t>
      </w:r>
      <w:r>
        <w:rPr>
          <w:rFonts w:cs="Arial"/>
        </w:rPr>
        <w:fldChar w:fldCharType="begin" w:fldLock="1"/>
      </w:r>
      <w:r w:rsidR="00475856">
        <w:rPr>
          <w:rFonts w:cs="Arial"/>
        </w:rPr>
        <w:instrText>ADDIN CSL_CITATION {"citationItems":[{"id":"ITEM-1","itemData":{"author":[{"dropping-particle":"","family":"Vives","given":"M","non-dropping-particle":"","parse-names":false,"suffix":""}],"container-title":"El financiero","id":"ITEM-1","issued":{"date-parts":[["2014","4","4"]]},"publisher-place":"San José","title":"El cada vez más vicioso ciclo de la reforma fiscal","type":"article-newspaper"},"uris":["http://www.mendeley.com/documents/?uuid=d8b9f756-535d-4bf0-bbbd-f97d27fc580d"]}],"mendeley":{"formattedCitation":"(Vives, 2014)","plainTextFormattedCitation":"(Vives, 2014)","previouslyFormattedCitation":"(Vives, 2014)"},"properties":{"noteIndex":0},"schema":"https://github.com/citation-style-language/schema/raw/master/csl-citation.json"}</w:instrText>
      </w:r>
      <w:r>
        <w:rPr>
          <w:rFonts w:cs="Arial"/>
        </w:rPr>
        <w:fldChar w:fldCharType="separate"/>
      </w:r>
      <w:r w:rsidRPr="0087191D">
        <w:rPr>
          <w:rFonts w:cs="Arial"/>
          <w:noProof/>
        </w:rPr>
        <w:t>(Vives, 2014)</w:t>
      </w:r>
      <w:r>
        <w:rPr>
          <w:rFonts w:cs="Arial"/>
        </w:rPr>
        <w:fldChar w:fldCharType="end"/>
      </w:r>
      <w:r>
        <w:rPr>
          <w:rFonts w:cs="Arial"/>
        </w:rPr>
        <w:t>.</w:t>
      </w:r>
    </w:p>
    <w:p w14:paraId="09C70DA0" w14:textId="7B4A9841" w:rsidR="00C07D67" w:rsidRPr="003B2DC2" w:rsidRDefault="00C07D67" w:rsidP="00C139E7">
      <w:pPr>
        <w:spacing w:line="240" w:lineRule="auto"/>
        <w:rPr>
          <w:rFonts w:cs="Arial"/>
        </w:rPr>
      </w:pPr>
      <w:r w:rsidRPr="003B2DC2">
        <w:rPr>
          <w:rFonts w:cs="Arial"/>
        </w:rPr>
        <w:t>En el año 2010, durante el gobierno de Laura Chinchilla</w:t>
      </w:r>
      <w:r>
        <w:rPr>
          <w:rFonts w:cs="Arial"/>
        </w:rPr>
        <w:t xml:space="preserve"> Miranda</w:t>
      </w:r>
      <w:r w:rsidRPr="003B2DC2">
        <w:rPr>
          <w:rFonts w:cs="Arial"/>
        </w:rPr>
        <w:t xml:space="preserve">, se planteó el proyecto de Ley número 18.261, llamado Ley de Solidaridad Tributaria. El </w:t>
      </w:r>
      <w:r w:rsidR="00C11BD3" w:rsidRPr="003B2DC2">
        <w:rPr>
          <w:rFonts w:cs="Arial"/>
        </w:rPr>
        <w:t>proyecto planteaba</w:t>
      </w:r>
      <w:r w:rsidRPr="003B2DC2">
        <w:rPr>
          <w:rFonts w:cs="Arial"/>
        </w:rPr>
        <w:t xml:space="preserve"> que los ingresos adicionales percibidos por la reforma deben ser iguales al 2% del PIB, de los cuales 1.38% eran del rendimiento esperado por el IVA. </w:t>
      </w:r>
      <w:r>
        <w:rPr>
          <w:rFonts w:cs="Arial"/>
        </w:rPr>
        <w:fldChar w:fldCharType="begin" w:fldLock="1"/>
      </w:r>
      <w:r w:rsidR="00475856">
        <w:rPr>
          <w:rFonts w:cs="Arial"/>
        </w:rPr>
        <w:instrText>ADDIN CSL_CITATION {"citationItems":[{"id":"ITEM-1","itemData":{"id":"ITEM-1","issued":{"date-parts":[["2011"]]},"number":"18.261","publisher":"La Gaceta diario oficial de Costa Rica","publisher-place":"San José","title":"Proyecto de Ley de Solaridad Tributaria","type":"legislation"},"uris":["http://www.mendeley.com/documents/?uuid=4c331236-2bf3-4821-bc1c-aad27963d0cb"]}],"mendeley":{"formattedCitation":"(Proyecto de Ley de Solaridad Tributaria, 2011)","plainTextFormattedCitation":"(Proyecto de Ley de Solaridad Tributaria, 2011)","previouslyFormattedCitation":"(Proyecto de Ley de Solaridad Tributaria, 2011)"},"properties":{"noteIndex":0},"schema":"https://github.com/citation-style-language/schema/raw/master/csl-citation.json"}</w:instrText>
      </w:r>
      <w:r>
        <w:rPr>
          <w:rFonts w:cs="Arial"/>
        </w:rPr>
        <w:fldChar w:fldCharType="separate"/>
      </w:r>
      <w:r w:rsidRPr="0087191D">
        <w:rPr>
          <w:rFonts w:cs="Arial"/>
          <w:noProof/>
        </w:rPr>
        <w:t>(Proyecto de Ley de Solaridad Tributaria, 2011)</w:t>
      </w:r>
      <w:r>
        <w:rPr>
          <w:rFonts w:cs="Arial"/>
        </w:rPr>
        <w:fldChar w:fldCharType="end"/>
      </w:r>
      <w:r>
        <w:rPr>
          <w:rFonts w:cs="Arial"/>
        </w:rPr>
        <w:t>.</w:t>
      </w:r>
    </w:p>
    <w:p w14:paraId="3D4EFBE5" w14:textId="15A891BA" w:rsidR="00C07D67" w:rsidRPr="003B2DC2" w:rsidRDefault="00C07D67" w:rsidP="00C139E7">
      <w:pPr>
        <w:spacing w:line="240" w:lineRule="auto"/>
        <w:rPr>
          <w:rFonts w:cs="Arial"/>
        </w:rPr>
      </w:pPr>
      <w:r w:rsidRPr="003B2DC2">
        <w:rPr>
          <w:rFonts w:cs="Arial"/>
        </w:rPr>
        <w:t>Como mecanismos de compensación se disponía de 233 bienes y servicios de la canasta básica para exonerar, donde: “</w:t>
      </w:r>
      <w:r w:rsidRPr="003B2DC2">
        <w:rPr>
          <w:rFonts w:cs="Arial"/>
          <w:color w:val="000000"/>
        </w:rPr>
        <w:t>la intención de proteger el consumo de los más pobres y liberarlo del pago de este impuesto</w:t>
      </w:r>
      <w:r w:rsidRPr="003B2DC2">
        <w:rPr>
          <w:rFonts w:cs="Arial"/>
        </w:rPr>
        <w:t>”</w:t>
      </w:r>
      <w:r>
        <w:rPr>
          <w:rFonts w:cs="Arial"/>
        </w:rPr>
        <w:t xml:space="preserve"> (ídem)</w:t>
      </w:r>
      <w:r w:rsidRPr="003B2DC2">
        <w:rPr>
          <w:rFonts w:cs="Arial"/>
        </w:rPr>
        <w:t xml:space="preserve">. En el mismo proyecto se planteó que las exoneraciones </w:t>
      </w:r>
      <w:r w:rsidR="00BC67D6">
        <w:rPr>
          <w:rFonts w:cs="Arial"/>
        </w:rPr>
        <w:t>eran</w:t>
      </w:r>
      <w:r w:rsidRPr="003B2DC2">
        <w:rPr>
          <w:rFonts w:cs="Arial"/>
        </w:rPr>
        <w:t xml:space="preserve"> muy amplias, beneficiando en cierta medida los deciles de ingresos más altos. De esta manera, en el proyecto se planteó primeramente un cambio en la base gravable del impuesto.</w:t>
      </w:r>
    </w:p>
    <w:p w14:paraId="321B7FA2" w14:textId="55E893DC" w:rsidR="00C07D67" w:rsidRPr="003B2DC2" w:rsidRDefault="00C07D67" w:rsidP="00C139E7">
      <w:pPr>
        <w:spacing w:line="240" w:lineRule="auto"/>
        <w:rPr>
          <w:rFonts w:cs="Arial"/>
        </w:rPr>
      </w:pPr>
      <w:r w:rsidRPr="003B2DC2">
        <w:rPr>
          <w:rFonts w:cs="Arial"/>
        </w:rPr>
        <w:t>En el caso de la alícuota se diseñó un aumento del 13% al 14%, y se dejó la posibilidad de aumentar un punto porcentual en el caso de que fuese necesario. Además, se prop</w:t>
      </w:r>
      <w:r w:rsidR="007B5541">
        <w:rPr>
          <w:rFonts w:cs="Arial"/>
        </w:rPr>
        <w:t>uso</w:t>
      </w:r>
      <w:r w:rsidRPr="003B2DC2">
        <w:rPr>
          <w:rFonts w:cs="Arial"/>
        </w:rPr>
        <w:t xml:space="preserve"> la aplicación de una tarifa diferenciada de los servicios en educación y salud. Por otra parte, como mejora en la aplicación de créditos fiscales </w:t>
      </w:r>
      <w:r w:rsidR="00CD4396">
        <w:rPr>
          <w:rFonts w:cs="Arial"/>
        </w:rPr>
        <w:t xml:space="preserve">se contempla </w:t>
      </w:r>
      <w:r w:rsidRPr="003B2DC2">
        <w:rPr>
          <w:rFonts w:cs="Arial"/>
        </w:rPr>
        <w:t>un cambio de sistema</w:t>
      </w:r>
      <w:r w:rsidR="009A6311">
        <w:rPr>
          <w:rFonts w:cs="Arial"/>
        </w:rPr>
        <w:t xml:space="preserve"> </w:t>
      </w:r>
      <w:r w:rsidRPr="003B2DC2">
        <w:rPr>
          <w:rFonts w:cs="Arial"/>
        </w:rPr>
        <w:t>de deducción física a deducción financiera contable, trayendo consigo mejoras de control. Finalmente se</w:t>
      </w:r>
      <w:r w:rsidR="00C96067">
        <w:rPr>
          <w:rFonts w:cs="Arial"/>
        </w:rPr>
        <w:t xml:space="preserve"> agregó</w:t>
      </w:r>
      <w:r w:rsidRPr="003B2DC2">
        <w:rPr>
          <w:rFonts w:cs="Arial"/>
        </w:rPr>
        <w:t xml:space="preserve"> una mejora de los incentivos siempre y cuando el costo no super</w:t>
      </w:r>
      <w:r w:rsidR="00C96067">
        <w:rPr>
          <w:rFonts w:cs="Arial"/>
        </w:rPr>
        <w:t>ara</w:t>
      </w:r>
      <w:r w:rsidRPr="003B2DC2">
        <w:rPr>
          <w:rFonts w:cs="Arial"/>
        </w:rPr>
        <w:t xml:space="preserve"> el 1% de la recaudación total del impuesto</w:t>
      </w:r>
      <w:r>
        <w:rPr>
          <w:rFonts w:cs="Arial"/>
        </w:rPr>
        <w:t xml:space="preserve"> (ídem)</w:t>
      </w:r>
      <w:r w:rsidRPr="003B2DC2">
        <w:rPr>
          <w:rFonts w:cs="Arial"/>
        </w:rPr>
        <w:t>.</w:t>
      </w:r>
    </w:p>
    <w:p w14:paraId="5CE94F90" w14:textId="56DC71EB" w:rsidR="00C07D67" w:rsidRPr="003B2DC2" w:rsidRDefault="00C07D67" w:rsidP="00C139E7">
      <w:pPr>
        <w:spacing w:line="240" w:lineRule="auto"/>
        <w:rPr>
          <w:rFonts w:cs="Arial"/>
        </w:rPr>
      </w:pPr>
      <w:r w:rsidRPr="003B2DC2">
        <w:rPr>
          <w:rFonts w:cs="Arial"/>
        </w:rPr>
        <w:t>Durante el Gobierno de Luis Guillermo Solís</w:t>
      </w:r>
      <w:r>
        <w:rPr>
          <w:rFonts w:cs="Arial"/>
        </w:rPr>
        <w:t xml:space="preserve"> Rivera</w:t>
      </w:r>
      <w:r w:rsidR="00D445FF">
        <w:rPr>
          <w:rFonts w:cs="Arial"/>
        </w:rPr>
        <w:t xml:space="preserve"> </w:t>
      </w:r>
      <w:r w:rsidR="007B7D6E">
        <w:rPr>
          <w:rFonts w:cs="Arial"/>
        </w:rPr>
        <w:t>(2014</w:t>
      </w:r>
      <w:r w:rsidR="00EC4A61">
        <w:rPr>
          <w:rFonts w:cs="Arial"/>
        </w:rPr>
        <w:t>-2018</w:t>
      </w:r>
      <w:r w:rsidR="00EC4A61" w:rsidRPr="004C395D">
        <w:rPr>
          <w:rFonts w:cs="Arial"/>
        </w:rPr>
        <w:t>)</w:t>
      </w:r>
      <w:r w:rsidRPr="003B2DC2">
        <w:rPr>
          <w:rFonts w:cs="Arial"/>
        </w:rPr>
        <w:t xml:space="preserve">, se planteó la reforma del IVA personalizado (IVA-P) en el año 2014, la cual establece un sistema de devoluciones a los primeros cuatro deciles, dependiendo de su ubicación </w:t>
      </w:r>
      <w:r w:rsidR="00B61EAE">
        <w:rPr>
          <w:rFonts w:cs="Arial"/>
        </w:rPr>
        <w:t xml:space="preserve">recibirían </w:t>
      </w:r>
      <w:r w:rsidRPr="003B2DC2">
        <w:rPr>
          <w:rFonts w:cs="Arial"/>
        </w:rPr>
        <w:t xml:space="preserve">una proporción mayor o menor de su gasto promedio de decil. </w:t>
      </w:r>
    </w:p>
    <w:p w14:paraId="36C0E2F6" w14:textId="5962297A" w:rsidR="00C07D67" w:rsidRPr="003B2DC2" w:rsidRDefault="00C07D67" w:rsidP="00C139E7">
      <w:pPr>
        <w:spacing w:line="240" w:lineRule="auto"/>
        <w:rPr>
          <w:rFonts w:cs="Arial"/>
        </w:rPr>
      </w:pPr>
      <w:r w:rsidRPr="003B2DC2">
        <w:rPr>
          <w:rFonts w:cs="Arial"/>
        </w:rPr>
        <w:t>El cambio en la alícuota se asemeja a la propuesta de la reforma de Ley de Solidaridad Tributaria, “las tarifas del Impuesto al Valor Agregado serán del 14% para el primer año de vigencia y un 15% para el segundo.</w:t>
      </w:r>
      <w:r>
        <w:rPr>
          <w:rFonts w:cs="Arial"/>
        </w:rPr>
        <w:t xml:space="preserve">” </w:t>
      </w:r>
      <w:r>
        <w:rPr>
          <w:rFonts w:cs="Arial"/>
          <w:noProof/>
        </w:rPr>
        <w:fldChar w:fldCharType="begin" w:fldLock="1"/>
      </w:r>
      <w:r w:rsidR="00475856">
        <w:rPr>
          <w:rFonts w:cs="Arial"/>
          <w:noProof/>
        </w:rPr>
        <w:instrText>ADDIN CSL_CITATION {"citationItems":[{"id":"ITEM-1","itemData":{"id":"ITEM-1","issue":"19.678","issued":{"date-parts":[["2015"]]},"number":"19.678","publisher":"La Gaceta diario oficial de Costa","publisher-place":"San José","title":"Proyecto de Ley del Impuesto sobre el Valor Agregado","type":"legislation"},"uris":["http://www.mendeley.com/documents/?uuid=4fdaed38-9b94-498e-8476-2ff53b683298"]}],"mendeley":{"formattedCitation":"(Proyecto de Ley del Impuesto sobre el Valor Agregado, 2015)","plainTextFormattedCitation":"(Proyecto de Ley del Impuesto sobre el Valor Agregado, 2015)","previouslyFormattedCitation":"(Proyecto de Ley del Impuesto sobre el Valor Agregado, 2015)"},"properties":{"noteIndex":0},"schema":"https://github.com/citation-style-language/schema/raw/master/csl-citation.json"}</w:instrText>
      </w:r>
      <w:r>
        <w:rPr>
          <w:rFonts w:cs="Arial"/>
          <w:noProof/>
        </w:rPr>
        <w:fldChar w:fldCharType="separate"/>
      </w:r>
      <w:r w:rsidRPr="0087191D">
        <w:rPr>
          <w:rFonts w:cs="Arial"/>
          <w:noProof/>
        </w:rPr>
        <w:t>(Proyecto de Ley del Impuesto sobre el Valor Agregado, 2015)</w:t>
      </w:r>
      <w:r>
        <w:rPr>
          <w:rFonts w:cs="Arial"/>
          <w:noProof/>
        </w:rPr>
        <w:fldChar w:fldCharType="end"/>
      </w:r>
      <w:r w:rsidRPr="003B2DC2">
        <w:rPr>
          <w:rFonts w:cs="Arial"/>
        </w:rPr>
        <w:t>. El mantenimiento de una tasa uniforme se propuso bajo la premisa de que este tipo de distorsión suele beneficiar a las personas ubicados en los deciles más altos de la distribución de ingreso; es decir, a los de mayor ingreso.</w:t>
      </w:r>
    </w:p>
    <w:p w14:paraId="5E40BF71" w14:textId="6DA9F8F6" w:rsidR="00C07D67" w:rsidRPr="0087191D" w:rsidRDefault="00C07D67" w:rsidP="00C139E7">
      <w:pPr>
        <w:spacing w:line="240" w:lineRule="auto"/>
        <w:rPr>
          <w:rFonts w:cs="Arial"/>
        </w:rPr>
      </w:pPr>
      <w:r w:rsidRPr="0087191D">
        <w:rPr>
          <w:rFonts w:cs="Arial"/>
        </w:rPr>
        <w:lastRenderedPageBreak/>
        <w:t xml:space="preserve">Entre los bienes y servicios exonerados destacados </w:t>
      </w:r>
      <w:r w:rsidR="004C395D">
        <w:rPr>
          <w:rFonts w:cs="Arial"/>
        </w:rPr>
        <w:t xml:space="preserve">en </w:t>
      </w:r>
      <w:r w:rsidR="00B8284C">
        <w:rPr>
          <w:rFonts w:cs="Arial"/>
        </w:rPr>
        <w:t>ese proyecto</w:t>
      </w:r>
      <w:r w:rsidR="00896E1A">
        <w:rPr>
          <w:rFonts w:cs="Arial"/>
        </w:rPr>
        <w:t>,</w:t>
      </w:r>
      <w:r w:rsidR="00B8284C">
        <w:rPr>
          <w:rFonts w:cs="Arial"/>
        </w:rPr>
        <w:t xml:space="preserve"> </w:t>
      </w:r>
      <w:r w:rsidRPr="0087191D">
        <w:rPr>
          <w:rFonts w:cs="Arial"/>
        </w:rPr>
        <w:t>se enc</w:t>
      </w:r>
      <w:r w:rsidR="0013355C">
        <w:rPr>
          <w:rFonts w:cs="Arial"/>
        </w:rPr>
        <w:t xml:space="preserve">ontraban </w:t>
      </w:r>
      <w:r w:rsidRPr="0087191D">
        <w:rPr>
          <w:rFonts w:cs="Arial"/>
        </w:rPr>
        <w:t>el</w:t>
      </w:r>
      <w:r w:rsidR="00896E1A">
        <w:rPr>
          <w:rFonts w:cs="Arial"/>
        </w:rPr>
        <w:t xml:space="preserve"> </w:t>
      </w:r>
      <w:r w:rsidRPr="0087191D">
        <w:rPr>
          <w:rFonts w:cs="Arial"/>
        </w:rPr>
        <w:t xml:space="preserve">de electricidad residencial, donde el consumo menor a 250 kw/h mensual es exonerado pero el exceso de este es pagado en su totalidad. Para el agua residencial se </w:t>
      </w:r>
      <w:r w:rsidR="002F232E" w:rsidRPr="0087191D">
        <w:rPr>
          <w:rFonts w:cs="Arial"/>
        </w:rPr>
        <w:t>aplic</w:t>
      </w:r>
      <w:r w:rsidR="002F232E">
        <w:rPr>
          <w:rFonts w:cs="Arial"/>
        </w:rPr>
        <w:t>ó</w:t>
      </w:r>
      <w:r w:rsidRPr="0087191D">
        <w:rPr>
          <w:rFonts w:cs="Arial"/>
        </w:rPr>
        <w:t xml:space="preserve"> el mismo criterio, solo que el l</w:t>
      </w:r>
      <w:r w:rsidR="001757A2">
        <w:rPr>
          <w:rFonts w:cs="Arial"/>
        </w:rPr>
        <w:t>í</w:t>
      </w:r>
      <w:r w:rsidRPr="0087191D">
        <w:rPr>
          <w:rFonts w:cs="Arial"/>
        </w:rPr>
        <w:t>mite corresponde a 30 metros cúbicos mensuales y el agua envasada se encuentra gravada en su totalidad. Además, la educación privada, equipos ortopédicos, productos agropecuarios y agrícolas también se encuentran en la condición de exonerados (ídem)</w:t>
      </w:r>
    </w:p>
    <w:p w14:paraId="3497214E" w14:textId="3699984C" w:rsidR="00C07D67" w:rsidRPr="0087191D" w:rsidRDefault="00C07D67" w:rsidP="00C139E7">
      <w:pPr>
        <w:spacing w:line="240" w:lineRule="auto"/>
        <w:rPr>
          <w:rFonts w:cs="Arial"/>
        </w:rPr>
      </w:pPr>
      <w:r w:rsidRPr="0087191D">
        <w:rPr>
          <w:rFonts w:cs="Arial"/>
        </w:rPr>
        <w:t>A pesar de los esfuerzos por mantener una tasa uniforme, es decir, igualitaria para todos los bienes y servicios de la economía, el proyecto de Ley de la reforma del IVA-P incluy</w:t>
      </w:r>
      <w:r w:rsidR="004146BD">
        <w:rPr>
          <w:rFonts w:cs="Arial"/>
        </w:rPr>
        <w:t>ó</w:t>
      </w:r>
      <w:r w:rsidRPr="0087191D">
        <w:rPr>
          <w:rFonts w:cs="Arial"/>
        </w:rPr>
        <w:t xml:space="preserve"> una serie de artículos con tarifa diferenciada, </w:t>
      </w:r>
      <w:r>
        <w:rPr>
          <w:rFonts w:cs="Arial"/>
        </w:rPr>
        <w:t>como en este caso, una</w:t>
      </w:r>
      <w:r w:rsidRPr="0087191D">
        <w:rPr>
          <w:rFonts w:cs="Arial"/>
        </w:rPr>
        <w:t xml:space="preserve"> reducida. Los artículos gravados con tasa reducida del 5% son:  los libros, los servicios de producción agrícola y </w:t>
      </w:r>
      <w:r>
        <w:rPr>
          <w:rFonts w:cs="Arial"/>
        </w:rPr>
        <w:t>sus semejantes: agroindustrial</w:t>
      </w:r>
      <w:r w:rsidRPr="0087191D">
        <w:rPr>
          <w:rFonts w:cs="Arial"/>
        </w:rPr>
        <w:t xml:space="preserve">, acuicultura y pesca no deportiva, entre otros. </w:t>
      </w:r>
    </w:p>
    <w:p w14:paraId="127A324D" w14:textId="05A06981" w:rsidR="00C07D67" w:rsidRPr="003B2DC2" w:rsidRDefault="00C07D67" w:rsidP="00C139E7">
      <w:pPr>
        <w:spacing w:line="240" w:lineRule="auto"/>
        <w:rPr>
          <w:rFonts w:cs="Arial"/>
        </w:rPr>
      </w:pPr>
      <w:r w:rsidRPr="0087191D">
        <w:rPr>
          <w:rFonts w:cs="Arial"/>
        </w:rPr>
        <w:t>La innovación del proyecto reca</w:t>
      </w:r>
      <w:r w:rsidR="00A947C3">
        <w:rPr>
          <w:rFonts w:cs="Arial"/>
        </w:rPr>
        <w:t>ía</w:t>
      </w:r>
      <w:r w:rsidRPr="0087191D">
        <w:rPr>
          <w:rFonts w:cs="Arial"/>
        </w:rPr>
        <w:t xml:space="preserve"> en un sistema de devoluciones para la población en condición de pobreza, definidos como los primeros cuatros deciles de la distribución de ingreso, de acuerdo con la información de identificación del Instituto Nacional de Estadísticas y Censos (INEC).</w:t>
      </w:r>
      <w:r>
        <w:rPr>
          <w:rFonts w:cs="Arial"/>
        </w:rPr>
        <w:t xml:space="preserve"> </w:t>
      </w:r>
      <w:r>
        <w:rPr>
          <w:rFonts w:cs="Arial"/>
        </w:rPr>
        <w:fldChar w:fldCharType="begin" w:fldLock="1"/>
      </w:r>
      <w:r w:rsidR="00475856">
        <w:rPr>
          <w:rFonts w:cs="Arial"/>
        </w:rPr>
        <w:instrText>ADDIN CSL_CITATION {"citationItems":[{"id":"ITEM-1","itemData":{"id":"ITEM-1","issue":"19.678","issued":{"date-parts":[["2015"]]},"number":"19.678","publisher":"La Gaceta diario oficial de Costa","publisher-place":"San José","title":"Proyecto de Ley del Impuesto sobre el Valor Agregado","type":"legislation"},"uris":["http://www.mendeley.com/documents/?uuid=4fdaed38-9b94-498e-8476-2ff53b683298"]}],"mendeley":{"formattedCitation":"(Proyecto de Ley del Impuesto sobre el Valor Agregado, 2015)","plainTextFormattedCitation":"(Proyecto de Ley del Impuesto sobre el Valor Agregado, 2015)","previouslyFormattedCitation":"(Proyecto de Ley del Impuesto sobre el Valor Agregado, 2015)"},"properties":{"noteIndex":0},"schema":"https://github.com/citation-style-language/schema/raw/master/csl-citation.json"}</w:instrText>
      </w:r>
      <w:r>
        <w:rPr>
          <w:rFonts w:cs="Arial"/>
        </w:rPr>
        <w:fldChar w:fldCharType="separate"/>
      </w:r>
      <w:r w:rsidRPr="0087191D">
        <w:rPr>
          <w:rFonts w:cs="Arial"/>
          <w:noProof/>
        </w:rPr>
        <w:t>(Proyecto de Ley del Impuesto sobre el Valor Agregado, 2015)</w:t>
      </w:r>
      <w:r>
        <w:rPr>
          <w:rFonts w:cs="Arial"/>
        </w:rPr>
        <w:fldChar w:fldCharType="end"/>
      </w:r>
      <w:r w:rsidRPr="0087191D">
        <w:rPr>
          <w:rFonts w:cs="Arial"/>
        </w:rPr>
        <w:t>. Pero, solo se reali</w:t>
      </w:r>
      <w:r w:rsidR="00B37CB7">
        <w:rPr>
          <w:rFonts w:cs="Arial"/>
        </w:rPr>
        <w:t>zaría</w:t>
      </w:r>
      <w:r w:rsidRPr="0087191D">
        <w:rPr>
          <w:rFonts w:cs="Arial"/>
        </w:rPr>
        <w:t xml:space="preserve"> las debidas devoluciones a las personas que cumpl</w:t>
      </w:r>
      <w:r w:rsidR="00B529AF">
        <w:rPr>
          <w:rFonts w:cs="Arial"/>
        </w:rPr>
        <w:t>iera</w:t>
      </w:r>
      <w:r w:rsidRPr="0087191D">
        <w:rPr>
          <w:rFonts w:cs="Arial"/>
        </w:rPr>
        <w:t>n los criterios de selección del Instituto Mixto de Ayuda Social (IMAS), usando la información del Sistema Nacional de Información Social y Registro Único de Beneficiarios (SINIRUBE).</w:t>
      </w:r>
    </w:p>
    <w:p w14:paraId="14B2A2FC" w14:textId="6F60E8EE" w:rsidR="00C07D67" w:rsidRPr="0087191D" w:rsidRDefault="00504C92" w:rsidP="00C139E7">
      <w:pPr>
        <w:spacing w:line="240" w:lineRule="auto"/>
        <w:rPr>
          <w:rFonts w:cs="Arial"/>
        </w:rPr>
      </w:pPr>
      <w:r>
        <w:rPr>
          <w:rFonts w:cs="Arial"/>
        </w:rPr>
        <w:t>Además,</w:t>
      </w:r>
      <w:r w:rsidR="00C07D67" w:rsidRPr="0087191D">
        <w:rPr>
          <w:rFonts w:cs="Arial"/>
        </w:rPr>
        <w:t xml:space="preserve"> el criterio de </w:t>
      </w:r>
      <w:r w:rsidR="002E3B5F">
        <w:rPr>
          <w:rFonts w:cs="Arial"/>
        </w:rPr>
        <w:t>reint</w:t>
      </w:r>
      <w:r w:rsidR="005D77C1">
        <w:rPr>
          <w:rFonts w:cs="Arial"/>
        </w:rPr>
        <w:t>egro</w:t>
      </w:r>
      <w:r>
        <w:rPr>
          <w:rFonts w:cs="Arial"/>
        </w:rPr>
        <w:t xml:space="preserve"> </w:t>
      </w:r>
      <w:r w:rsidR="00C07D67" w:rsidRPr="0087191D">
        <w:rPr>
          <w:rFonts w:cs="Arial"/>
        </w:rPr>
        <w:t>consist</w:t>
      </w:r>
      <w:r w:rsidR="00F91C21">
        <w:rPr>
          <w:rFonts w:cs="Arial"/>
        </w:rPr>
        <w:t>ía</w:t>
      </w:r>
      <w:r w:rsidR="00C07D67" w:rsidRPr="0087191D">
        <w:rPr>
          <w:rFonts w:cs="Arial"/>
        </w:rPr>
        <w:t xml:space="preserve"> en devolver al decil uno y cuatro el promedio per cápita del IVA pagado por el segundo y tercer decil. Para el caso de los candidatos ubicados en el segundo y tercer decil se les devolverá el promedio per cápita del decil donde pertenezcan. Como ejemplo: si una persona pertenece al decil dos, va a recibir el promedio per cápita del gasto del decil dos y en el caso de que la persona pertenezca al decil cuatro, va a recibir un monto equivalente al promedio per cápita del gasto del segundo y tercer decil.</w:t>
      </w:r>
      <w:r w:rsidR="00C07D67">
        <w:rPr>
          <w:rFonts w:cs="Arial"/>
        </w:rPr>
        <w:t xml:space="preserve"> (ídem).</w:t>
      </w:r>
    </w:p>
    <w:p w14:paraId="7ACE1A81" w14:textId="5609AAFB" w:rsidR="00C07D67" w:rsidRDefault="00C07D67" w:rsidP="00C139E7">
      <w:pPr>
        <w:spacing w:line="240" w:lineRule="auto"/>
        <w:rPr>
          <w:rFonts w:cs="Arial"/>
        </w:rPr>
      </w:pPr>
      <w:r w:rsidRPr="0087191D">
        <w:rPr>
          <w:rFonts w:cs="Arial"/>
        </w:rPr>
        <w:t xml:space="preserve">Al hacer estas modificaciones al IVA, se </w:t>
      </w:r>
      <w:r w:rsidR="00DC15F4">
        <w:rPr>
          <w:rFonts w:cs="Arial"/>
        </w:rPr>
        <w:t>cambia</w:t>
      </w:r>
      <w:r w:rsidR="00E61D87">
        <w:rPr>
          <w:rFonts w:cs="Arial"/>
        </w:rPr>
        <w:t xml:space="preserve">ba </w:t>
      </w:r>
      <w:r w:rsidRPr="0087191D">
        <w:rPr>
          <w:rFonts w:cs="Arial"/>
        </w:rPr>
        <w:t xml:space="preserve">la connotación </w:t>
      </w:r>
      <w:r w:rsidR="00962724" w:rsidRPr="0087191D">
        <w:rPr>
          <w:rFonts w:cs="Arial"/>
        </w:rPr>
        <w:t>de este</w:t>
      </w:r>
      <w:r w:rsidRPr="0087191D">
        <w:rPr>
          <w:rFonts w:cs="Arial"/>
        </w:rPr>
        <w:t>, por tanto, se pasa</w:t>
      </w:r>
      <w:r w:rsidR="00F91C21">
        <w:rPr>
          <w:rFonts w:cs="Arial"/>
        </w:rPr>
        <w:t>ba</w:t>
      </w:r>
      <w:r w:rsidRPr="0087191D">
        <w:rPr>
          <w:rFonts w:cs="Arial"/>
        </w:rPr>
        <w:t xml:space="preserve"> a llamar Impuesto al Valor Agregado Personalizado (IVA-P). Es importante destacar la coordinación necesaria entre las instituciones involucradas en el Proyecto de Ley, en este caso:  Ministerio de Hacienda (MH), INEC e IMAS, de tal manera que la eficiencia de las devoluciones dependería de las capacidades individuales y grupales para identificar a los posibles candidatos a la devolución y los posibles montos de </w:t>
      </w:r>
      <w:r w:rsidR="00BE512E">
        <w:rPr>
          <w:rFonts w:cs="Arial"/>
        </w:rPr>
        <w:t>a reint</w:t>
      </w:r>
      <w:r w:rsidR="007326D7">
        <w:rPr>
          <w:rFonts w:cs="Arial"/>
        </w:rPr>
        <w:t>egrar.</w:t>
      </w:r>
    </w:p>
    <w:p w14:paraId="39F59104" w14:textId="04134E4A" w:rsidR="00C07D67" w:rsidRPr="003B2DC2" w:rsidRDefault="00C07D67" w:rsidP="00C139E7">
      <w:pPr>
        <w:spacing w:line="240" w:lineRule="auto"/>
        <w:rPr>
          <w:rFonts w:cs="Arial"/>
        </w:rPr>
      </w:pPr>
      <w:r>
        <w:rPr>
          <w:rFonts w:cs="Arial"/>
        </w:rPr>
        <w:t xml:space="preserve">El </w:t>
      </w:r>
      <w:r w:rsidR="00F94F32">
        <w:rPr>
          <w:rFonts w:cs="Arial"/>
        </w:rPr>
        <w:t>académico David Cardoza, de la E</w:t>
      </w:r>
      <w:r>
        <w:rPr>
          <w:rFonts w:cs="Arial"/>
        </w:rPr>
        <w:t>scuela de Economía de la Universidad Nacional, define las devoluciones como: “</w:t>
      </w:r>
      <w:r w:rsidRPr="00D67A27">
        <w:rPr>
          <w:rFonts w:cs="Arial"/>
        </w:rPr>
        <w:t>Las devoluciones es un mecanismo de compensación, dado que el impuesto por su naturaleza grava el consumo, se acepta como un mecanismo en mejora de la distribución. Es necesario si política fiscal no es un mecanismo de redistribución.</w:t>
      </w:r>
      <w:r>
        <w:rPr>
          <w:rFonts w:cs="Arial"/>
        </w:rPr>
        <w:t>” (D</w:t>
      </w:r>
      <w:r w:rsidRPr="003B2DC2">
        <w:rPr>
          <w:rFonts w:cs="Arial"/>
        </w:rPr>
        <w:t xml:space="preserve">. </w:t>
      </w:r>
      <w:r>
        <w:rPr>
          <w:rFonts w:cs="Arial"/>
        </w:rPr>
        <w:t>Cardoza, comunicación personal, 21</w:t>
      </w:r>
      <w:r w:rsidRPr="003B2DC2">
        <w:rPr>
          <w:rFonts w:cs="Arial"/>
        </w:rPr>
        <w:t xml:space="preserve"> de abril del 2017).</w:t>
      </w:r>
      <w:r>
        <w:rPr>
          <w:rFonts w:cs="Arial"/>
        </w:rPr>
        <w:t xml:space="preserve"> Siendo de esta manera, los objetivos de la reforma del IVA</w:t>
      </w:r>
      <w:r w:rsidR="007002A8">
        <w:rPr>
          <w:rFonts w:cs="Arial"/>
        </w:rPr>
        <w:t>-P</w:t>
      </w:r>
      <w:r>
        <w:rPr>
          <w:rFonts w:cs="Arial"/>
        </w:rPr>
        <w:t xml:space="preserve"> la recaudación y la </w:t>
      </w:r>
      <w:r w:rsidRPr="00D67A27">
        <w:rPr>
          <w:rFonts w:cs="Arial"/>
        </w:rPr>
        <w:t>redistribución</w:t>
      </w:r>
      <w:r>
        <w:rPr>
          <w:rFonts w:cs="Arial"/>
        </w:rPr>
        <w:t xml:space="preserve"> de los ingresos de la población.</w:t>
      </w:r>
    </w:p>
    <w:p w14:paraId="67DDB1F7" w14:textId="2A835B72" w:rsidR="00C07D67" w:rsidRPr="003B2DC2" w:rsidRDefault="00C07D67" w:rsidP="00C139E7">
      <w:pPr>
        <w:spacing w:line="240" w:lineRule="auto"/>
        <w:rPr>
          <w:rFonts w:cs="Arial"/>
        </w:rPr>
      </w:pPr>
      <w:r w:rsidRPr="003B2DC2">
        <w:rPr>
          <w:rFonts w:cs="Arial"/>
        </w:rPr>
        <w:t>En el contexto internacional las reformas del IVA, específicamente Latinoamérica, se d</w:t>
      </w:r>
      <w:r w:rsidR="004A2D11">
        <w:rPr>
          <w:rFonts w:cs="Arial"/>
        </w:rPr>
        <w:t>ieron</w:t>
      </w:r>
      <w:r w:rsidRPr="003B2DC2">
        <w:rPr>
          <w:rFonts w:cs="Arial"/>
        </w:rPr>
        <w:t xml:space="preserve"> como alternativa recaudatoria por la pérdida en el nivel de aranceles por importación, por tanto, “la pérdida recaudatoria que dicho fenómeno implicaba se </w:t>
      </w:r>
      <w:r w:rsidRPr="003B2DC2">
        <w:rPr>
          <w:rFonts w:cs="Arial"/>
        </w:rPr>
        <w:lastRenderedPageBreak/>
        <w:t>alentó a los países de la región a introducir el IVA como la alternativa más eficiente”.</w:t>
      </w:r>
      <w:r>
        <w:rPr>
          <w:rFonts w:cs="Arial"/>
        </w:rPr>
        <w:t xml:space="preserve"> </w:t>
      </w:r>
      <w:r>
        <w:rPr>
          <w:rFonts w:cs="Arial"/>
        </w:rPr>
        <w:fldChar w:fldCharType="begin" w:fldLock="1"/>
      </w:r>
      <w:r w:rsidR="00475856">
        <w:rPr>
          <w:rFonts w:cs="Arial"/>
        </w:rPr>
        <w:instrText>ADDIN CSL_CITATION {"citationItems":[{"id":"ITEM-1","itemData":{"author":[{"dropping-particle":"","family":"Morán","given":"Dalmiro","non-dropping-particle":"","parse-names":false,"suffix":""},{"dropping-particle":"","family":"Pecho","given":"Miguel","non-dropping-particle":"","parse-names":false,"suffix":""}],"container-title":"Documentos-Instituto de Estudios Fiscales","id":"ITEM-1","issue":"18","issued":{"date-parts":[["2016"]]},"page":"1-42","publisher":"Instituto de Estudios Fiscales","title":"La tributación en América Latina en los últimos cincuenta años","type":"article-journal"},"uris":["http://www.mendeley.com/documents/?uuid=924b655a-a237-4b1d-b2ca-eb582d64f613"]}],"mendeley":{"formattedCitation":"(Morán &amp; Pecho, 2016)","plainTextFormattedCitation":"(Morán &amp; Pecho, 2016)","previouslyFormattedCitation":"(Morán &amp; Pecho, 2016)"},"properties":{"noteIndex":0},"schema":"https://github.com/citation-style-language/schema/raw/master/csl-citation.json"}</w:instrText>
      </w:r>
      <w:r>
        <w:rPr>
          <w:rFonts w:cs="Arial"/>
        </w:rPr>
        <w:fldChar w:fldCharType="separate"/>
      </w:r>
      <w:r w:rsidRPr="0087191D">
        <w:rPr>
          <w:rFonts w:cs="Arial"/>
          <w:noProof/>
        </w:rPr>
        <w:t>(Morán &amp; Pecho, 2016)</w:t>
      </w:r>
      <w:r>
        <w:rPr>
          <w:rFonts w:cs="Arial"/>
        </w:rPr>
        <w:fldChar w:fldCharType="end"/>
      </w:r>
      <w:r>
        <w:rPr>
          <w:rFonts w:cs="Arial"/>
        </w:rPr>
        <w:t xml:space="preserve"> </w:t>
      </w:r>
    </w:p>
    <w:p w14:paraId="2B5D8E1E" w14:textId="3DB5DE23" w:rsidR="00C07D67" w:rsidRPr="003B2DC2" w:rsidRDefault="00C07D67" w:rsidP="00C139E7">
      <w:pPr>
        <w:spacing w:line="240" w:lineRule="auto"/>
        <w:rPr>
          <w:rFonts w:cs="Arial"/>
        </w:rPr>
      </w:pPr>
      <w:r w:rsidRPr="003B2DC2">
        <w:rPr>
          <w:rFonts w:cs="Arial"/>
        </w:rPr>
        <w:t>Además, se generaliz</w:t>
      </w:r>
      <w:r w:rsidR="00C72B57">
        <w:rPr>
          <w:rFonts w:cs="Arial"/>
        </w:rPr>
        <w:t>ó</w:t>
      </w:r>
      <w:r w:rsidRPr="003B2DC2">
        <w:rPr>
          <w:rFonts w:cs="Arial"/>
        </w:rPr>
        <w:t xml:space="preserve"> la base imponible, permitiendo de esta manera identificar un conjunto de bienes y servicios que serían gravados, facilitando la implementación del impuesto indirecto. En Costa Rica, los cambios en base se dieron por última vez en 2001, cuando se incluyeron ciertos artículos, como lo menciona </w:t>
      </w:r>
      <w:r>
        <w:rPr>
          <w:rFonts w:cs="Arial"/>
        </w:rPr>
        <w:fldChar w:fldCharType="begin" w:fldLock="1"/>
      </w:r>
      <w:r w:rsidR="00475856">
        <w:rPr>
          <w:rFonts w:cs="Arial"/>
        </w:rPr>
        <w:instrText>ADDIN CSL_CITATION {"citationItems":[{"id":"ITEM-1","itemData":{"author":[{"dropping-particle":"","family":"Cornick","given":"J","non-dropping-particle":"","parse-names":false,"suffix":""}],"chapter-number":"3","container-title":"Recaudar Para Crecer, Bases para la reforma tributaria en Centroamérica","id":"ITEM-1","issued":{"date-parts":[["2005"]]},"page":"75-116","publisher":"BID","publisher-place":"Washington D.C","title":"Costa Rica: política tributaria para el desarrollo humano","type":"chapter"},"uris":["http://www.mendeley.com/documents/?uuid=7b039755-12cd-4d7e-b6b6-ba1cb1fc8b62"]}],"mendeley":{"formattedCitation":"(Cornick, 2005)","manualFormatting":"Cornick (2005)","plainTextFormattedCitation":"(Cornick, 2005)","previouslyFormattedCitation":"(Cornick, 2005)"},"properties":{"noteIndex":0},"schema":"https://github.com/citation-style-language/schema/raw/master/csl-citation.json"}</w:instrText>
      </w:r>
      <w:r>
        <w:rPr>
          <w:rFonts w:cs="Arial"/>
        </w:rPr>
        <w:fldChar w:fldCharType="separate"/>
      </w:r>
      <w:r>
        <w:rPr>
          <w:rFonts w:cs="Arial"/>
          <w:noProof/>
        </w:rPr>
        <w:t>Cornick (</w:t>
      </w:r>
      <w:r w:rsidRPr="0087191D">
        <w:rPr>
          <w:rFonts w:cs="Arial"/>
          <w:noProof/>
        </w:rPr>
        <w:t>2005)</w:t>
      </w:r>
      <w:r>
        <w:rPr>
          <w:rFonts w:cs="Arial"/>
        </w:rPr>
        <w:fldChar w:fldCharType="end"/>
      </w:r>
      <w:r w:rsidRPr="003B2DC2">
        <w:rPr>
          <w:rFonts w:cs="Arial"/>
        </w:rPr>
        <w:t>: “En 2001 se produjo la última ampliación de la base mediante la inclusión de los servicios de radiolocalización, lavado de automóviles, litografía y la mayor parte de seguros”.</w:t>
      </w:r>
    </w:p>
    <w:p w14:paraId="10FF1ACC" w14:textId="03C07D37" w:rsidR="00C07D67" w:rsidRPr="003B2DC2" w:rsidRDefault="00C07D67" w:rsidP="00C139E7">
      <w:pPr>
        <w:spacing w:line="240" w:lineRule="auto"/>
        <w:rPr>
          <w:rFonts w:cs="Arial"/>
        </w:rPr>
      </w:pPr>
      <w:r w:rsidRPr="003B2DC2">
        <w:rPr>
          <w:rFonts w:cs="Arial"/>
        </w:rPr>
        <w:t>Los aumentos paulatinos en la alícuota del IVA se dier</w:t>
      </w:r>
      <w:r>
        <w:rPr>
          <w:rFonts w:cs="Arial"/>
        </w:rPr>
        <w:t>on en casi todos los países de América L</w:t>
      </w:r>
      <w:r w:rsidRPr="003B2DC2">
        <w:rPr>
          <w:rFonts w:cs="Arial"/>
        </w:rPr>
        <w:t>atina, en el caso de Costa Rica, como se ha mencionado, no ha sido así.  Esto es observable al comparar la evolución de la tasa del impuesto con los demás países latinoamericanos, donde el promedio de alícuota es de 15,2% para el año 2015, es destacable que para el año 2005 el promedio fue 15%, mostrando que no han existo cambios significativos. Es importante señalar algunos casos donde se han dado cambios significativos, como en el caso de Nicaragua que pas</w:t>
      </w:r>
      <w:r w:rsidR="00553026">
        <w:rPr>
          <w:rFonts w:cs="Arial"/>
        </w:rPr>
        <w:t>ó</w:t>
      </w:r>
      <w:r w:rsidRPr="003B2DC2">
        <w:rPr>
          <w:rFonts w:cs="Arial"/>
        </w:rPr>
        <w:t xml:space="preserve"> de</w:t>
      </w:r>
      <w:r w:rsidR="00880787">
        <w:rPr>
          <w:rFonts w:cs="Arial"/>
        </w:rPr>
        <w:t xml:space="preserve"> la</w:t>
      </w:r>
      <w:r w:rsidRPr="003B2DC2">
        <w:rPr>
          <w:rFonts w:cs="Arial"/>
        </w:rPr>
        <w:t xml:space="preserve"> tasa del 10% al 15%</w:t>
      </w:r>
      <w:r w:rsidR="003C446F">
        <w:rPr>
          <w:rFonts w:cs="Arial"/>
        </w:rPr>
        <w:t xml:space="preserve"> en el 2003</w:t>
      </w:r>
      <w:r w:rsidRPr="003B2DC2">
        <w:rPr>
          <w:rFonts w:cs="Arial"/>
        </w:rPr>
        <w:t xml:space="preserve">. Otro caso relevante es el de Panamá, que aplica la tasa más baja de la región con un 7%.  </w:t>
      </w:r>
      <w:r>
        <w:rPr>
          <w:rFonts w:cs="Arial"/>
        </w:rPr>
        <w:fldChar w:fldCharType="begin" w:fldLock="1"/>
      </w:r>
      <w:r w:rsidR="00475856">
        <w:rPr>
          <w:rFonts w:cs="Arial"/>
        </w:rPr>
        <w:instrText>ADDIN CSL_CITATION {"citationItems":[{"id":"ITEM-1","itemData":{"author":[{"dropping-particle":"","family":"Morán","given":"Dalmiro","non-dropping-particle":"","parse-names":false,"suffix":""},{"dropping-particle":"","family":"Pecho","given":"Miguel","non-dropping-particle":"","parse-names":false,"suffix":""}],"container-title":"Documentos-Instituto de Estudios Fiscales","id":"ITEM-1","issue":"18","issued":{"date-parts":[["2016"]]},"page":"1-42","publisher":"Instituto de Estudios Fiscales","title":"La tributación en América Latina en los últimos cincuenta años","type":"article-journal"},"uris":["http://www.mendeley.com/documents/?uuid=924b655a-a237-4b1d-b2ca-eb582d64f613"]}],"mendeley":{"formattedCitation":"(Morán &amp; Pecho, 2016)","plainTextFormattedCitation":"(Morán &amp; Pecho, 2016)","previouslyFormattedCitation":"(Morán &amp; Pecho, 2016)"},"properties":{"noteIndex":0},"schema":"https://github.com/citation-style-language/schema/raw/master/csl-citation.json"}</w:instrText>
      </w:r>
      <w:r>
        <w:rPr>
          <w:rFonts w:cs="Arial"/>
        </w:rPr>
        <w:fldChar w:fldCharType="separate"/>
      </w:r>
      <w:r w:rsidRPr="0087191D">
        <w:rPr>
          <w:rFonts w:cs="Arial"/>
          <w:noProof/>
        </w:rPr>
        <w:t>(Morán &amp; Pecho, 2016)</w:t>
      </w:r>
      <w:r>
        <w:rPr>
          <w:rFonts w:cs="Arial"/>
        </w:rPr>
        <w:fldChar w:fldCharType="end"/>
      </w:r>
      <w:r w:rsidRPr="003B2DC2">
        <w:rPr>
          <w:rFonts w:cs="Arial"/>
        </w:rPr>
        <w:t>.</w:t>
      </w:r>
    </w:p>
    <w:p w14:paraId="7A4EEA65" w14:textId="3998CD88" w:rsidR="00C07D67" w:rsidRPr="003B2DC2" w:rsidRDefault="00C07D67" w:rsidP="00C139E7">
      <w:pPr>
        <w:spacing w:line="240" w:lineRule="auto"/>
        <w:rPr>
          <w:rFonts w:cs="Arial"/>
        </w:rPr>
      </w:pPr>
      <w:r w:rsidRPr="003B2DC2">
        <w:rPr>
          <w:rFonts w:cs="Arial"/>
        </w:rPr>
        <w:t>La percepción general de una reforma del IVA suele verse de manera negativa, para Greivin Hernández</w:t>
      </w:r>
      <w:r>
        <w:rPr>
          <w:rFonts w:cs="Arial"/>
        </w:rPr>
        <w:t xml:space="preserve">, </w:t>
      </w:r>
      <w:r w:rsidR="00BE1D58">
        <w:rPr>
          <w:rFonts w:cs="Arial"/>
        </w:rPr>
        <w:t>ex</w:t>
      </w:r>
      <w:r>
        <w:rPr>
          <w:rFonts w:cs="Arial"/>
        </w:rPr>
        <w:t>subdirector de la Escuela Economía</w:t>
      </w:r>
      <w:r w:rsidR="00F94F32">
        <w:rPr>
          <w:rFonts w:cs="Arial"/>
        </w:rPr>
        <w:t xml:space="preserve"> de la Universidad Nacional</w:t>
      </w:r>
      <w:r>
        <w:rPr>
          <w:rFonts w:cs="Arial"/>
        </w:rPr>
        <w:t>,</w:t>
      </w:r>
      <w:r w:rsidRPr="003B2DC2">
        <w:rPr>
          <w:rFonts w:cs="Arial"/>
        </w:rPr>
        <w:t xml:space="preserve"> “Siempre se tiene la preocupación que cuando se modifique el impuesto del IVA, se afecte a la población más pobre”, por tanto, la discusión sobre aumentos de bases y alícuota se distorsiona, ya que el objetivo del impuesto es recaudar, y el de gasto mejorar la progresividad del sistema”. (G. Hernández, comunicación personal, 19 de abril del 2017). Es aquí donde entra la discusión sobre si es necesario cambiar la naturaleza del impuesto indirecto.</w:t>
      </w:r>
    </w:p>
    <w:p w14:paraId="004B2C77" w14:textId="5361ABF0" w:rsidR="00C07D67" w:rsidRPr="0087191D" w:rsidRDefault="00C07D67" w:rsidP="00C139E7">
      <w:pPr>
        <w:spacing w:line="240" w:lineRule="auto"/>
        <w:rPr>
          <w:rFonts w:cs="Arial"/>
        </w:rPr>
      </w:pPr>
      <w:r w:rsidRPr="0087191D">
        <w:rPr>
          <w:rFonts w:cs="Arial"/>
        </w:rPr>
        <w:t xml:space="preserve">La dificultad de una posible reforma del IVA se da porque no existe consenso en la población sobre la necesidad de aumentar el nivel de ingreso del gobierno. El tema de la progresividad o regresividad del impuesto es una discusión que genera alteraciones políticas, </w:t>
      </w:r>
      <w:r w:rsidR="00DB07B1">
        <w:rPr>
          <w:rFonts w:cs="Arial"/>
        </w:rPr>
        <w:t xml:space="preserve">aunque </w:t>
      </w:r>
      <w:r w:rsidRPr="0087191D">
        <w:rPr>
          <w:rFonts w:cs="Arial"/>
        </w:rPr>
        <w:t xml:space="preserve">es de conocimiento </w:t>
      </w:r>
      <w:r>
        <w:rPr>
          <w:rFonts w:cs="Arial"/>
        </w:rPr>
        <w:t>general</w:t>
      </w:r>
      <w:r w:rsidRPr="0087191D">
        <w:rPr>
          <w:rFonts w:cs="Arial"/>
        </w:rPr>
        <w:t xml:space="preserve"> la naturaleza de los impuestos en el país.</w:t>
      </w:r>
    </w:p>
    <w:p w14:paraId="0B868A37" w14:textId="78330696" w:rsidR="00C07D67" w:rsidRPr="003B2DC2" w:rsidRDefault="00C07D67" w:rsidP="00C139E7">
      <w:pPr>
        <w:spacing w:line="240" w:lineRule="auto"/>
        <w:rPr>
          <w:rFonts w:cs="Arial"/>
        </w:rPr>
      </w:pPr>
      <w:r w:rsidRPr="0087191D">
        <w:rPr>
          <w:rFonts w:cs="Arial"/>
        </w:rPr>
        <w:t>Para el análisis de la reforma del IVA, se propone un MEGC, este tipo de propuestas han existido desde inicios de los años ochenta en América Latina, como es el caso de la reforma del IVA en México, donde se analiza el impacto de la transformación del impuesto de</w:t>
      </w:r>
      <w:r w:rsidRPr="003B2DC2">
        <w:rPr>
          <w:rFonts w:cs="Arial"/>
        </w:rPr>
        <w:t xml:space="preserve"> ventas a un IVA. Se analizaron 35 bienes, donde las transacciones de estos bienes se tomaron de </w:t>
      </w:r>
      <w:r>
        <w:rPr>
          <w:rFonts w:cs="Arial"/>
        </w:rPr>
        <w:t>las matrices de insumo-producto</w:t>
      </w:r>
      <w:r w:rsidRPr="003B2DC2">
        <w:rPr>
          <w:rFonts w:cs="Arial"/>
        </w:rPr>
        <w:t>.</w:t>
      </w:r>
      <w:r w:rsidR="00F94F32">
        <w:rPr>
          <w:rFonts w:cs="Arial"/>
        </w:rPr>
        <w:t xml:space="preserve"> </w:t>
      </w:r>
      <w:r>
        <w:rPr>
          <w:rFonts w:cs="Arial"/>
        </w:rPr>
        <w:fldChar w:fldCharType="begin" w:fldLock="1"/>
      </w:r>
      <w:r w:rsidR="00475856">
        <w:rPr>
          <w:rFonts w:cs="Arial"/>
        </w:rPr>
        <w:instrText>ADDIN CSL_CITATION {"citationItems":[{"id":"ITEM-1","itemData":{"DOI":"10.1016/0047-2727(83)90054-3","ISSN":"00472727","author":[{"dropping-particle":"","family":"Kehoe","given":"Timothy J.","non-dropping-particle":"","parse-names":false,"suffix":""},{"dropping-particle":"","family":"Serra-Puche","given":"Jaime","non-dropping-particle":"","parse-names":false,"suffix":""}],"container-title":"Journal of Public Economics","id":"ITEM-1","issue":"1","issued":{"date-parts":[["1983","10"]]},"page":"1-26","title":"A computational general equilibrium model with endogenous unemployment: An analysis of the 1980 fiscal reform in Mexico","type":"article-journal","volume":"22"},"uris":["http://www.mendeley.com/documents/?uuid=6233668a-b225-4080-942c-37101c0258be"]}],"mendeley":{"formattedCitation":"(Kehoe &amp; Serra-Puche, 1983)","plainTextFormattedCitation":"(Kehoe &amp; Serra-Puche, 1983)","previouslyFormattedCitation":"(Kehoe &amp; Serra-Puche, 1983)"},"properties":{"noteIndex":0},"schema":"https://github.com/citation-style-language/schema/raw/master/csl-citation.json"}</w:instrText>
      </w:r>
      <w:r>
        <w:rPr>
          <w:rFonts w:cs="Arial"/>
        </w:rPr>
        <w:fldChar w:fldCharType="separate"/>
      </w:r>
      <w:r w:rsidRPr="0087191D">
        <w:rPr>
          <w:rFonts w:cs="Arial"/>
          <w:noProof/>
        </w:rPr>
        <w:t>(Kehoe &amp; Serra-Puche, 1983)</w:t>
      </w:r>
      <w:r>
        <w:rPr>
          <w:rFonts w:cs="Arial"/>
        </w:rPr>
        <w:fldChar w:fldCharType="end"/>
      </w:r>
      <w:r>
        <w:rPr>
          <w:rFonts w:cs="Arial"/>
        </w:rPr>
        <w:t>.</w:t>
      </w:r>
    </w:p>
    <w:p w14:paraId="65F58ACD" w14:textId="10399BDA" w:rsidR="00C07D67" w:rsidRPr="003B2DC2" w:rsidRDefault="00C07D67" w:rsidP="00C139E7">
      <w:pPr>
        <w:spacing w:line="240" w:lineRule="auto"/>
        <w:rPr>
          <w:rFonts w:cs="Arial"/>
        </w:rPr>
      </w:pPr>
      <w:r w:rsidRPr="003B2DC2">
        <w:rPr>
          <w:rFonts w:cs="Arial"/>
        </w:rPr>
        <w:t xml:space="preserve">En Colombia se realizó el análisis de los impuestos de una perspectiva de equilibrio general, </w:t>
      </w:r>
      <w:r>
        <w:rPr>
          <w:rFonts w:cs="Arial"/>
        </w:rPr>
        <w:t xml:space="preserve">mediante </w:t>
      </w:r>
      <w:r w:rsidRPr="003B2DC2">
        <w:rPr>
          <w:rFonts w:cs="Arial"/>
        </w:rPr>
        <w:t>un modelo para el análisis de incidencia impositiva, donde se utilizaron 21 sectores y cinco factores de producción entre ellos: dos tipos de capital y tres tipos de insumos laborales, además se utilizaron 20 tipos de hogares.</w:t>
      </w:r>
      <w:r w:rsidR="00F94F32">
        <w:rPr>
          <w:rFonts w:cs="Arial"/>
        </w:rPr>
        <w:t xml:space="preserve"> </w:t>
      </w:r>
      <w:r>
        <w:rPr>
          <w:rFonts w:cs="Arial"/>
        </w:rPr>
        <w:fldChar w:fldCharType="begin" w:fldLock="1"/>
      </w:r>
      <w:r w:rsidR="00475856">
        <w:rPr>
          <w:rFonts w:cs="Arial"/>
        </w:rPr>
        <w:instrText>ADDIN CSL_CITATION {"citationItems":[{"id":"ITEM-1","itemData":{"author":[{"dropping-particle":"","family":"Lora","given":"E","non-dropping-particle":"","parse-names":false,"suffix":""},{"dropping-particle":"","family":"Herrera","given":"A","non-dropping-particle":"","parse-names":false,"suffix":""}],"container-title":"Fedesarrollo","id":"ITEM-1","issued":{"date-parts":[["1994"]]},"title":"A tax incidence in Colombia: a general equilibrium analysis","type":"article-journal"},"uris":["http://www.mendeley.com/documents/?uuid=276a170c-31bc-478c-9611-7aa9ff9d62c1"]}],"mendeley":{"formattedCitation":"(Lora &amp; Herrera, 1994)","plainTextFormattedCitation":"(Lora &amp; Herrera, 1994)","previouslyFormattedCitation":"(Lora &amp; Herrera, 1994)"},"properties":{"noteIndex":0},"schema":"https://github.com/citation-style-language/schema/raw/master/csl-citation.json"}</w:instrText>
      </w:r>
      <w:r>
        <w:rPr>
          <w:rFonts w:cs="Arial"/>
        </w:rPr>
        <w:fldChar w:fldCharType="separate"/>
      </w:r>
      <w:r w:rsidRPr="004224BB">
        <w:rPr>
          <w:rFonts w:cs="Arial"/>
          <w:noProof/>
        </w:rPr>
        <w:t>(Lora &amp; Herrera, 1994)</w:t>
      </w:r>
      <w:r>
        <w:rPr>
          <w:rFonts w:cs="Arial"/>
        </w:rPr>
        <w:fldChar w:fldCharType="end"/>
      </w:r>
      <w:r>
        <w:rPr>
          <w:rFonts w:cs="Arial"/>
        </w:rPr>
        <w:t>.</w:t>
      </w:r>
    </w:p>
    <w:p w14:paraId="3E9737F7" w14:textId="13406818" w:rsidR="00C07D67" w:rsidRPr="003B2DC2" w:rsidRDefault="00C07D67" w:rsidP="00C139E7">
      <w:pPr>
        <w:spacing w:line="240" w:lineRule="auto"/>
        <w:rPr>
          <w:rFonts w:cs="Arial"/>
        </w:rPr>
      </w:pPr>
      <w:r w:rsidRPr="003B2DC2">
        <w:rPr>
          <w:rFonts w:cs="Arial"/>
        </w:rPr>
        <w:t>En el caso de los hogares se utiliza una función de utilidad del tipo Cobb Douglas, el sector externo es visto como una economía pequeña, es decir es tomadora de precios con una elastici</w:t>
      </w:r>
      <w:r>
        <w:rPr>
          <w:rFonts w:cs="Arial"/>
        </w:rPr>
        <w:t>dad de la oferta infinita.  El G</w:t>
      </w:r>
      <w:r w:rsidRPr="003B2DC2">
        <w:rPr>
          <w:rFonts w:cs="Arial"/>
        </w:rPr>
        <w:t>obierno recolecta</w:t>
      </w:r>
      <w:r w:rsidR="00184476">
        <w:rPr>
          <w:rFonts w:cs="Arial"/>
        </w:rPr>
        <w:t xml:space="preserve"> los</w:t>
      </w:r>
      <w:r w:rsidRPr="003B2DC2">
        <w:rPr>
          <w:rFonts w:cs="Arial"/>
        </w:rPr>
        <w:t xml:space="preserve"> impuestos directos e indirectos, donde el mismo realiza posteriormente transferencias a los hogares y al sector corporativo, donde se es</w:t>
      </w:r>
      <w:r>
        <w:rPr>
          <w:rFonts w:cs="Arial"/>
        </w:rPr>
        <w:t>pecifican en términos nominales (ídem)</w:t>
      </w:r>
      <w:r w:rsidRPr="00AC3122">
        <w:rPr>
          <w:rFonts w:cs="Arial"/>
        </w:rPr>
        <w:t>.</w:t>
      </w:r>
    </w:p>
    <w:p w14:paraId="32F61B23" w14:textId="0AC30FDA" w:rsidR="00C07D67" w:rsidRPr="003B2DC2" w:rsidRDefault="00C07D67" w:rsidP="00C139E7">
      <w:pPr>
        <w:spacing w:line="240" w:lineRule="auto"/>
        <w:rPr>
          <w:rFonts w:cs="Arial"/>
        </w:rPr>
      </w:pPr>
      <w:r w:rsidRPr="003B2DC2">
        <w:rPr>
          <w:rFonts w:cs="Arial"/>
        </w:rPr>
        <w:lastRenderedPageBreak/>
        <w:t>Los resultados del modelo</w:t>
      </w:r>
      <w:r w:rsidR="000114D5">
        <w:rPr>
          <w:rFonts w:cs="Arial"/>
        </w:rPr>
        <w:t xml:space="preserve"> </w:t>
      </w:r>
      <w:r w:rsidRPr="003B2DC2">
        <w:rPr>
          <w:rFonts w:cs="Arial"/>
        </w:rPr>
        <w:t>muestran que las variaciones en la especificación de distorsiones y rigideces determinan los resultados en incidencia, exceptuando el análisis de la incidencia en renta, donde se presentan resultados similares para las distintas formas específicas. Se establece que las rigideces que más afectan a los impuestos son: la movilidad de capitales, los salarios urbanos y en algunos casos la oferta de algunos sectores.</w:t>
      </w:r>
    </w:p>
    <w:p w14:paraId="784FBCB2" w14:textId="5798608F" w:rsidR="00C07D67" w:rsidRDefault="00C07D67" w:rsidP="00C139E7">
      <w:pPr>
        <w:spacing w:line="240" w:lineRule="auto"/>
        <w:rPr>
          <w:rFonts w:cs="Arial"/>
        </w:rPr>
      </w:pPr>
      <w:r w:rsidRPr="003B2DC2">
        <w:rPr>
          <w:rFonts w:cs="Arial"/>
        </w:rPr>
        <w:t>Para el caso</w:t>
      </w:r>
      <w:r>
        <w:rPr>
          <w:rFonts w:cs="Arial"/>
        </w:rPr>
        <w:t xml:space="preserve"> específico del IVA </w:t>
      </w:r>
      <w:r w:rsidRPr="003B2DC2">
        <w:rPr>
          <w:rFonts w:cs="Arial"/>
        </w:rPr>
        <w:t>se</w:t>
      </w:r>
      <w:r>
        <w:rPr>
          <w:rFonts w:cs="Arial"/>
        </w:rPr>
        <w:t xml:space="preserve"> </w:t>
      </w:r>
      <w:r w:rsidRPr="003B2DC2">
        <w:rPr>
          <w:rFonts w:cs="Arial"/>
        </w:rPr>
        <w:t xml:space="preserve">resume, “El IVA tiene una incidencia negativa sobre los grupos urbanos y puede incluso beneficiar a los grupos rurales si la economía está relativamente libre de distorsiones”. De tal forma el modelo muestra que las distorsiones que están presentes en la </w:t>
      </w:r>
      <w:r w:rsidR="008B6213" w:rsidRPr="003B2DC2">
        <w:rPr>
          <w:rFonts w:cs="Arial"/>
        </w:rPr>
        <w:t>economía</w:t>
      </w:r>
      <w:r w:rsidRPr="003B2DC2">
        <w:rPr>
          <w:rFonts w:cs="Arial"/>
        </w:rPr>
        <w:t xml:space="preserve"> no permiten el desarrollo óptimo para modificar la naturaleza del impuesto, llegando a contribuir al sector más vulnerable, en este caso los hogares rurales.</w:t>
      </w:r>
      <w:r w:rsidRPr="00E56A1D">
        <w:rPr>
          <w:rFonts w:cs="Arial"/>
        </w:rPr>
        <w:t xml:space="preserve"> </w:t>
      </w:r>
      <w:r>
        <w:rPr>
          <w:rFonts w:cs="Arial"/>
        </w:rPr>
        <w:fldChar w:fldCharType="begin" w:fldLock="1"/>
      </w:r>
      <w:r w:rsidR="00475856">
        <w:rPr>
          <w:rFonts w:cs="Arial"/>
        </w:rPr>
        <w:instrText>ADDIN CSL_CITATION {"citationItems":[{"id":"ITEM-1","itemData":{"author":[{"dropping-particle":"","family":"Lora","given":"E","non-dropping-particle":"","parse-names":false,"suffix":""}],"container-title":"El Trimestre Económico","id":"ITEM-1","issued":{"date-parts":[["1995"]]},"page":"21-78","publisher":"JSTOR","title":"Los modelos de equilibrio general computable en análisis de incidencia fiscal","type":"article-journal"},"uris":["http://www.mendeley.com/documents/?uuid=c2424cd3-924f-4a16-bbe9-f48837230f28"]}],"mendeley":{"formattedCitation":"(Lora, 1995)","plainTextFormattedCitation":"(Lora, 1995)","previouslyFormattedCitation":"(Lora, 1995)"},"properties":{"noteIndex":0},"schema":"https://github.com/citation-style-language/schema/raw/master/csl-citation.json"}</w:instrText>
      </w:r>
      <w:r>
        <w:rPr>
          <w:rFonts w:cs="Arial"/>
        </w:rPr>
        <w:fldChar w:fldCharType="separate"/>
      </w:r>
      <w:r w:rsidRPr="004224BB">
        <w:rPr>
          <w:rFonts w:cs="Arial"/>
          <w:noProof/>
        </w:rPr>
        <w:t>(Lora, 1995)</w:t>
      </w:r>
      <w:r>
        <w:rPr>
          <w:rFonts w:cs="Arial"/>
        </w:rPr>
        <w:fldChar w:fldCharType="end"/>
      </w:r>
      <w:r>
        <w:rPr>
          <w:rFonts w:cs="Arial"/>
        </w:rPr>
        <w:t>.</w:t>
      </w:r>
    </w:p>
    <w:p w14:paraId="76327B0C" w14:textId="594C8479" w:rsidR="00C07D67" w:rsidRPr="003B2DC2" w:rsidRDefault="00C07D67" w:rsidP="00C139E7">
      <w:pPr>
        <w:spacing w:line="240" w:lineRule="auto"/>
        <w:rPr>
          <w:rFonts w:cs="Arial"/>
        </w:rPr>
      </w:pPr>
      <w:r w:rsidRPr="003B2DC2">
        <w:rPr>
          <w:rFonts w:cs="Arial"/>
        </w:rPr>
        <w:t>Posteriormente, en Colombia se realizó otro MEGC para análisis de incidencia de los impuestos, llamado “MEGATAX”. El consumo final de los hogares viene representado por una función de utilidad Cobb Douglas, el sector gobierno recibe ingresos de tres fuentes: del IVA, el impuesto a la dotación de capital y el de la dotación de trabajo.</w:t>
      </w:r>
      <w:r>
        <w:rPr>
          <w:rFonts w:cs="Arial"/>
        </w:rPr>
        <w:t xml:space="preserve"> </w:t>
      </w:r>
      <w:r>
        <w:rPr>
          <w:rFonts w:cs="Arial"/>
        </w:rPr>
        <w:fldChar w:fldCharType="begin" w:fldLock="1"/>
      </w:r>
      <w:r w:rsidR="00475856">
        <w:rPr>
          <w:rFonts w:cs="Arial"/>
        </w:rPr>
        <w:instrText>ADDIN CSL_CITATION {"citationItems":[{"id":"ITEM-1","itemData":{"abstract":"The paper documents a dynamic general equilibrium model for Colombia based on national accounts from 1999. The paper is part of a project intended to develop a capacity for the the design, specification, and application of computable models within the Colombian Ministry of Finance and Department of National Planning. Our analytical framework includes both forwardlooking expectations and Harris-Todaro labor markets. In the present paper we compare numerical results from the dynamic model with simpler static and\\nsteady-state formulations to highlight the importance of transitional effects in evaluating tax policy reform. Our applications include measurement of the marginal cost of funds from different tax bases and the evaluation of discrete changes in tariff structure. The structure of the labor and intermediate credit markets have important implications for the ranking alternative tax reform\\nproposals.","author":[{"dropping-particle":"","family":"Rutherford","given":"Thomas","non-dropping-particle":"","parse-names":false,"suffix":""},{"dropping-particle":"","family":"Light","given":"Miles","non-dropping-particle":"","parse-names":false,"suffix":""}],"container-title":"MPRA Paper","id":"ITEM-1","issued":{"date-parts":[["2002"]]},"title":"A General Equilibrium Model for Tax Policy Analysis in Colombia: The MEGATAX model","type":"article-journal"},"uris":["http://www.mendeley.com/documents/?uuid=e4efeb3e-5d3e-4673-9574-4c7707e88633"]}],"mendeley":{"formattedCitation":"(Rutherford &amp; Light, 2002)","plainTextFormattedCitation":"(Rutherford &amp; Light, 2002)","previouslyFormattedCitation":"(Rutherford &amp; Light, 2002)"},"properties":{"noteIndex":0},"schema":"https://github.com/citation-style-language/schema/raw/master/csl-citation.json"}</w:instrText>
      </w:r>
      <w:r>
        <w:rPr>
          <w:rFonts w:cs="Arial"/>
        </w:rPr>
        <w:fldChar w:fldCharType="separate"/>
      </w:r>
      <w:r w:rsidRPr="004224BB">
        <w:rPr>
          <w:rFonts w:cs="Arial"/>
          <w:noProof/>
        </w:rPr>
        <w:t>(Rutherford &amp; Light, 2002)</w:t>
      </w:r>
      <w:r>
        <w:rPr>
          <w:rFonts w:cs="Arial"/>
        </w:rPr>
        <w:fldChar w:fldCharType="end"/>
      </w:r>
      <w:r>
        <w:rPr>
          <w:rFonts w:cs="Arial"/>
        </w:rPr>
        <w:t>.</w:t>
      </w:r>
    </w:p>
    <w:p w14:paraId="7922364C" w14:textId="10B23B8A" w:rsidR="00C07D67" w:rsidRPr="003B2DC2" w:rsidRDefault="00C07D67" w:rsidP="00C139E7">
      <w:pPr>
        <w:spacing w:line="240" w:lineRule="auto"/>
        <w:rPr>
          <w:rFonts w:cs="Arial"/>
        </w:rPr>
      </w:pPr>
      <w:r w:rsidRPr="003B2DC2">
        <w:rPr>
          <w:rFonts w:cs="Arial"/>
        </w:rPr>
        <w:t xml:space="preserve">Los resultados parecen indicar las mismas señales que el modelo de </w:t>
      </w:r>
      <w:r>
        <w:rPr>
          <w:rFonts w:cs="Arial"/>
        </w:rPr>
        <w:fldChar w:fldCharType="begin" w:fldLock="1"/>
      </w:r>
      <w:r w:rsidR="00475856">
        <w:rPr>
          <w:rFonts w:cs="Arial"/>
        </w:rPr>
        <w:instrText>ADDIN CSL_CITATION {"citationItems":[{"id":"ITEM-1","itemData":{"author":[{"dropping-particle":"","family":"Lora","given":"E","non-dropping-particle":"","parse-names":false,"suffix":""},{"dropping-particle":"","family":"Herrera","given":"A","non-dropping-particle":"","parse-names":false,"suffix":""}],"container-title":"Fedesarrollo","id":"ITEM-1","issued":{"date-parts":[["1994"]]},"title":"A tax incidence in Colombia: a general equilibrium analysis","type":"article-journal"},"uris":["http://www.mendeley.com/documents/?uuid=276a170c-31bc-478c-9611-7aa9ff9d62c1"]}],"mendeley":{"formattedCitation":"(Lora &amp; Herrera, 1994)","manualFormatting":"Lora &amp; Herrera (1994)","plainTextFormattedCitation":"(Lora &amp; Herrera, 1994)","previouslyFormattedCitation":"(Lora &amp; Herrera, 1994)"},"properties":{"noteIndex":0},"schema":"https://github.com/citation-style-language/schema/raw/master/csl-citation.json"}</w:instrText>
      </w:r>
      <w:r>
        <w:rPr>
          <w:rFonts w:cs="Arial"/>
        </w:rPr>
        <w:fldChar w:fldCharType="separate"/>
      </w:r>
      <w:r>
        <w:rPr>
          <w:rFonts w:cs="Arial"/>
          <w:noProof/>
        </w:rPr>
        <w:t>Lora &amp; Herrera</w:t>
      </w:r>
      <w:r w:rsidRPr="004224BB">
        <w:rPr>
          <w:rFonts w:cs="Arial"/>
          <w:noProof/>
        </w:rPr>
        <w:t xml:space="preserve"> </w:t>
      </w:r>
      <w:r>
        <w:rPr>
          <w:rFonts w:cs="Arial"/>
          <w:noProof/>
        </w:rPr>
        <w:t>(</w:t>
      </w:r>
      <w:r w:rsidRPr="004224BB">
        <w:rPr>
          <w:rFonts w:cs="Arial"/>
          <w:noProof/>
        </w:rPr>
        <w:t>1994)</w:t>
      </w:r>
      <w:r>
        <w:rPr>
          <w:rFonts w:cs="Arial"/>
        </w:rPr>
        <w:fldChar w:fldCharType="end"/>
      </w:r>
      <w:r>
        <w:rPr>
          <w:rFonts w:cs="Arial"/>
        </w:rPr>
        <w:t xml:space="preserve">. </w:t>
      </w:r>
      <w:r w:rsidRPr="003B2DC2">
        <w:rPr>
          <w:rFonts w:cs="Arial"/>
        </w:rPr>
        <w:t>En el largo plazo el modelo no se ve distorsionado por la rigidez de los precios, por tanto, las demandas de los bienes son más elásticas, dificultando la eficiencia del impuesto. En el caso del impuesto al salario, sus aumentos son menos costosos</w:t>
      </w:r>
      <w:r w:rsidR="00EE3508">
        <w:rPr>
          <w:rFonts w:cs="Arial"/>
        </w:rPr>
        <w:t xml:space="preserve"> en términos de distribución</w:t>
      </w:r>
      <w:r w:rsidRPr="003B2DC2">
        <w:rPr>
          <w:rFonts w:cs="Arial"/>
        </w:rPr>
        <w:t xml:space="preserve">. </w:t>
      </w:r>
    </w:p>
    <w:p w14:paraId="35892785" w14:textId="48B7C058" w:rsidR="00C07D67" w:rsidRPr="003B2DC2" w:rsidRDefault="00C07D67" w:rsidP="00C139E7">
      <w:pPr>
        <w:spacing w:line="240" w:lineRule="auto"/>
        <w:rPr>
          <w:rFonts w:cs="Arial"/>
        </w:rPr>
      </w:pPr>
      <w:r>
        <w:rPr>
          <w:rFonts w:cs="Arial"/>
        </w:rPr>
        <w:t>En A</w:t>
      </w:r>
      <w:r w:rsidRPr="003B2DC2">
        <w:rPr>
          <w:rFonts w:cs="Arial"/>
        </w:rPr>
        <w:t>rgentina, se realizó un MEGC, donde tiene una cuenta de gobierno bastante detallada, en donde al IVA se le realizó una separación entre los bienes de consumo de bienes domésticos y el consumo de importaciones para poder realizar el análisis sectorial; además, cuenta con el detalle del número de exenciones del IVA y los regímenes especiale</w:t>
      </w:r>
      <w:r>
        <w:rPr>
          <w:rFonts w:cs="Arial"/>
        </w:rPr>
        <w:t>s.  La función de utilidad del G</w:t>
      </w:r>
      <w:r w:rsidRPr="003B2DC2">
        <w:rPr>
          <w:rFonts w:cs="Arial"/>
        </w:rPr>
        <w:t xml:space="preserve">obierno es del tipo Cobb-Douglas, </w:t>
      </w:r>
      <w:r w:rsidR="00F26A37">
        <w:rPr>
          <w:rFonts w:cs="Arial"/>
        </w:rPr>
        <w:t xml:space="preserve">o </w:t>
      </w:r>
      <w:r w:rsidR="007D4B0E">
        <w:rPr>
          <w:rFonts w:cs="Arial"/>
        </w:rPr>
        <w:t>donde la inversión</w:t>
      </w:r>
      <w:r w:rsidR="006F204F">
        <w:rPr>
          <w:rFonts w:cs="Arial"/>
        </w:rPr>
        <w:t xml:space="preserve"> pública</w:t>
      </w:r>
      <w:r w:rsidR="007D4B0E">
        <w:rPr>
          <w:rFonts w:cs="Arial"/>
        </w:rPr>
        <w:t xml:space="preserve"> es una</w:t>
      </w:r>
      <w:r w:rsidRPr="003B2DC2">
        <w:rPr>
          <w:rFonts w:cs="Arial"/>
        </w:rPr>
        <w:t xml:space="preserve"> </w:t>
      </w:r>
      <w:r w:rsidR="006F204F" w:rsidRPr="003B2DC2">
        <w:rPr>
          <w:rFonts w:cs="Arial"/>
        </w:rPr>
        <w:t>proporción</w:t>
      </w:r>
      <w:r w:rsidRPr="003B2DC2">
        <w:rPr>
          <w:rFonts w:cs="Arial"/>
        </w:rPr>
        <w:t xml:space="preserve"> </w:t>
      </w:r>
      <w:r w:rsidR="006F204F">
        <w:rPr>
          <w:rFonts w:cs="Arial"/>
        </w:rPr>
        <w:t>recursos</w:t>
      </w:r>
      <w:r w:rsidRPr="003B2DC2">
        <w:rPr>
          <w:rFonts w:cs="Arial"/>
        </w:rPr>
        <w:t xml:space="preserve"> que posee el gobierno</w:t>
      </w:r>
      <w:r w:rsidRPr="001332D5">
        <w:rPr>
          <w:rFonts w:cs="Arial"/>
        </w:rPr>
        <w:t>.</w:t>
      </w:r>
      <w:r>
        <w:rPr>
          <w:rFonts w:cs="Arial"/>
        </w:rPr>
        <w:t xml:space="preserve"> </w:t>
      </w:r>
      <w:r>
        <w:rPr>
          <w:rFonts w:cs="Arial"/>
        </w:rPr>
        <w:fldChar w:fldCharType="begin" w:fldLock="1"/>
      </w:r>
      <w:r w:rsidR="00475856">
        <w:rPr>
          <w:rFonts w:cs="Arial"/>
        </w:rPr>
        <w:instrText>ADDIN CSL_CITATION {"citationItems":[{"id":"ITEM-1","itemData":{"ISBN":"9789875191433","author":[{"dropping-particle":"","family":"Chisari","given":"Omar","non-dropping-particle":"","parse-names":false,"suffix":""},{"dropping-particle":"","family":"Ferro","given":"Gustavo A","non-dropping-particle":"","parse-names":false,"suffix":""},{"dropping-particle":"","family":"González","given":"Mariano E","non-dropping-particle":"","parse-names":false,"suffix":""},{"dropping-particle":"","family":"León","given":"Sonia M","non-dropping-particle":"","parse-names":false,"suffix":""},{"dropping-particle":"","family":"Maquieyra","given":"A","non-dropping-particle":"","parse-names":false,"suffix":""},{"dropping-particle":"","family":"Mastronardi","given":"Leonardo J","non-dropping-particle":"","parse-names":false,"suffix":""},{"dropping-particle":"","family":"Roitman","given":"Mauricio E","non-dropping-particle":"","parse-names":false,"suffix":""},{"dropping-particle":"","family":"Romero","given":"Carlos A","non-dropping-particle":"","parse-names":false,"suffix":""},{"dropping-particle":"","family":"Theller","given":"Ricardo M","non-dropping-particle":"","parse-names":false,"suffix":""}],"container-title":"Serie de textos de discusión 63","id":"ITEM-1","issued":{"date-parts":[["2010"]]},"title":"Modelo de Equilibrio General Computado para la Argentina 2006","type":"article-journal"},"uris":["http://www.mendeley.com/documents/?uuid=d185a7a6-ef2d-4430-a019-bc75f0ed58ff"]}],"mendeley":{"formattedCitation":"(O. Chisari et al., 2010)","plainTextFormattedCitation":"(O. Chisari et al., 2010)","previouslyFormattedCitation":"(O. Chisari et al., 2010)"},"properties":{"noteIndex":0},"schema":"https://github.com/citation-style-language/schema/raw/master/csl-citation.json"}</w:instrText>
      </w:r>
      <w:r>
        <w:rPr>
          <w:rFonts w:cs="Arial"/>
        </w:rPr>
        <w:fldChar w:fldCharType="separate"/>
      </w:r>
      <w:r w:rsidR="00801FC7" w:rsidRPr="00801FC7">
        <w:rPr>
          <w:rFonts w:cs="Arial"/>
          <w:noProof/>
        </w:rPr>
        <w:t>(O. Chisari et al., 2010)</w:t>
      </w:r>
      <w:r>
        <w:rPr>
          <w:rFonts w:cs="Arial"/>
        </w:rPr>
        <w:fldChar w:fldCharType="end"/>
      </w:r>
      <w:r>
        <w:rPr>
          <w:rFonts w:cs="Arial"/>
        </w:rPr>
        <w:t>.</w:t>
      </w:r>
    </w:p>
    <w:p w14:paraId="363D41AE" w14:textId="6ED63EB4" w:rsidR="00C07D67" w:rsidRPr="003B2DC2" w:rsidRDefault="00C07D67" w:rsidP="00C139E7">
      <w:pPr>
        <w:spacing w:line="240" w:lineRule="auto"/>
        <w:rPr>
          <w:rFonts w:cs="Arial"/>
        </w:rPr>
      </w:pPr>
      <w:r w:rsidRPr="003B2DC2">
        <w:rPr>
          <w:rFonts w:cs="Arial"/>
        </w:rPr>
        <w:t>En el mismo modelo de</w:t>
      </w:r>
      <w:r>
        <w:rPr>
          <w:rFonts w:cs="Arial"/>
        </w:rPr>
        <w:t xml:space="preserve"> </w:t>
      </w:r>
      <w:r>
        <w:rPr>
          <w:rFonts w:cs="Arial"/>
        </w:rPr>
        <w:fldChar w:fldCharType="begin" w:fldLock="1"/>
      </w:r>
      <w:r w:rsidR="00475856">
        <w:rPr>
          <w:rFonts w:cs="Arial"/>
        </w:rPr>
        <w:instrText>ADDIN CSL_CITATION {"citationItems":[{"id":"ITEM-1","itemData":{"ISBN":"9789875191433","author":[{"dropping-particle":"","family":"Chisari","given":"Omar","non-dropping-particle":"","parse-names":false,"suffix":""},{"dropping-particle":"","family":"Ferro","given":"Gustavo A","non-dropping-particle":"","parse-names":false,"suffix":""},{"dropping-particle":"","family":"González","given":"Mariano E","non-dropping-particle":"","parse-names":false,"suffix":""},{"dropping-particle":"","family":"León","given":"Sonia M","non-dropping-particle":"","parse-names":false,"suffix":""},{"dropping-particle":"","family":"Maquieyra","given":"A","non-dropping-particle":"","parse-names":false,"suffix":""},{"dropping-particle":"","family":"Mastronardi","given":"Leonardo J","non-dropping-particle":"","parse-names":false,"suffix":""},{"dropping-particle":"","family":"Roitman","given":"Mauricio E","non-dropping-particle":"","parse-names":false,"suffix":""},{"dropping-particle":"","family":"Romero","given":"Carlos A","non-dropping-particle":"","parse-names":false,"suffix":""},{"dropping-particle":"","family":"Theller","given":"Ricardo M","non-dropping-particle":"","parse-names":false,"suffix":""}],"container-title":"Serie de textos de discusión 63","id":"ITEM-1","issued":{"date-parts":[["2010"]]},"title":"Modelo de Equilibrio General Computado para la Argentina 2006","type":"article-journal"},"uris":["http://www.mendeley.com/documents/?uuid=d185a7a6-ef2d-4430-a019-bc75f0ed58ff"]}],"mendeley":{"formattedCitation":"(O. Chisari et al., 2010)","manualFormatting":"Chisari et al. ( 2010)","plainTextFormattedCitation":"(O. Chisari et al., 2010)","previouslyFormattedCitation":"(O. Chisari et al., 2010)"},"properties":{"noteIndex":0},"schema":"https://github.com/citation-style-language/schema/raw/master/csl-citation.json"}</w:instrText>
      </w:r>
      <w:r>
        <w:rPr>
          <w:rFonts w:cs="Arial"/>
        </w:rPr>
        <w:fldChar w:fldCharType="separate"/>
      </w:r>
      <w:r>
        <w:rPr>
          <w:rFonts w:cs="Arial"/>
          <w:noProof/>
        </w:rPr>
        <w:t xml:space="preserve">Chisari </w:t>
      </w:r>
      <w:r w:rsidRPr="004224BB">
        <w:rPr>
          <w:rFonts w:cs="Arial"/>
          <w:i/>
          <w:noProof/>
        </w:rPr>
        <w:t>et al</w:t>
      </w:r>
      <w:r>
        <w:rPr>
          <w:rFonts w:cs="Arial"/>
          <w:noProof/>
        </w:rPr>
        <w:t>. (</w:t>
      </w:r>
      <w:r w:rsidRPr="004224BB">
        <w:rPr>
          <w:rFonts w:cs="Arial"/>
          <w:noProof/>
        </w:rPr>
        <w:t xml:space="preserve"> 2010)</w:t>
      </w:r>
      <w:r>
        <w:rPr>
          <w:rFonts w:cs="Arial"/>
        </w:rPr>
        <w:fldChar w:fldCharType="end"/>
      </w:r>
      <w:r>
        <w:rPr>
          <w:rFonts w:cs="Arial"/>
        </w:rPr>
        <w:t xml:space="preserve"> </w:t>
      </w:r>
      <w:r w:rsidRPr="003B2DC2">
        <w:rPr>
          <w:rFonts w:cs="Arial"/>
        </w:rPr>
        <w:t xml:space="preserve">el número de sectores es 29, donde cada sector produce un único bien. Además, las firmas tienen las características típicas de los modelos de equilibrio general, donde se buscan maximizar beneficios dado su gasto en consumo intermedio. </w:t>
      </w:r>
      <w:r w:rsidR="00A65FE5">
        <w:rPr>
          <w:rFonts w:cs="Arial"/>
        </w:rPr>
        <w:t>Los autores</w:t>
      </w:r>
      <w:r w:rsidRPr="003B2DC2">
        <w:rPr>
          <w:rFonts w:cs="Arial"/>
        </w:rPr>
        <w:t xml:space="preserve"> realizaron tres micro-simulaciones: Una disminución de desempleo, un aumento del salario real y un aumento del salario real en conjunto con un aumento en la tasa de desempleo.</w:t>
      </w:r>
    </w:p>
    <w:p w14:paraId="0BACDAF6" w14:textId="3F6D42C0" w:rsidR="00C07D67" w:rsidRPr="003B2DC2" w:rsidRDefault="00C07D67" w:rsidP="00C139E7">
      <w:pPr>
        <w:spacing w:line="240" w:lineRule="auto"/>
        <w:rPr>
          <w:rFonts w:cs="Arial"/>
        </w:rPr>
      </w:pPr>
      <w:r w:rsidRPr="003B2DC2">
        <w:rPr>
          <w:rFonts w:cs="Arial"/>
        </w:rPr>
        <w:t xml:space="preserve">Las simulaciones </w:t>
      </w:r>
      <w:r w:rsidR="00D7372C">
        <w:rPr>
          <w:rFonts w:cs="Arial"/>
        </w:rPr>
        <w:t>se enfocaron</w:t>
      </w:r>
      <w:r w:rsidR="0085028D">
        <w:rPr>
          <w:rFonts w:cs="Arial"/>
        </w:rPr>
        <w:t xml:space="preserve"> en e</w:t>
      </w:r>
      <w:r w:rsidRPr="003B2DC2">
        <w:rPr>
          <w:rFonts w:cs="Arial"/>
        </w:rPr>
        <w:t xml:space="preserve">l empleo y los resultados fueron los esperados por la teoría económica: </w:t>
      </w:r>
    </w:p>
    <w:p w14:paraId="0158C578" w14:textId="030F7A7B" w:rsidR="00C07D67" w:rsidRPr="003B2DC2" w:rsidRDefault="00C07D67" w:rsidP="00C139E7">
      <w:pPr>
        <w:spacing w:line="240" w:lineRule="auto"/>
        <w:ind w:left="708"/>
        <w:rPr>
          <w:rFonts w:cs="Arial"/>
        </w:rPr>
      </w:pPr>
      <w:r w:rsidRPr="003B2DC2">
        <w:rPr>
          <w:rFonts w:cs="Arial"/>
        </w:rPr>
        <w:t>Los resultados obtenidos eran esperables a priori, ya que un incremento del salario real y un aumento en la tasa de ocupación (simulaciones 1 y 2), hizo caer los indicadores de pobreza para todos los niveles educativos; a su vez, en la simulación 3 donde se combinan efectos contrapuestos, el resultado fue intermedio lo c</w:t>
      </w:r>
      <w:r>
        <w:rPr>
          <w:rFonts w:cs="Arial"/>
        </w:rPr>
        <w:t>ual era totalmente previsible</w:t>
      </w:r>
      <w:r w:rsidRPr="001332D5">
        <w:rPr>
          <w:rFonts w:cs="Arial"/>
        </w:rPr>
        <w:t>.</w:t>
      </w:r>
      <w:r>
        <w:rPr>
          <w:rFonts w:cs="Arial"/>
        </w:rPr>
        <w:t xml:space="preserve"> </w:t>
      </w:r>
      <w:r>
        <w:rPr>
          <w:rFonts w:cs="Arial"/>
        </w:rPr>
        <w:fldChar w:fldCharType="begin" w:fldLock="1"/>
      </w:r>
      <w:r w:rsidR="00475856">
        <w:rPr>
          <w:rFonts w:cs="Arial"/>
        </w:rPr>
        <w:instrText>ADDIN CSL_CITATION {"citationItems":[{"id":"ITEM-1","itemData":{"ISBN":"9789875191433","author":[{"dropping-particle":"","family":"Chisari","given":"Omar","non-dropping-particle":"","parse-names":false,"suffix":""},{"dropping-particle":"","family":"Ferro","given":"Gustavo A","non-dropping-particle":"","parse-names":false,"suffix":""},{"dropping-particle":"","family":"González","given":"Mariano E","non-dropping-particle":"","parse-names":false,"suffix":""},{"dropping-particle":"","family":"León","given":"Sonia M","non-dropping-particle":"","parse-names":false,"suffix":""},{"dropping-particle":"","family":"Maquieyra","given":"A","non-dropping-particle":"","parse-names":false,"suffix":""},{"dropping-particle":"","family":"Mastronardi","given":"Leonardo J","non-dropping-particle":"","parse-names":false,"suffix":""},{"dropping-particle":"","family":"Roitman","given":"Mauricio E","non-dropping-particle":"","parse-names":false,"suffix":""},{"dropping-particle":"","family":"Romero","given":"Carlos A","non-dropping-particle":"","parse-names":false,"suffix":""},{"dropping-particle":"","family":"Theller","given":"Ricardo M","non-dropping-particle":"","parse-names":false,"suffix":""}],"container-title":"Serie de textos de discusión 63","id":"ITEM-1","issued":{"date-parts":[["2010"]]},"title":"Modelo de Equilibrio General Computado para la Argentina 2006","type":"article-journal"},"uris":["http://www.mendeley.com/documents/?uuid=d185a7a6-ef2d-4430-a019-bc75f0ed58ff"]}],"mendeley":{"formattedCitation":"(O. Chisari et al., 2010)","manualFormatting":"Chisari et al. ( 2010)","plainTextFormattedCitation":"(O. Chisari et al., 2010)","previouslyFormattedCitation":"(O. Chisari et al., 2010)"},"properties":{"noteIndex":0},"schema":"https://github.com/citation-style-language/schema/raw/master/csl-citation.json"}</w:instrText>
      </w:r>
      <w:r>
        <w:rPr>
          <w:rFonts w:cs="Arial"/>
        </w:rPr>
        <w:fldChar w:fldCharType="separate"/>
      </w:r>
      <w:r>
        <w:rPr>
          <w:rFonts w:cs="Arial"/>
          <w:noProof/>
        </w:rPr>
        <w:t xml:space="preserve">Chisari </w:t>
      </w:r>
      <w:r w:rsidRPr="004224BB">
        <w:rPr>
          <w:rFonts w:cs="Arial"/>
          <w:i/>
          <w:noProof/>
        </w:rPr>
        <w:t>et al</w:t>
      </w:r>
      <w:r>
        <w:rPr>
          <w:rFonts w:cs="Arial"/>
          <w:noProof/>
        </w:rPr>
        <w:t>. (</w:t>
      </w:r>
      <w:r w:rsidRPr="004224BB">
        <w:rPr>
          <w:rFonts w:cs="Arial"/>
          <w:noProof/>
        </w:rPr>
        <w:t xml:space="preserve"> 2010)</w:t>
      </w:r>
      <w:r>
        <w:rPr>
          <w:rFonts w:cs="Arial"/>
        </w:rPr>
        <w:fldChar w:fldCharType="end"/>
      </w:r>
      <w:r>
        <w:rPr>
          <w:rFonts w:cs="Arial"/>
        </w:rPr>
        <w:t>.</w:t>
      </w:r>
    </w:p>
    <w:p w14:paraId="459C459D" w14:textId="77777777" w:rsidR="00C07D67" w:rsidRPr="003B2DC2" w:rsidRDefault="00C07D67" w:rsidP="00C139E7">
      <w:pPr>
        <w:spacing w:line="240" w:lineRule="auto"/>
        <w:rPr>
          <w:rFonts w:cs="Arial"/>
        </w:rPr>
      </w:pPr>
    </w:p>
    <w:p w14:paraId="17277AA5" w14:textId="4015C5C8" w:rsidR="00C07D67" w:rsidRPr="003B2DC2" w:rsidRDefault="00C07D67" w:rsidP="00C139E7">
      <w:pPr>
        <w:spacing w:line="240" w:lineRule="auto"/>
        <w:rPr>
          <w:rFonts w:cs="Arial"/>
        </w:rPr>
      </w:pPr>
      <w:r w:rsidRPr="003B2DC2">
        <w:rPr>
          <w:rFonts w:cs="Arial"/>
        </w:rPr>
        <w:lastRenderedPageBreak/>
        <w:t>Entre los modelos anteriores se comparte la característica de la utilización de cuad</w:t>
      </w:r>
      <w:r>
        <w:rPr>
          <w:rFonts w:cs="Arial"/>
        </w:rPr>
        <w:t>ros obtenidos por medio de las Matrices de Contabilidad S</w:t>
      </w:r>
      <w:r w:rsidRPr="003B2DC2">
        <w:rPr>
          <w:rFonts w:cs="Arial"/>
        </w:rPr>
        <w:t xml:space="preserve">ocial (MCS) o Matrices de insumo producto. El número de sectores varia </w:t>
      </w:r>
      <w:r w:rsidR="004A5161" w:rsidRPr="003B2DC2">
        <w:rPr>
          <w:rFonts w:cs="Arial"/>
        </w:rPr>
        <w:t>debido</w:t>
      </w:r>
      <w:r w:rsidRPr="003B2DC2">
        <w:rPr>
          <w:rFonts w:cs="Arial"/>
        </w:rPr>
        <w:t xml:space="preserve"> la disponibilidad de los datos existentes para cada país de estudio, de igual manera sucede con el número de hogares y de insumos disponibles en la economía. Existen otras vertientes de modelos, donde la escogencia de los parámetros se da con criterio de expertos, o por estándares internacionales. </w:t>
      </w:r>
    </w:p>
    <w:p w14:paraId="60E5872B" w14:textId="0E9AF197" w:rsidR="00C07D67" w:rsidRPr="003B2DC2" w:rsidRDefault="004A5161" w:rsidP="00C139E7">
      <w:pPr>
        <w:spacing w:line="240" w:lineRule="auto"/>
        <w:rPr>
          <w:rFonts w:cs="Arial"/>
        </w:rPr>
      </w:pPr>
      <w:r w:rsidRPr="003B2DC2">
        <w:rPr>
          <w:rFonts w:cs="Arial"/>
        </w:rPr>
        <w:t>A pesar de que</w:t>
      </w:r>
      <w:r w:rsidR="00C07D67" w:rsidRPr="003B2DC2">
        <w:rPr>
          <w:rFonts w:cs="Arial"/>
        </w:rPr>
        <w:t xml:space="preserve"> a nivel internacional el enfoque de incidencia tributaria puede verse en contexto de equilibrio general de tipo</w:t>
      </w:r>
      <w:r w:rsidR="00C07D67">
        <w:rPr>
          <w:rFonts w:cs="Arial"/>
        </w:rPr>
        <w:t xml:space="preserve"> w</w:t>
      </w:r>
      <w:r w:rsidR="00C07D67" w:rsidRPr="003B2DC2">
        <w:rPr>
          <w:rFonts w:cs="Arial"/>
        </w:rPr>
        <w:t xml:space="preserve">alrasiano, no existen gran cantidad de documentos, a parte de los citados anteriormente, donde el tema centralizado sea la incidencia fiscal. Aunque entre las clasificaciones de los MEGC, el tema de incidencia impositiva suele estar entre la vertiente de “tradicionales”, las otras clasificaciones “no tradicionales” han ido tomando relevancia en los últimos años como los modelos de análisis </w:t>
      </w:r>
      <w:r w:rsidR="00C07D67">
        <w:rPr>
          <w:rFonts w:cs="Arial"/>
        </w:rPr>
        <w:t>ecológicos</w:t>
      </w:r>
      <w:r w:rsidR="00C07D67" w:rsidRPr="003B2DC2">
        <w:rPr>
          <w:rFonts w:cs="Arial"/>
        </w:rPr>
        <w:t>.</w:t>
      </w:r>
      <w:r w:rsidR="00C07D67">
        <w:rPr>
          <w:rFonts w:cs="Arial"/>
        </w:rPr>
        <w:t xml:space="preserve"> </w:t>
      </w:r>
      <w:r w:rsidR="00C07D67">
        <w:rPr>
          <w:rFonts w:cs="Arial"/>
        </w:rPr>
        <w:fldChar w:fldCharType="begin" w:fldLock="1"/>
      </w:r>
      <w:r w:rsidR="00475856">
        <w:rPr>
          <w:rFonts w:cs="Arial"/>
        </w:rPr>
        <w:instrText>ADDIN CSL_CITATION {"citationItems":[{"id":"ITEM-1","itemData":{"author":[{"dropping-particle":"","family":"Chisari","given":"Omar","non-dropping-particle":"","parse-names":false,"suffix":""},{"dropping-particle":"","family":"Maquieyra","given":"Javier A","non-dropping-particle":"","parse-names":false,"suffix":""},{"dropping-particle":"","family":"Miller","given":"Sebastián J","non-dropping-particle":"","parse-names":false,"suffix":""}],"container-title":"BID","id":"ITEM-1","issued":{"date-parts":[["2012"]]},"page":"261","title":"Manual sobre Modelos de Equilibrio General Computado para Económico del Cambio Climático Manual sobre Modelos de Equilibrio General Computado para Economías de LAC con Énfasis en el Análisis Económico del Cambio Climático","type":"article-journal"},"uris":["http://www.mendeley.com/documents/?uuid=e201be0a-3600-4c0d-8e0e-81a26c921024"]}],"mendeley":{"formattedCitation":"(O. Chisari, Maquieyra, &amp; Miller, 2012)","plainTextFormattedCitation":"(O. Chisari, Maquieyra, &amp; Miller, 2012)","previouslyFormattedCitation":"(O. Chisari, Maquieyra, &amp; Miller, 2012)"},"properties":{"noteIndex":0},"schema":"https://github.com/citation-style-language/schema/raw/master/csl-citation.json"}</w:instrText>
      </w:r>
      <w:r w:rsidR="00C07D67">
        <w:rPr>
          <w:rFonts w:cs="Arial"/>
        </w:rPr>
        <w:fldChar w:fldCharType="separate"/>
      </w:r>
      <w:r w:rsidR="00A409E9" w:rsidRPr="00A409E9">
        <w:rPr>
          <w:rFonts w:cs="Arial"/>
          <w:noProof/>
        </w:rPr>
        <w:t>(O. Chisari, Maquieyra, &amp; Miller, 2012)</w:t>
      </w:r>
      <w:r w:rsidR="00C07D67">
        <w:rPr>
          <w:rFonts w:cs="Arial"/>
        </w:rPr>
        <w:fldChar w:fldCharType="end"/>
      </w:r>
      <w:r w:rsidR="00C07D67">
        <w:rPr>
          <w:rFonts w:cs="Arial"/>
        </w:rPr>
        <w:t>.</w:t>
      </w:r>
    </w:p>
    <w:p w14:paraId="1277C3C6" w14:textId="697ED68E" w:rsidR="00C07D67" w:rsidRPr="003B2DC2" w:rsidRDefault="00C07D67" w:rsidP="00C139E7">
      <w:pPr>
        <w:spacing w:line="240" w:lineRule="auto"/>
        <w:rPr>
          <w:rFonts w:cs="Arial"/>
        </w:rPr>
      </w:pPr>
      <w:r>
        <w:rPr>
          <w:rFonts w:cs="Arial"/>
        </w:rPr>
        <w:t>Para</w:t>
      </w:r>
      <w:r w:rsidRPr="003B2DC2">
        <w:rPr>
          <w:rFonts w:cs="Arial"/>
        </w:rPr>
        <w:t xml:space="preserve"> </w:t>
      </w:r>
      <w:r>
        <w:rPr>
          <w:rFonts w:cs="Arial"/>
        </w:rPr>
        <w:fldChar w:fldCharType="begin" w:fldLock="1"/>
      </w:r>
      <w:r w:rsidR="00475856">
        <w:rPr>
          <w:rFonts w:cs="Arial"/>
        </w:rPr>
        <w:instrText>ADDIN CSL_CITATION {"citationItems":[{"id":"ITEM-1","itemData":{"author":[{"dropping-particle":"","family":"Lora","given":"E","non-dropping-particle":"","parse-names":false,"suffix":""}],"container-title":"El Trimestre Económico","id":"ITEM-1","issued":{"date-parts":[["1995"]]},"page":"21-78","publisher":"JSTOR","title":"Los modelos de equilibrio general computable en análisis de incidencia fiscal","type":"article-journal"},"uris":["http://www.mendeley.com/documents/?uuid=c2424cd3-924f-4a16-bbe9-f48837230f28"]}],"mendeley":{"formattedCitation":"(Lora, 1995)","manualFormatting":"Lora (1995)","plainTextFormattedCitation":"(Lora, 1995)","previouslyFormattedCitation":"(Lora, 1995)"},"properties":{"noteIndex":0},"schema":"https://github.com/citation-style-language/schema/raw/master/csl-citation.json"}</w:instrText>
      </w:r>
      <w:r>
        <w:rPr>
          <w:rFonts w:cs="Arial"/>
        </w:rPr>
        <w:fldChar w:fldCharType="separate"/>
      </w:r>
      <w:r>
        <w:rPr>
          <w:rFonts w:cs="Arial"/>
          <w:noProof/>
        </w:rPr>
        <w:t>Lora (</w:t>
      </w:r>
      <w:r w:rsidRPr="004224BB">
        <w:rPr>
          <w:rFonts w:cs="Arial"/>
          <w:noProof/>
        </w:rPr>
        <w:t>1995)</w:t>
      </w:r>
      <w:r>
        <w:rPr>
          <w:rFonts w:cs="Arial"/>
        </w:rPr>
        <w:fldChar w:fldCharType="end"/>
      </w:r>
      <w:r>
        <w:rPr>
          <w:rFonts w:cs="Arial"/>
        </w:rPr>
        <w:t xml:space="preserve"> </w:t>
      </w:r>
      <w:r w:rsidRPr="003B2DC2">
        <w:rPr>
          <w:rFonts w:cs="Arial"/>
        </w:rPr>
        <w:t>existen ciertas coincidencias en los MEGC con énfasis de incidencia fiscal y los de análisis de políticas alimentarias, ya que su enfoque permite una distinción en el comportamiento del gasto del gobierno en los subsidios de alimentos, de esta forma se permite analizar la progresividad del gasto público.</w:t>
      </w:r>
    </w:p>
    <w:p w14:paraId="2A2CF5E1" w14:textId="3CE6AC29" w:rsidR="00C07D67" w:rsidRPr="003B2DC2" w:rsidRDefault="00C07D67" w:rsidP="00C139E7">
      <w:pPr>
        <w:spacing w:line="240" w:lineRule="auto"/>
        <w:rPr>
          <w:rFonts w:cs="Arial"/>
        </w:rPr>
      </w:pPr>
      <w:r w:rsidRPr="003B2DC2">
        <w:rPr>
          <w:rFonts w:cs="Arial"/>
        </w:rPr>
        <w:t xml:space="preserve">En Costa Rica se han realizado distintos MEGC, el primero en utilizar la </w:t>
      </w:r>
      <w:r w:rsidR="00C17D01">
        <w:rPr>
          <w:rFonts w:cs="Arial"/>
        </w:rPr>
        <w:t>M</w:t>
      </w:r>
      <w:r w:rsidRPr="003B2DC2">
        <w:rPr>
          <w:rFonts w:cs="Arial"/>
        </w:rPr>
        <w:t xml:space="preserve">atriz de </w:t>
      </w:r>
      <w:r w:rsidR="00C17D01">
        <w:rPr>
          <w:rFonts w:cs="Arial"/>
        </w:rPr>
        <w:t>C</w:t>
      </w:r>
      <w:r w:rsidRPr="003B2DC2">
        <w:rPr>
          <w:rFonts w:cs="Arial"/>
        </w:rPr>
        <w:t xml:space="preserve">ontabilidad </w:t>
      </w:r>
      <w:r w:rsidR="00C17D01">
        <w:rPr>
          <w:rFonts w:cs="Arial"/>
        </w:rPr>
        <w:t>S</w:t>
      </w:r>
      <w:r w:rsidRPr="003B2DC2">
        <w:rPr>
          <w:rFonts w:cs="Arial"/>
        </w:rPr>
        <w:t xml:space="preserve">ocial de </w:t>
      </w:r>
      <w:r w:rsidR="003D7D0D" w:rsidRPr="003B2DC2">
        <w:rPr>
          <w:rFonts w:cs="Arial"/>
        </w:rPr>
        <w:t>1991</w:t>
      </w:r>
      <w:r w:rsidRPr="003B2DC2">
        <w:rPr>
          <w:rFonts w:cs="Arial"/>
        </w:rPr>
        <w:t xml:space="preserve"> fue elaborado para el gobierno de Costa Rica </w:t>
      </w:r>
      <w:r w:rsidR="004779E8">
        <w:rPr>
          <w:rFonts w:cs="Arial"/>
        </w:rPr>
        <w:t>mediante el</w:t>
      </w:r>
      <w:r w:rsidRPr="003B2DC2">
        <w:rPr>
          <w:rFonts w:cs="Arial"/>
        </w:rPr>
        <w:t xml:space="preserve"> Ministerio de Planificación (MIDEPLAN), llamado “MIMEGA-Costa Rica”. En este modelo se parte de la estimación de una </w:t>
      </w:r>
      <w:r w:rsidR="00C17D01">
        <w:rPr>
          <w:rFonts w:cs="Arial"/>
        </w:rPr>
        <w:t>M</w:t>
      </w:r>
      <w:r w:rsidRPr="003B2DC2">
        <w:rPr>
          <w:rFonts w:cs="Arial"/>
        </w:rPr>
        <w:t xml:space="preserve">atriz de </w:t>
      </w:r>
      <w:r w:rsidR="00C17D01">
        <w:rPr>
          <w:rFonts w:cs="Arial"/>
        </w:rPr>
        <w:t>C</w:t>
      </w:r>
      <w:r w:rsidRPr="003B2DC2">
        <w:rPr>
          <w:rFonts w:cs="Arial"/>
        </w:rPr>
        <w:t xml:space="preserve">ontabilidad </w:t>
      </w:r>
      <w:r w:rsidR="00C17D01">
        <w:rPr>
          <w:rFonts w:cs="Arial"/>
        </w:rPr>
        <w:t>S</w:t>
      </w:r>
      <w:r w:rsidRPr="003B2DC2">
        <w:rPr>
          <w:rFonts w:cs="Arial"/>
        </w:rPr>
        <w:t>ocial, que utilizaron fuentes del Banco Central de Costa Rica</w:t>
      </w:r>
      <w:r>
        <w:rPr>
          <w:rFonts w:cs="Arial"/>
        </w:rPr>
        <w:t xml:space="preserve"> (BCCR)</w:t>
      </w:r>
      <w:r w:rsidRPr="003B2DC2">
        <w:rPr>
          <w:rFonts w:cs="Arial"/>
        </w:rPr>
        <w:t xml:space="preserve">, donde se combinaron datos de las cuentas nacionales y la </w:t>
      </w:r>
      <w:r w:rsidR="00C17D01">
        <w:rPr>
          <w:rFonts w:cs="Arial"/>
        </w:rPr>
        <w:t>M</w:t>
      </w:r>
      <w:r w:rsidRPr="003B2DC2">
        <w:rPr>
          <w:rFonts w:cs="Arial"/>
        </w:rPr>
        <w:t xml:space="preserve">atriz de </w:t>
      </w:r>
      <w:r w:rsidR="00C17D01">
        <w:rPr>
          <w:rFonts w:cs="Arial"/>
        </w:rPr>
        <w:t>I</w:t>
      </w:r>
      <w:r w:rsidRPr="003B2DC2">
        <w:rPr>
          <w:rFonts w:cs="Arial"/>
        </w:rPr>
        <w:t xml:space="preserve">nsumo </w:t>
      </w:r>
      <w:r w:rsidR="00C17D01">
        <w:rPr>
          <w:rFonts w:cs="Arial"/>
        </w:rPr>
        <w:t>P</w:t>
      </w:r>
      <w:r w:rsidRPr="003B2DC2">
        <w:rPr>
          <w:rFonts w:cs="Arial"/>
        </w:rPr>
        <w:t xml:space="preserve">roducto para la obtención de los distintos cuadros de sectores de la MCS. </w:t>
      </w:r>
      <w:r>
        <w:rPr>
          <w:rFonts w:cs="Arial"/>
        </w:rPr>
        <w:fldChar w:fldCharType="begin" w:fldLock="1"/>
      </w:r>
      <w:r w:rsidR="00475856">
        <w:rPr>
          <w:rFonts w:cs="Arial"/>
        </w:rPr>
        <w:instrText>ADDIN CSL_CITATION {"citationItems":[{"id":"ITEM-1","itemData":{"author":[{"dropping-particle":"","family":"Borrajo","given":"Javier","non-dropping-particle":"","parse-names":false,"suffix":""},{"dropping-particle":"","family":"Bussolo","given":"Mauricio","non-dropping-particle":"","parse-names":false,"suffix":""},{"dropping-particle":"","family":"Collado","given":"J","non-dropping-particle":"","parse-names":false,"suffix":""},{"dropping-particle":"","family":"Roland-Host","given":"David","non-dropping-particle":"","parse-names":false,"suffix":""},{"dropping-particle":"","family":"Mensbrugghe","given":"Dominique","non-dropping-particle":"van der","parse-names":false,"suffix":""}],"id":"ITEM-1","issued":{"date-parts":[["1994"]]},"publisher-place":"San José","title":"Un manual de instrumentos económicos para la modelización del equilibrio general en Costa Rica. MIMEGA-COSTA RICA","type":"report"},"uris":["http://www.mendeley.com/documents/?uuid=34c1b9c6-235d-4489-8eb1-a69af2489761"]}],"mendeley":{"formattedCitation":"(Borrajo, Bussolo, Collado, Roland-Host, &amp; van der Mensbrugghe, 1994)","plainTextFormattedCitation":"(Borrajo, Bussolo, Collado, Roland-Host, &amp; van der Mensbrugghe, 1994)","previouslyFormattedCitation":"(Borrajo, Bussolo, Collado, Roland-Host, &amp; van der Mensbrugghe, 1994)"},"properties":{"noteIndex":0},"schema":"https://github.com/citation-style-language/schema/raw/master/csl-citation.json"}</w:instrText>
      </w:r>
      <w:r>
        <w:rPr>
          <w:rFonts w:cs="Arial"/>
        </w:rPr>
        <w:fldChar w:fldCharType="separate"/>
      </w:r>
      <w:r w:rsidRPr="00552954">
        <w:rPr>
          <w:rFonts w:cs="Arial"/>
          <w:noProof/>
        </w:rPr>
        <w:t>(Borrajo, Bussolo, Collado, Roland-Host, &amp; van der Mensbrugghe, 1994)</w:t>
      </w:r>
      <w:r>
        <w:rPr>
          <w:rFonts w:cs="Arial"/>
        </w:rPr>
        <w:fldChar w:fldCharType="end"/>
      </w:r>
      <w:r>
        <w:rPr>
          <w:rFonts w:cs="Arial"/>
        </w:rPr>
        <w:t>.</w:t>
      </w:r>
    </w:p>
    <w:p w14:paraId="7BA1C1E0" w14:textId="77777777" w:rsidR="00C07D67" w:rsidRPr="003B2DC2" w:rsidRDefault="00C07D67" w:rsidP="00C139E7">
      <w:pPr>
        <w:spacing w:line="240" w:lineRule="auto"/>
        <w:rPr>
          <w:rFonts w:cs="Arial"/>
        </w:rPr>
      </w:pPr>
      <w:r w:rsidRPr="003B2DC2">
        <w:rPr>
          <w:rFonts w:cs="Arial"/>
        </w:rPr>
        <w:t xml:space="preserve">En algunos casos se utilizaron los valores de referencia usado en la MCS de 1980, como es el caso de la división de hogares, la cual se encuentra desagregada por 10 categorías. Para la estimación de los valores correspondientes a cada cuenta, se utilizaron proporciones de la Encuesta de Consumo. </w:t>
      </w:r>
    </w:p>
    <w:p w14:paraId="62BD822B" w14:textId="6A4628A7" w:rsidR="00C07D67" w:rsidRPr="003B2DC2" w:rsidRDefault="00C07D67" w:rsidP="00C139E7">
      <w:pPr>
        <w:spacing w:line="240" w:lineRule="auto"/>
        <w:rPr>
          <w:rFonts w:cs="Arial"/>
        </w:rPr>
      </w:pPr>
      <w:r w:rsidRPr="003B2DC2">
        <w:rPr>
          <w:rFonts w:cs="Arial"/>
        </w:rPr>
        <w:t xml:space="preserve">Además, </w:t>
      </w:r>
      <w:r w:rsidR="00AF6C01">
        <w:rPr>
          <w:rFonts w:cs="Arial"/>
        </w:rPr>
        <w:t>fue necesario que realizaran</w:t>
      </w:r>
      <w:r w:rsidRPr="003B2DC2">
        <w:rPr>
          <w:rFonts w:cs="Arial"/>
        </w:rPr>
        <w:t xml:space="preserve"> ciertos ajustes para la cuenta de hogares y para la cuenta de capital. La elaboración de MCS de 1991, fue un proceso de recopilación de distintas fuentes, usando como base metodológica la MCS de 1980, que se dividió en tres etapas: La primera consiste en la inclusión de las corporaciones privadas, domésticas y las corporaciones extranjeras. La segunda etapa se concentra en la asignación de rentas a los hogares y la tercera se trata de consolidar la cuenta del Resto del Mundo</w:t>
      </w:r>
      <w:r>
        <w:rPr>
          <w:rFonts w:cs="Arial"/>
        </w:rPr>
        <w:t xml:space="preserve"> (ROW). E</w:t>
      </w:r>
      <w:r w:rsidRPr="003B2DC2">
        <w:rPr>
          <w:rFonts w:cs="Arial"/>
        </w:rPr>
        <w:t>n el informe del MIDEPLAN se encuentra el resumen de la matriz.</w:t>
      </w:r>
      <w:r>
        <w:rPr>
          <w:rFonts w:cs="Arial"/>
        </w:rPr>
        <w:t xml:space="preserve"> (ídem).</w:t>
      </w:r>
    </w:p>
    <w:p w14:paraId="3BEDF2B4" w14:textId="0687EEAB" w:rsidR="00C07D67" w:rsidRDefault="00C07D67" w:rsidP="00C139E7">
      <w:pPr>
        <w:spacing w:line="240" w:lineRule="auto"/>
        <w:rPr>
          <w:rFonts w:cs="Arial"/>
        </w:rPr>
      </w:pPr>
      <w:r>
        <w:rPr>
          <w:rFonts w:cs="Arial"/>
        </w:rPr>
        <w:t>El modelo toma en cuentas los distintos agentes que se incorporan en un MEGC</w:t>
      </w:r>
      <w:r w:rsidR="00547F4C">
        <w:rPr>
          <w:rFonts w:cs="Arial"/>
        </w:rPr>
        <w:t>, pero e</w:t>
      </w:r>
      <w:r>
        <w:rPr>
          <w:rFonts w:cs="Arial"/>
        </w:rPr>
        <w:t xml:space="preserve">l fuerte del modelo se encuentra en parametrización del mediante la construcción de la MCS, siendo en este caso, el año 1991 como el escenario base. El software que se usó para modelar fue </w:t>
      </w:r>
      <w:r w:rsidRPr="005A195B">
        <w:rPr>
          <w:rFonts w:cs="Arial"/>
        </w:rPr>
        <w:t>General Algebraic Modeling System</w:t>
      </w:r>
      <w:r>
        <w:rPr>
          <w:rFonts w:cs="Arial"/>
        </w:rPr>
        <w:t xml:space="preserve"> (GAMS), donde en el mismo informe se plantea una introducción del programa.</w:t>
      </w:r>
    </w:p>
    <w:p w14:paraId="291A3515" w14:textId="0E6FFF05" w:rsidR="00C07D67" w:rsidRDefault="00C07D67" w:rsidP="00C139E7">
      <w:pPr>
        <w:spacing w:line="240" w:lineRule="auto"/>
        <w:rPr>
          <w:rFonts w:cs="Arial"/>
        </w:rPr>
      </w:pPr>
      <w:r>
        <w:rPr>
          <w:rFonts w:cs="Arial"/>
        </w:rPr>
        <w:t>En Costa Rica se ha</w:t>
      </w:r>
      <w:r w:rsidR="00023E2A">
        <w:rPr>
          <w:rFonts w:cs="Arial"/>
        </w:rPr>
        <w:t>n</w:t>
      </w:r>
      <w:r>
        <w:rPr>
          <w:rFonts w:cs="Arial"/>
        </w:rPr>
        <w:t xml:space="preserve"> realizado otros </w:t>
      </w:r>
      <w:r w:rsidR="00E900B9">
        <w:rPr>
          <w:rFonts w:cs="Arial"/>
        </w:rPr>
        <w:t>m</w:t>
      </w:r>
      <w:r w:rsidR="00023E2A">
        <w:rPr>
          <w:rFonts w:cs="Arial"/>
        </w:rPr>
        <w:t>odelos de equilibrio general</w:t>
      </w:r>
      <w:r w:rsidR="00AB6C7D">
        <w:rPr>
          <w:rFonts w:cs="Arial"/>
        </w:rPr>
        <w:t>, como el caso de un modelo dinámico estocástico, donde se usa</w:t>
      </w:r>
      <w:r>
        <w:rPr>
          <w:rFonts w:cs="Arial"/>
        </w:rPr>
        <w:t xml:space="preserve"> otro tipo de métodos para la parametrización de los modelos, dejando de lado el uso de las MCS, como es el caso </w:t>
      </w:r>
      <w:r>
        <w:rPr>
          <w:rFonts w:cs="Arial"/>
        </w:rPr>
        <w:lastRenderedPageBreak/>
        <w:t xml:space="preserve">del modelo de </w:t>
      </w:r>
      <w:r w:rsidRPr="004224BB">
        <w:rPr>
          <w:rFonts w:cs="Arial"/>
        </w:rPr>
        <w:fldChar w:fldCharType="begin" w:fldLock="1"/>
      </w:r>
      <w:r w:rsidR="00475856">
        <w:rPr>
          <w:rFonts w:cs="Arial"/>
        </w:rPr>
        <w:instrText>ADDIN CSL_CITATION {"citationItems":[{"id":"ITEM-1","itemData":{"DOI":"10.15359/eys.21-50.2","abstract":"This paper presents a specification and estimation of a dynamic stochastic general equilibrium model (DSGE), i.e. Bayesian methods that overcome the criticism by Lucas (1976), Sims (1980), and Learmer (1991). In addition, monetary policy simulations are conducted. Keywords:","author":[{"dropping-particle":"","family":"Valerio","given":"Marco Vinico","non-dropping-particle":"","parse-names":false,"suffix":""}],"container-title":"Economía &amp; Sociedad","id":"ITEM-1","issued":{"date-parts":[["2016"]]},"page":"1-33","title":"Un Modelo de Equilibrio General Dinámico Estocástico Estimado para la Economía Costarricense (2006-2014)","type":"article-journal","volume":"21"},"uris":["http://www.mendeley.com/documents/?uuid=463e8ec8-6b6a-41a7-9e66-eb68cabd7628"]}],"mendeley":{"formattedCitation":"(Valerio, 2016)","manualFormatting":"Valerio (2016)","plainTextFormattedCitation":"(Valerio, 2016)","previouslyFormattedCitation":"(Valerio, 2016)"},"properties":{"noteIndex":0},"schema":"https://github.com/citation-style-language/schema/raw/master/csl-citation.json"}</w:instrText>
      </w:r>
      <w:r w:rsidRPr="004224BB">
        <w:rPr>
          <w:rFonts w:cs="Arial"/>
        </w:rPr>
        <w:fldChar w:fldCharType="separate"/>
      </w:r>
      <w:r w:rsidRPr="004224BB">
        <w:rPr>
          <w:rFonts w:cs="Arial"/>
          <w:noProof/>
        </w:rPr>
        <w:t>Valerio (2016)</w:t>
      </w:r>
      <w:r w:rsidRPr="004224BB">
        <w:rPr>
          <w:rFonts w:cs="Arial"/>
        </w:rPr>
        <w:fldChar w:fldCharType="end"/>
      </w:r>
      <w:r>
        <w:rPr>
          <w:rFonts w:cs="Arial"/>
        </w:rPr>
        <w:t xml:space="preserve">, el cual utiliza el método bayesiano: “La visión bayesiana de la </w:t>
      </w:r>
      <w:r w:rsidRPr="005A195B">
        <w:rPr>
          <w:rFonts w:cs="Arial"/>
        </w:rPr>
        <w:t>estimación econométrica incluye lo que los expertos llaman un</w:t>
      </w:r>
      <w:r>
        <w:rPr>
          <w:rFonts w:cs="Arial"/>
        </w:rPr>
        <w:t xml:space="preserve">a visión a priori, es decir, su </w:t>
      </w:r>
      <w:r w:rsidRPr="005A195B">
        <w:rPr>
          <w:rFonts w:cs="Arial"/>
        </w:rPr>
        <w:t>análisis se fundamenta en creencias previas del investigador</w:t>
      </w:r>
      <w:r>
        <w:rPr>
          <w:rFonts w:cs="Arial"/>
        </w:rPr>
        <w:t>”.</w:t>
      </w:r>
    </w:p>
    <w:p w14:paraId="271F511B" w14:textId="6BF46FE9" w:rsidR="007D6737" w:rsidRDefault="00C07D67" w:rsidP="00C139E7">
      <w:pPr>
        <w:spacing w:line="240" w:lineRule="auto"/>
        <w:rPr>
          <w:rFonts w:cs="Arial"/>
        </w:rPr>
      </w:pPr>
      <w:r>
        <w:rPr>
          <w:rFonts w:cs="Arial"/>
        </w:rPr>
        <w:t>La fortaleza de este proyecto de graduación recae en la utilización de la MCS de Costa Rica del año 2012, donde se escogen los parámetros del modelo utilizando la información más reciente y disponible del país, evitando así caer posibles sesgos en el método de escogencia para la parametrización</w:t>
      </w:r>
      <w:r w:rsidR="009D078C">
        <w:rPr>
          <w:rFonts w:cs="Arial"/>
        </w:rPr>
        <w:t>.</w:t>
      </w:r>
      <w:r>
        <w:rPr>
          <w:rFonts w:cs="Arial"/>
        </w:rPr>
        <w:t xml:space="preserve"> </w:t>
      </w:r>
    </w:p>
    <w:p w14:paraId="4AD79F95" w14:textId="324551F8" w:rsidR="008B0323" w:rsidRPr="005B6BC6" w:rsidRDefault="007D5F4E" w:rsidP="000E7961">
      <w:pPr>
        <w:pStyle w:val="Heading2"/>
      </w:pPr>
      <w:bookmarkStart w:id="17" w:name="_Toc2853746"/>
      <w:r>
        <w:t xml:space="preserve">1.3 </w:t>
      </w:r>
      <w:r w:rsidR="008B0323" w:rsidRPr="005B6BC6">
        <w:t>Justificación</w:t>
      </w:r>
      <w:r w:rsidR="00E63692">
        <w:t xml:space="preserve"> </w:t>
      </w:r>
      <w:r w:rsidR="00E63692" w:rsidRPr="00E63692">
        <w:t xml:space="preserve">y </w:t>
      </w:r>
      <w:r w:rsidR="00B43961">
        <w:t>P</w:t>
      </w:r>
      <w:r w:rsidR="00E63692" w:rsidRPr="00E63692">
        <w:t>lanteamiento del problema</w:t>
      </w:r>
      <w:bookmarkEnd w:id="17"/>
      <w:r w:rsidR="008B0323" w:rsidRPr="005B6BC6">
        <w:t xml:space="preserve"> </w:t>
      </w:r>
    </w:p>
    <w:p w14:paraId="62037D7F" w14:textId="28BE337E" w:rsidR="00C07D67" w:rsidRDefault="00C07D67" w:rsidP="00C139E7">
      <w:pPr>
        <w:spacing w:line="240" w:lineRule="auto"/>
        <w:rPr>
          <w:rFonts w:cs="Arial"/>
        </w:rPr>
      </w:pPr>
      <w:r w:rsidRPr="0077621F">
        <w:rPr>
          <w:rFonts w:cs="Arial"/>
        </w:rPr>
        <w:t xml:space="preserve">El objetivo principal del análisis de la incidencia </w:t>
      </w:r>
      <w:r>
        <w:rPr>
          <w:rFonts w:cs="Arial"/>
        </w:rPr>
        <w:t>fiscal</w:t>
      </w:r>
      <w:r w:rsidRPr="0077621F">
        <w:rPr>
          <w:rFonts w:cs="Arial"/>
        </w:rPr>
        <w:t xml:space="preserve"> consiste en determinar quién paga verdaderamente la carga del impuesto, </w:t>
      </w:r>
      <w:r w:rsidR="0070054D">
        <w:rPr>
          <w:rFonts w:cs="Arial"/>
        </w:rPr>
        <w:t>el</w:t>
      </w:r>
      <w:r w:rsidRPr="0077621F">
        <w:rPr>
          <w:rFonts w:cs="Arial"/>
        </w:rPr>
        <w:t xml:space="preserve"> cual</w:t>
      </w:r>
      <w:r w:rsidR="0070054D">
        <w:rPr>
          <w:rFonts w:cs="Arial"/>
        </w:rPr>
        <w:t xml:space="preserve"> </w:t>
      </w:r>
      <w:r>
        <w:rPr>
          <w:rFonts w:cs="Arial"/>
        </w:rPr>
        <w:t xml:space="preserve">es </w:t>
      </w:r>
      <w:r w:rsidRPr="0077621F">
        <w:rPr>
          <w:rFonts w:cs="Arial"/>
        </w:rPr>
        <w:t xml:space="preserve">el costo del mismo. </w:t>
      </w:r>
      <w:r w:rsidR="0070054D">
        <w:rPr>
          <w:rFonts w:cs="Arial"/>
        </w:rPr>
        <w:t>Realizar</w:t>
      </w:r>
      <w:r w:rsidRPr="0077621F">
        <w:rPr>
          <w:rFonts w:cs="Arial"/>
        </w:rPr>
        <w:t xml:space="preserve"> una comparación entre el nivel de </w:t>
      </w:r>
      <w:r w:rsidR="001C71C3">
        <w:rPr>
          <w:rFonts w:cs="Arial"/>
        </w:rPr>
        <w:t>utilidad</w:t>
      </w:r>
      <w:r w:rsidRPr="0077621F">
        <w:rPr>
          <w:rFonts w:cs="Arial"/>
        </w:rPr>
        <w:t xml:space="preserve"> antes del impuesto y posterior a su establecimiento legal, modificación o inclusive su eliminación. </w:t>
      </w:r>
    </w:p>
    <w:p w14:paraId="008B9872" w14:textId="56C7DC71" w:rsidR="00C07D67" w:rsidRDefault="00C07D67" w:rsidP="00C139E7">
      <w:pPr>
        <w:spacing w:line="240" w:lineRule="auto"/>
        <w:rPr>
          <w:rFonts w:cs="Arial"/>
        </w:rPr>
      </w:pPr>
      <w:r>
        <w:rPr>
          <w:rFonts w:cs="Arial"/>
        </w:rPr>
        <w:t>Los</w:t>
      </w:r>
      <w:r w:rsidRPr="0077621F">
        <w:rPr>
          <w:rFonts w:cs="Arial"/>
        </w:rPr>
        <w:t xml:space="preserve"> encargados de la política económica deben buscar que la estructura tributaria sea: eficiente, equitativa, sencilla y flexible. Esta última característica hace referencia a los debates políticos durante largos periodos de tiempo que impiden la ejecución de reformas tributarias de manera rápida y eficaz.</w:t>
      </w:r>
      <w:r>
        <w:rPr>
          <w:rFonts w:cs="Arial"/>
        </w:rPr>
        <w:t xml:space="preserve"> </w:t>
      </w:r>
      <w:r>
        <w:rPr>
          <w:rFonts w:cs="Arial"/>
        </w:rPr>
        <w:fldChar w:fldCharType="begin" w:fldLock="1"/>
      </w:r>
      <w:r w:rsidR="00475856">
        <w:rPr>
          <w:rFonts w:cs="Arial"/>
        </w:rPr>
        <w:instrText>ADDIN CSL_CITATION {"citationItems":[{"id":"ITEM-1","itemData":{"author":[{"dropping-particle":"","family":"Stiglitz","given":"J","non-dropping-particle":"","parse-names":false,"suffix":""}],"id":"ITEM-1","issued":{"date-parts":[["2000"]]},"publisher":"W.W. Norton New York","publisher-place":"New York","title":"Economics of the public sector","type":"book"},"uris":["http://www.mendeley.com/documents/?uuid=e5e5a353-d92c-453f-9848-e5a75ebdd3c3"]}],"mendeley":{"formattedCitation":"(Stiglitz, 2000)","plainTextFormattedCitation":"(Stiglitz, 2000)","previouslyFormattedCitation":"(Stiglitz, 2000)"},"properties":{"noteIndex":0},"schema":"https://github.com/citation-style-language/schema/raw/master/csl-citation.json"}</w:instrText>
      </w:r>
      <w:r>
        <w:rPr>
          <w:rFonts w:cs="Arial"/>
        </w:rPr>
        <w:fldChar w:fldCharType="separate"/>
      </w:r>
      <w:r w:rsidRPr="00632F9C">
        <w:rPr>
          <w:rFonts w:cs="Arial"/>
          <w:noProof/>
        </w:rPr>
        <w:t>(Stiglitz, 2000)</w:t>
      </w:r>
      <w:r>
        <w:rPr>
          <w:rFonts w:cs="Arial"/>
        </w:rPr>
        <w:fldChar w:fldCharType="end"/>
      </w:r>
      <w:r>
        <w:rPr>
          <w:rFonts w:cs="Arial"/>
        </w:rPr>
        <w:t xml:space="preserve">. </w:t>
      </w:r>
    </w:p>
    <w:p w14:paraId="47E740F4" w14:textId="23CA1EE0" w:rsidR="00C07D67" w:rsidRDefault="00C07D67" w:rsidP="00C139E7">
      <w:pPr>
        <w:spacing w:line="240" w:lineRule="auto"/>
        <w:rPr>
          <w:rFonts w:cs="Arial"/>
        </w:rPr>
      </w:pPr>
      <w:r w:rsidRPr="0077621F">
        <w:rPr>
          <w:rFonts w:cs="Arial"/>
        </w:rPr>
        <w:t>Partiendo de las características ideales que debería poseer una estructura tributaria, es que se hacen necesarios los estudios de incidencia tributaria; donde se cuestione sobre quién paga verdaderamente las cargas del impuesto, quién determina su composición y sobre las reformas de impuestos consolidados.</w:t>
      </w:r>
    </w:p>
    <w:p w14:paraId="42F7296C" w14:textId="77777777" w:rsidR="00C07D67" w:rsidRDefault="00C07D67" w:rsidP="00C139E7">
      <w:pPr>
        <w:spacing w:line="240" w:lineRule="auto"/>
        <w:rPr>
          <w:rFonts w:cs="Arial"/>
        </w:rPr>
      </w:pPr>
      <w:r>
        <w:rPr>
          <w:rFonts w:cs="Arial"/>
        </w:rPr>
        <w:t>Para el tema de incidencia fiscal, se suele tratar el problema de traspaso en la carga tributaria, en el caso del IVA, el supuesto trata sobre cómo esta carga recae sobre el consumidor, sin embargo, no es del todo cierto:</w:t>
      </w:r>
    </w:p>
    <w:p w14:paraId="1EFCF3FF" w14:textId="1C0F3066" w:rsidR="00C07D67" w:rsidRDefault="00C07D67" w:rsidP="00C139E7">
      <w:pPr>
        <w:spacing w:line="240" w:lineRule="auto"/>
        <w:ind w:left="708"/>
        <w:rPr>
          <w:rFonts w:cs="Arial"/>
        </w:rPr>
      </w:pPr>
      <w:r w:rsidRPr="00415304">
        <w:rPr>
          <w:rFonts w:cs="Arial"/>
        </w:rPr>
        <w:t xml:space="preserve">Algunos aspectos críticos de los supuestos de </w:t>
      </w:r>
      <w:r>
        <w:rPr>
          <w:rFonts w:cs="Arial"/>
        </w:rPr>
        <w:t xml:space="preserve">traspaso tienen que ver con las </w:t>
      </w:r>
      <w:r w:rsidRPr="00415304">
        <w:rPr>
          <w:rFonts w:cs="Arial"/>
        </w:rPr>
        <w:t>elasticidad de demanda y las posibilidades de sustituc</w:t>
      </w:r>
      <w:r>
        <w:rPr>
          <w:rFonts w:cs="Arial"/>
        </w:rPr>
        <w:t xml:space="preserve">ión de los bienes gravados, que </w:t>
      </w:r>
      <w:r w:rsidRPr="00415304">
        <w:rPr>
          <w:rFonts w:cs="Arial"/>
        </w:rPr>
        <w:t>pueden ser resueltos incluyendo sistemas de deman</w:t>
      </w:r>
      <w:r>
        <w:rPr>
          <w:rFonts w:cs="Arial"/>
        </w:rPr>
        <w:t xml:space="preserve">da completos para los bienes de </w:t>
      </w:r>
      <w:r w:rsidRPr="00415304">
        <w:rPr>
          <w:rFonts w:cs="Arial"/>
        </w:rPr>
        <w:t>consumo y teniendo en cuenta la utilización de insumos en la producción de los bienes.</w:t>
      </w:r>
      <w:r>
        <w:rPr>
          <w:rFonts w:cs="Arial"/>
        </w:rPr>
        <w:t xml:space="preserve"> </w:t>
      </w:r>
      <w:r>
        <w:rPr>
          <w:rFonts w:cs="Arial"/>
        </w:rPr>
        <w:fldChar w:fldCharType="begin" w:fldLock="1"/>
      </w:r>
      <w:r w:rsidR="00475856">
        <w:rPr>
          <w:rFonts w:cs="Arial"/>
        </w:rPr>
        <w:instrText>ADDIN CSL_CITATION {"citationItems":[{"id":"ITEM-1","itemData":{"author":[{"dropping-particle":"","family":"Lora","given":"E","non-dropping-particle":"","parse-names":false,"suffix":""}],"container-title":"El Trimestre Económico","id":"ITEM-1","issued":{"date-parts":[["1995"]]},"page":"21-78","publisher":"JSTOR","title":"Los modelos de equilibrio general computable en análisis de incidencia fiscal","type":"article-journal"},"uris":["http://www.mendeley.com/documents/?uuid=c2424cd3-924f-4a16-bbe9-f48837230f28"]}],"mendeley":{"formattedCitation":"(Lora, 1995)","plainTextFormattedCitation":"(Lora, 1995)","previouslyFormattedCitation":"(Lora, 1995)"},"properties":{"noteIndex":0},"schema":"https://github.com/citation-style-language/schema/raw/master/csl-citation.json"}</w:instrText>
      </w:r>
      <w:r>
        <w:rPr>
          <w:rFonts w:cs="Arial"/>
        </w:rPr>
        <w:fldChar w:fldCharType="separate"/>
      </w:r>
      <w:r w:rsidRPr="00632F9C">
        <w:rPr>
          <w:rFonts w:cs="Arial"/>
          <w:noProof/>
        </w:rPr>
        <w:t>(Lora, 1995)</w:t>
      </w:r>
      <w:r>
        <w:rPr>
          <w:rFonts w:cs="Arial"/>
        </w:rPr>
        <w:fldChar w:fldCharType="end"/>
      </w:r>
      <w:r>
        <w:rPr>
          <w:rFonts w:cs="Arial"/>
        </w:rPr>
        <w:t>.</w:t>
      </w:r>
    </w:p>
    <w:p w14:paraId="6D172E27" w14:textId="2C9DB400" w:rsidR="00C07D67" w:rsidRDefault="00C07D67" w:rsidP="00C139E7">
      <w:pPr>
        <w:spacing w:line="240" w:lineRule="auto"/>
        <w:rPr>
          <w:rFonts w:cs="Arial"/>
        </w:rPr>
      </w:pPr>
      <w:r w:rsidRPr="0077621F">
        <w:rPr>
          <w:rFonts w:cs="Arial"/>
        </w:rPr>
        <w:t xml:space="preserve">Por lo tanto, en el análisis de </w:t>
      </w:r>
      <w:r w:rsidRPr="009A6311">
        <w:rPr>
          <w:rFonts w:cs="Arial"/>
        </w:rPr>
        <w:t>incidencia tributaria</w:t>
      </w:r>
      <w:r w:rsidRPr="0077621F">
        <w:rPr>
          <w:rFonts w:cs="Arial"/>
        </w:rPr>
        <w:t xml:space="preserve"> se crean hipótesis sobre cómo se trasladan los impuestos y en qué dirección. Entre los determinantes que modifican la conducta se encuentra</w:t>
      </w:r>
      <w:r w:rsidR="0070054D">
        <w:rPr>
          <w:rFonts w:cs="Arial"/>
        </w:rPr>
        <w:t>n:</w:t>
      </w:r>
      <w:r w:rsidRPr="0077621F">
        <w:rPr>
          <w:rFonts w:cs="Arial"/>
        </w:rPr>
        <w:t xml:space="preserve"> la elasticidad precio de la demanda, elasticidad precio de la oferta y la organización del mercado.</w:t>
      </w:r>
    </w:p>
    <w:p w14:paraId="501EC76F" w14:textId="3B02E008" w:rsidR="00C07D67" w:rsidRDefault="00C07D67" w:rsidP="00C139E7">
      <w:pPr>
        <w:spacing w:line="240" w:lineRule="auto"/>
        <w:rPr>
          <w:rFonts w:cs="Arial"/>
        </w:rPr>
      </w:pPr>
      <w:r w:rsidRPr="0077621F">
        <w:rPr>
          <w:rFonts w:cs="Arial"/>
        </w:rPr>
        <w:t xml:space="preserve">La propuesta de esta línea de investigación estriba sobre el </w:t>
      </w:r>
      <w:r>
        <w:rPr>
          <w:rFonts w:cs="Arial"/>
        </w:rPr>
        <w:t xml:space="preserve">efecto que tendría un aumento del impuesto al valor agregado </w:t>
      </w:r>
      <w:r w:rsidRPr="0077621F">
        <w:rPr>
          <w:rFonts w:cs="Arial"/>
        </w:rPr>
        <w:t>de aplicarse una reforma tributaria sobre los diferentes actores económicos y sociales</w:t>
      </w:r>
      <w:r w:rsidR="002C21EF">
        <w:rPr>
          <w:rFonts w:cs="Arial"/>
        </w:rPr>
        <w:t>, principalmente los hogares donde</w:t>
      </w:r>
      <w:r w:rsidRPr="0077621F">
        <w:rPr>
          <w:rFonts w:cs="Arial"/>
        </w:rPr>
        <w:t xml:space="preserve"> se pued</w:t>
      </w:r>
      <w:r w:rsidR="002C21EF">
        <w:rPr>
          <w:rFonts w:cs="Arial"/>
        </w:rPr>
        <w:t>e</w:t>
      </w:r>
      <w:r w:rsidRPr="0077621F">
        <w:rPr>
          <w:rFonts w:cs="Arial"/>
        </w:rPr>
        <w:t xml:space="preserve"> determinar si la estructura </w:t>
      </w:r>
      <w:r>
        <w:rPr>
          <w:rFonts w:cs="Arial"/>
        </w:rPr>
        <w:t>del impuesto</w:t>
      </w:r>
      <w:r w:rsidRPr="0077621F">
        <w:rPr>
          <w:rFonts w:cs="Arial"/>
        </w:rPr>
        <w:t xml:space="preserve"> actual es </w:t>
      </w:r>
      <w:r>
        <w:rPr>
          <w:rFonts w:cs="Arial"/>
        </w:rPr>
        <w:t>efectivamente es regresiva; “la discusión actual, recae sobre dos ámbitos, en la facilidad del lleva para movilizar recursos al fisco y la naturaleza regresiva del IVA”</w:t>
      </w:r>
      <w:r w:rsidRPr="0077621F">
        <w:rPr>
          <w:rFonts w:cs="Arial"/>
        </w:rPr>
        <w:t>.</w:t>
      </w:r>
      <w:r>
        <w:rPr>
          <w:rFonts w:cs="Arial"/>
        </w:rPr>
        <w:t xml:space="preserve"> </w:t>
      </w:r>
      <w:r w:rsidRPr="003B2DC2">
        <w:rPr>
          <w:rFonts w:cs="Arial"/>
        </w:rPr>
        <w:t>(G. Hernández, comunicación personal, 19 de abril del 2017)</w:t>
      </w:r>
      <w:r>
        <w:rPr>
          <w:rFonts w:cs="Arial"/>
        </w:rPr>
        <w:t>.</w:t>
      </w:r>
    </w:p>
    <w:p w14:paraId="71826E31" w14:textId="77777777" w:rsidR="00C07D67" w:rsidRPr="003B2DC2" w:rsidRDefault="00C07D67" w:rsidP="00C139E7">
      <w:pPr>
        <w:spacing w:line="240" w:lineRule="auto"/>
        <w:rPr>
          <w:rFonts w:cs="Arial"/>
        </w:rPr>
      </w:pPr>
      <w:r w:rsidRPr="0077621F">
        <w:rPr>
          <w:rFonts w:cs="Arial"/>
        </w:rPr>
        <w:t>En cuanto a los modelos de análisis de incidencia tributaria, la literatura económica describe dos tipos de modelos:  modelos de equilibrio parcial y modelos de equilibrio general</w:t>
      </w:r>
      <w:r>
        <w:rPr>
          <w:rFonts w:cs="Arial"/>
        </w:rPr>
        <w:t xml:space="preserve">, donde en algunos casos; “los resultados obtenidos en los modelos de </w:t>
      </w:r>
      <w:r>
        <w:rPr>
          <w:rFonts w:cs="Arial"/>
        </w:rPr>
        <w:lastRenderedPageBreak/>
        <w:t>equilibrio parcial son tan buenos como los obtenidos en los modelos de equilibrio general”</w:t>
      </w:r>
      <w:r w:rsidRPr="0077621F">
        <w:rPr>
          <w:rFonts w:cs="Arial"/>
        </w:rPr>
        <w:t>.</w:t>
      </w:r>
      <w:r w:rsidRPr="00EA11E8">
        <w:rPr>
          <w:rFonts w:cs="Arial"/>
        </w:rPr>
        <w:t xml:space="preserve"> </w:t>
      </w:r>
      <w:r w:rsidRPr="003B2DC2">
        <w:rPr>
          <w:rFonts w:cs="Arial"/>
        </w:rPr>
        <w:t>(F. Herrero, comunicación personal, 6 de abril del 2017).</w:t>
      </w:r>
    </w:p>
    <w:p w14:paraId="70E347C5" w14:textId="486BFF2F" w:rsidR="00C07D67" w:rsidRDefault="00C07D67" w:rsidP="00C139E7">
      <w:pPr>
        <w:spacing w:line="240" w:lineRule="auto"/>
        <w:rPr>
          <w:rFonts w:cs="Arial"/>
        </w:rPr>
      </w:pPr>
      <w:r w:rsidRPr="0077621F">
        <w:rPr>
          <w:rFonts w:cs="Arial"/>
        </w:rPr>
        <w:t xml:space="preserve">Los modelos de equilibrio parcial estudian un mercado en particular donde se establece el impuesto, dejando al margen las ramificaciones de los otros mercados, por </w:t>
      </w:r>
      <w:r>
        <w:rPr>
          <w:rFonts w:cs="Arial"/>
        </w:rPr>
        <w:t>ejemplo;</w:t>
      </w:r>
      <w:r w:rsidRPr="0077621F">
        <w:rPr>
          <w:rFonts w:cs="Arial"/>
        </w:rPr>
        <w:t xml:space="preserve"> un impuesto a las bebidas alcohólicas, impuesto a los cigarrillos, etc.  Este tipo de estudio analiza la oferta y la demanda en un entorno del mercado afectado, para productores y consumidores.  La práctica generalizada es realizar este tipo de estudio por la sencillez y </w:t>
      </w:r>
      <w:r w:rsidR="00373011">
        <w:rPr>
          <w:rFonts w:cs="Arial"/>
        </w:rPr>
        <w:t>obtención de resultados rápidamente</w:t>
      </w:r>
      <w:r w:rsidRPr="0077621F">
        <w:rPr>
          <w:rFonts w:cs="Arial"/>
        </w:rPr>
        <w:t>.</w:t>
      </w:r>
      <w:r>
        <w:rPr>
          <w:rFonts w:cs="Arial"/>
        </w:rPr>
        <w:t xml:space="preserve"> Pero c</w:t>
      </w:r>
      <w:r w:rsidRPr="0077621F">
        <w:rPr>
          <w:rFonts w:cs="Arial"/>
        </w:rPr>
        <w:t>uando se quiere analizar la incidencia total de una reforma y su relación con la economía</w:t>
      </w:r>
      <w:r>
        <w:rPr>
          <w:rFonts w:cs="Arial"/>
        </w:rPr>
        <w:t xml:space="preserve">, </w:t>
      </w:r>
      <w:r w:rsidRPr="00C87690">
        <w:rPr>
          <w:rFonts w:cs="Arial"/>
        </w:rPr>
        <w:t xml:space="preserve">la literatura cita que los modelos de equilibrio general es </w:t>
      </w:r>
      <w:r w:rsidR="00373011">
        <w:rPr>
          <w:rFonts w:cs="Arial"/>
        </w:rPr>
        <w:t>el marco</w:t>
      </w:r>
      <w:r w:rsidRPr="00C87690">
        <w:rPr>
          <w:rFonts w:cs="Arial"/>
        </w:rPr>
        <w:t xml:space="preserve"> adecuado para determinar la incidencia de los impuestos</w:t>
      </w:r>
      <w:r w:rsidR="00373011">
        <w:rPr>
          <w:rFonts w:cs="Arial"/>
        </w:rPr>
        <w:t>.</w:t>
      </w:r>
    </w:p>
    <w:p w14:paraId="2C92316C" w14:textId="33134951" w:rsidR="00C07D67" w:rsidRDefault="00C07D67" w:rsidP="00C139E7">
      <w:pPr>
        <w:spacing w:line="240" w:lineRule="auto"/>
        <w:rPr>
          <w:rFonts w:cs="Arial"/>
        </w:rPr>
      </w:pPr>
      <w:r>
        <w:rPr>
          <w:rFonts w:cs="Arial"/>
        </w:rPr>
        <w:t xml:space="preserve">Asimismo, la diferenciación sectorial, permite realizar distintos tipos de simulaciones, dependiendo de las variables de interés, que en el caso de incidencia seria la alícuota para el IVA, se podría ejecutar un “shock” sobre todo el sistema. Los MEGC permiten tener un </w:t>
      </w:r>
      <w:r w:rsidR="006D1867">
        <w:rPr>
          <w:rFonts w:cs="Arial"/>
        </w:rPr>
        <w:t>amplio rango</w:t>
      </w:r>
      <w:r>
        <w:rPr>
          <w:rFonts w:cs="Arial"/>
        </w:rPr>
        <w:t xml:space="preserve"> de acción para la política económica</w:t>
      </w:r>
      <w:r w:rsidR="006D1867">
        <w:rPr>
          <w:rFonts w:cs="Arial"/>
        </w:rPr>
        <w:t>,</w:t>
      </w:r>
      <w:r>
        <w:rPr>
          <w:rFonts w:cs="Arial"/>
        </w:rPr>
        <w:t xml:space="preserve"> de forma global </w:t>
      </w:r>
      <w:r w:rsidR="006D1867">
        <w:rPr>
          <w:rFonts w:cs="Arial"/>
        </w:rPr>
        <w:t>en el</w:t>
      </w:r>
      <w:r>
        <w:rPr>
          <w:rFonts w:cs="Arial"/>
        </w:rPr>
        <w:t xml:space="preserve"> sistema tributario, sin tener que realizar distinciones por impuesto. </w:t>
      </w:r>
      <w:r>
        <w:rPr>
          <w:rFonts w:cs="Arial"/>
        </w:rPr>
        <w:fldChar w:fldCharType="begin" w:fldLock="1"/>
      </w:r>
      <w:r w:rsidR="00475856">
        <w:rPr>
          <w:rFonts w:cs="Arial"/>
        </w:rPr>
        <w:instrText>ADDIN CSL_CITATION {"citationItems":[{"id":"ITEM-1","itemData":{"author":[{"dropping-particle":"","family":"Lora","given":"E","non-dropping-particle":"","parse-names":false,"suffix":""}],"container-title":"El Trimestre Económico","id":"ITEM-1","issued":{"date-parts":[["1995"]]},"page":"21-78","publisher":"JSTOR","title":"Los modelos de equilibrio general computable en análisis de incidencia fiscal","type":"article-journal"},"uris":["http://www.mendeley.com/documents/?uuid=c2424cd3-924f-4a16-bbe9-f48837230f28"]}],"mendeley":{"formattedCitation":"(Lora, 1995)","plainTextFormattedCitation":"(Lora, 1995)","previouslyFormattedCitation":"(Lora, 1995)"},"properties":{"noteIndex":0},"schema":"https://github.com/citation-style-language/schema/raw/master/csl-citation.json"}</w:instrText>
      </w:r>
      <w:r>
        <w:rPr>
          <w:rFonts w:cs="Arial"/>
        </w:rPr>
        <w:fldChar w:fldCharType="separate"/>
      </w:r>
      <w:r w:rsidRPr="00632F9C">
        <w:rPr>
          <w:rFonts w:cs="Arial"/>
          <w:noProof/>
        </w:rPr>
        <w:t>(Lora, 1995)</w:t>
      </w:r>
      <w:r>
        <w:rPr>
          <w:rFonts w:cs="Arial"/>
        </w:rPr>
        <w:fldChar w:fldCharType="end"/>
      </w:r>
      <w:r>
        <w:rPr>
          <w:rFonts w:cs="Arial"/>
        </w:rPr>
        <w:t>.</w:t>
      </w:r>
    </w:p>
    <w:p w14:paraId="3BABB955" w14:textId="77777777" w:rsidR="00C07D67" w:rsidRDefault="00C07D67" w:rsidP="00C139E7">
      <w:pPr>
        <w:spacing w:line="240" w:lineRule="auto"/>
        <w:rPr>
          <w:rFonts w:cs="Arial"/>
        </w:rPr>
      </w:pPr>
      <w:r w:rsidRPr="0077621F">
        <w:rPr>
          <w:rFonts w:cs="Arial"/>
        </w:rPr>
        <w:t>Los modelos de equilibrio general toman en cuenta la interrelación que existe entre los mercados, los consumidores, los productores y los factores de producción.  La formalización de este tipo de modelos en principio es compleja, pero con delimitaciones de factores de producción, agentes económicos, impuestos y especificaciones funcionales,</w:t>
      </w:r>
      <w:r>
        <w:rPr>
          <w:rFonts w:cs="Arial"/>
        </w:rPr>
        <w:t xml:space="preserve"> además del uso de MCS</w:t>
      </w:r>
      <w:r w:rsidRPr="0077621F">
        <w:rPr>
          <w:rFonts w:cs="Arial"/>
        </w:rPr>
        <w:t>,</w:t>
      </w:r>
      <w:r>
        <w:rPr>
          <w:rFonts w:cs="Arial"/>
        </w:rPr>
        <w:t xml:space="preserve"> </w:t>
      </w:r>
      <w:r w:rsidRPr="0077621F">
        <w:rPr>
          <w:rFonts w:cs="Arial"/>
        </w:rPr>
        <w:t xml:space="preserve">la resolución de los mismo se torna viable y muy significativa para analizar los efectos de un impuesto sobre toda la economía. </w:t>
      </w:r>
    </w:p>
    <w:p w14:paraId="65300566" w14:textId="4E230B03" w:rsidR="00C07D67" w:rsidRDefault="00C07D67" w:rsidP="00C139E7">
      <w:pPr>
        <w:spacing w:line="240" w:lineRule="auto"/>
        <w:rPr>
          <w:rFonts w:cs="Arial"/>
        </w:rPr>
      </w:pPr>
      <w:r w:rsidRPr="00BC647A">
        <w:rPr>
          <w:rFonts w:cs="Arial"/>
        </w:rPr>
        <w:t>La especificación del modelo es libre en la implementación de ecuaciones, sin embargo, es necesario que tenga consistencia con la teoría económica, tomando entonces como base una te</w:t>
      </w:r>
      <w:r>
        <w:rPr>
          <w:rFonts w:cs="Arial"/>
        </w:rPr>
        <w:t xml:space="preserve">oría ya expuesta, lo cual es una distinción importante de los modelos econométricos de vectores autorregresivos </w:t>
      </w:r>
      <w:r w:rsidRPr="00C3585D">
        <w:rPr>
          <w:rFonts w:cs="Arial"/>
        </w:rPr>
        <w:t>(VAR</w:t>
      </w:r>
      <w:r>
        <w:rPr>
          <w:rFonts w:cs="Arial"/>
        </w:rPr>
        <w:t>), “</w:t>
      </w:r>
      <w:r w:rsidRPr="00C3585D">
        <w:rPr>
          <w:rFonts w:cs="Arial"/>
        </w:rPr>
        <w:t xml:space="preserve">Pero la estrategia básica de modelado con modelos VAR va de los datos a la teoría. Con el modelado </w:t>
      </w:r>
      <w:r w:rsidR="006D1867">
        <w:rPr>
          <w:rFonts w:cs="Arial"/>
        </w:rPr>
        <w:t>MEG</w:t>
      </w:r>
      <w:r w:rsidR="002512E5">
        <w:rPr>
          <w:rFonts w:cs="Arial"/>
        </w:rPr>
        <w:t>C</w:t>
      </w:r>
      <w:r w:rsidRPr="00C3585D">
        <w:rPr>
          <w:rFonts w:cs="Arial"/>
        </w:rPr>
        <w:t xml:space="preserve"> es al revés - uno comienza con el modelo teórico, y luego encuentra los datos </w:t>
      </w:r>
      <w:r>
        <w:rPr>
          <w:rFonts w:cs="Arial"/>
        </w:rPr>
        <w:t xml:space="preserve">que se ajusta a la construcción”. </w:t>
      </w:r>
      <w:r>
        <w:rPr>
          <w:rFonts w:cs="Arial"/>
        </w:rPr>
        <w:fldChar w:fldCharType="begin" w:fldLock="1"/>
      </w:r>
      <w:r w:rsidR="00475856">
        <w:rPr>
          <w:rFonts w:cs="Arial"/>
        </w:rPr>
        <w:instrText>ADDIN CSL_CITATION {"citationItems":[{"id":"ITEM-1","itemData":{"abstract":"This paper gives an introduction to Computable General Equilibrium (CGE) modelling, and presents an application of the technique to the analysis of the Europe Agreements between the EU and Hungary, Poland and the former Czechoslovakia. The main purpose of the paper is to illustrate the method, rather than present a state-of-the-art analysis. The CGE-approach makes it possible to pursue the analysis further than possible with analytic methods, and it can yield qualitative as well as quantitative results. A model is presented, and it is used to analyse the consequences of the Europe Agreements as well as the sensitivity of the results to important assumptions. The analysis shows only mod- est long run gains for the Eastern European countries (around 1-2% of GDP per year), and very small gains for the EU countries. The sensiti- vity analysis shows that the results are relatively robust to the way the model is calibrated. *","author":[{"dropping-particle":"","family":"Petersen","given":"Toke Ward","non-dropping-particle":"","parse-names":false,"suffix":""}],"container-title":"Kobenhavns Universitet, Ekonomisk Institut","id":"ITEM-1","issue":"4","issued":{"date-parts":[["1997"]]},"page":"1-19","title":"An introduction to CGE-modelling and an illustrative application to Eastern European Integration with the EU","type":"article-journal","volume":"98"},"uris":["http://www.mendeley.com/documents/?uuid=957c6fbd-87ab-49a3-9a29-88e7bde1f717"]}],"mendeley":{"formattedCitation":"(Petersen, 1997)","plainTextFormattedCitation":"(Petersen, 1997)","previouslyFormattedCitation":"(Petersen, 1997)"},"properties":{"noteIndex":0},"schema":"https://github.com/citation-style-language/schema/raw/master/csl-citation.json"}</w:instrText>
      </w:r>
      <w:r>
        <w:rPr>
          <w:rFonts w:cs="Arial"/>
        </w:rPr>
        <w:fldChar w:fldCharType="separate"/>
      </w:r>
      <w:r w:rsidRPr="00632F9C">
        <w:rPr>
          <w:rFonts w:cs="Arial"/>
          <w:noProof/>
        </w:rPr>
        <w:t>(Petersen, 1997)</w:t>
      </w:r>
      <w:r>
        <w:rPr>
          <w:rFonts w:cs="Arial"/>
        </w:rPr>
        <w:fldChar w:fldCharType="end"/>
      </w:r>
      <w:r>
        <w:rPr>
          <w:rFonts w:cs="Arial"/>
        </w:rPr>
        <w:t>.</w:t>
      </w:r>
    </w:p>
    <w:p w14:paraId="439BE112" w14:textId="3693903E" w:rsidR="00C07D67" w:rsidRDefault="00C07D67" w:rsidP="00C139E7">
      <w:pPr>
        <w:spacing w:line="240" w:lineRule="auto"/>
        <w:rPr>
          <w:rFonts w:cs="Arial"/>
        </w:rPr>
      </w:pPr>
      <w:r w:rsidRPr="00BC647A">
        <w:rPr>
          <w:rFonts w:cs="Arial"/>
        </w:rPr>
        <w:t>El avance que se ha conseguido en la tecnología, con los computadores actuales permiten que la implementación de estos modelos sea m</w:t>
      </w:r>
      <w:r>
        <w:rPr>
          <w:rFonts w:cs="Arial"/>
        </w:rPr>
        <w:t xml:space="preserve">ás sencilla que en algunos años, </w:t>
      </w:r>
      <w:r w:rsidRPr="00BC647A">
        <w:rPr>
          <w:rFonts w:cs="Arial"/>
          <w:color w:val="231F20"/>
        </w:rPr>
        <w:t>donde los resultados se pueden obtener en tiempo real.</w:t>
      </w:r>
      <w:r>
        <w:rPr>
          <w:rFonts w:cs="Arial"/>
          <w:color w:val="231F20"/>
        </w:rPr>
        <w:t xml:space="preserve"> Además, la</w:t>
      </w:r>
      <w:r>
        <w:rPr>
          <w:rFonts w:cs="Arial"/>
        </w:rPr>
        <w:t xml:space="preserve"> cantidad de paquetes estadísticos existentes han dado a origen a modelos de gran escala en GAMS. </w:t>
      </w:r>
      <w:r>
        <w:rPr>
          <w:rFonts w:cs="Arial"/>
        </w:rPr>
        <w:fldChar w:fldCharType="begin" w:fldLock="1"/>
      </w:r>
      <w:r w:rsidR="00475856">
        <w:rPr>
          <w:rFonts w:cs="Arial"/>
        </w:rPr>
        <w:instrText>ADDIN CSL_CITATION {"citationItems":[{"id":"ITEM-1","itemData":{"ISBN":"9789509445710","author":[{"dropping-particle":"","family":"Chisari","given":"Omar","non-dropping-particle":"","parse-names":false,"suffix":""},{"dropping-particle":"","family":"Guillermo","given":"J","non-dropping-particle":"","parse-names":false,"suffix":""},{"dropping-particle":"","family":"Heymann","given":"Daniel","non-dropping-particle":"","parse-names":false,"suffix":""},{"dropping-particle":"","family":"Kawamura","given":"Enrique","non-dropping-particle":"","parse-names":false,"suffix":""},{"dropping-particle":"","family":"Perazzo","given":"Roberto","non-dropping-particle":"","parse-names":false,"suffix":""},{"dropping-particle":"","family":"Romero","given":"Carlos A","non-dropping-particle":"","parse-names":false,"suffix":""},{"dropping-particle":"","family":"Zimmermann","given":"Martín","non-dropping-particle":"","parse-names":false,"suffix":""}],"edition":"1a","id":"ITEM-1","issued":{"date-parts":[["2009"]]},"publisher":"Temas Grupo Editorial","publisher-place":"Buenos Aires","title":"Progresos en Economía Computacional","type":"book"},"uris":["http://www.mendeley.com/documents/?uuid=e76589d0-969c-4f2f-b1f6-0f822f13b0f6"]}],"mendeley":{"formattedCitation":"(O. Chisari et al., 2009)","plainTextFormattedCitation":"(O. Chisari et al., 2009)","previouslyFormattedCitation":"(O. Chisari et al., 2009)"},"properties":{"noteIndex":0},"schema":"https://github.com/citation-style-language/schema/raw/master/csl-citation.json"}</w:instrText>
      </w:r>
      <w:r>
        <w:rPr>
          <w:rFonts w:cs="Arial"/>
        </w:rPr>
        <w:fldChar w:fldCharType="separate"/>
      </w:r>
      <w:r w:rsidR="00801FC7" w:rsidRPr="00801FC7">
        <w:rPr>
          <w:rFonts w:cs="Arial"/>
          <w:noProof/>
        </w:rPr>
        <w:t>(O. Chisari et al., 2009)</w:t>
      </w:r>
      <w:r>
        <w:rPr>
          <w:rFonts w:cs="Arial"/>
        </w:rPr>
        <w:fldChar w:fldCharType="end"/>
      </w:r>
      <w:r w:rsidRPr="00BC647A">
        <w:rPr>
          <w:rFonts w:cs="Arial"/>
        </w:rPr>
        <w:t>.</w:t>
      </w:r>
      <w:r>
        <w:rPr>
          <w:rFonts w:cs="Arial"/>
        </w:rPr>
        <w:t xml:space="preserve"> </w:t>
      </w:r>
    </w:p>
    <w:p w14:paraId="3D31520D" w14:textId="2154B273" w:rsidR="00C07D67" w:rsidRDefault="00C07D67" w:rsidP="00C139E7">
      <w:pPr>
        <w:spacing w:line="240" w:lineRule="auto"/>
        <w:rPr>
          <w:rFonts w:cs="Arial"/>
        </w:rPr>
      </w:pPr>
      <w:r>
        <w:rPr>
          <w:rFonts w:cs="Arial"/>
        </w:rPr>
        <w:t>En el caso de Costa Rica, los estudios del tema de incidencia se han analizado mediante indicadores estadísticos; el</w:t>
      </w:r>
      <w:r w:rsidRPr="00CA103A">
        <w:rPr>
          <w:rFonts w:cs="Arial"/>
        </w:rPr>
        <w:t xml:space="preserve"> coeficiente de Gini, la curva de Lorenz, la curva de concentración de impuestos y el coeficiente de </w:t>
      </w:r>
      <w:r>
        <w:rPr>
          <w:rFonts w:cs="Arial"/>
        </w:rPr>
        <w:t>Kakwani</w:t>
      </w:r>
      <w:r w:rsidRPr="00CA103A">
        <w:rPr>
          <w:rFonts w:cs="Arial"/>
        </w:rPr>
        <w:t>,</w:t>
      </w:r>
      <w:r>
        <w:rPr>
          <w:rFonts w:cs="Arial"/>
        </w:rPr>
        <w:t xml:space="preserve"> asumiendo el supuesto mencionado anteriormente, como es el caso de la incidencia del IGV en Costa Rica y no desde una perspectiva de equilibrio general. </w:t>
      </w:r>
      <w:r>
        <w:rPr>
          <w:rFonts w:cs="Arial"/>
        </w:rPr>
        <w:fldChar w:fldCharType="begin" w:fldLock="1"/>
      </w:r>
      <w:r w:rsidR="00475856">
        <w:rPr>
          <w:rFonts w:cs="Arial"/>
        </w:rPr>
        <w:instrText>ADDIN CSL_CITATION {"citationItems":[{"id":"ITEM-1","itemData":{"author":[{"dropping-particle":"","family":"Cardoza","given":"D","non-dropping-particle":"","parse-names":false,"suffix":""},{"dropping-particle":"","family":"Vargas","given":"H","non-dropping-particle":"","parse-names":false,"suffix":""}],"container-title":"INEC","id":"ITEM-1","issued":{"date-parts":[["2004"]]},"publisher-place":"San José","title":"Incidencia tributaria del impuesto sobre las ventas: el caso de Costa Rica","type":"report"},"uris":["http://www.mendeley.com/documents/?uuid=1f210084-9e21-4792-aba5-26a4e5b7c021"]}],"mendeley":{"formattedCitation":"(Cardoza &amp; Vargas, 2004)","plainTextFormattedCitation":"(Cardoza &amp; Vargas, 2004)","previouslyFormattedCitation":"(Cardoza &amp; Vargas, 2004)"},"properties":{"noteIndex":0},"schema":"https://github.com/citation-style-language/schema/raw/master/csl-citation.json"}</w:instrText>
      </w:r>
      <w:r>
        <w:rPr>
          <w:rFonts w:cs="Arial"/>
        </w:rPr>
        <w:fldChar w:fldCharType="separate"/>
      </w:r>
      <w:r w:rsidRPr="00632F9C">
        <w:rPr>
          <w:rFonts w:cs="Arial"/>
          <w:noProof/>
        </w:rPr>
        <w:t>(Cardoza &amp; Vargas, 2004)</w:t>
      </w:r>
      <w:r>
        <w:rPr>
          <w:rFonts w:cs="Arial"/>
        </w:rPr>
        <w:fldChar w:fldCharType="end"/>
      </w:r>
      <w:r>
        <w:rPr>
          <w:rFonts w:cs="Arial"/>
        </w:rPr>
        <w:t>.</w:t>
      </w:r>
    </w:p>
    <w:p w14:paraId="46E54EC6" w14:textId="3ACCCFF6" w:rsidR="00C07D67" w:rsidRDefault="00C07D67" w:rsidP="00C139E7">
      <w:pPr>
        <w:spacing w:line="240" w:lineRule="auto"/>
        <w:rPr>
          <w:rFonts w:cs="Arial"/>
        </w:rPr>
      </w:pPr>
      <w:r w:rsidRPr="0077621F">
        <w:rPr>
          <w:rFonts w:cs="Arial"/>
        </w:rPr>
        <w:t>Para brindar un mayor valor a las investigaciones en materia fiscal, se hace necesario realizar estudios cada vez más completos y de mayor rigurosidad para comprender la problemática fiscal que enfrenta Costa Rica y ante el advenimiento de una potencial reforma fiscal, conocer con detalles analíticos los efectos en distribución, precios y crecimiento de la economía</w:t>
      </w:r>
      <w:r w:rsidR="006524EB">
        <w:rPr>
          <w:rFonts w:cs="Arial"/>
        </w:rPr>
        <w:t xml:space="preserve"> es </w:t>
      </w:r>
      <w:r w:rsidR="008A498D">
        <w:rPr>
          <w:rFonts w:cs="Arial"/>
        </w:rPr>
        <w:t>fundamental</w:t>
      </w:r>
      <w:r w:rsidRPr="0077621F">
        <w:rPr>
          <w:rFonts w:cs="Arial"/>
        </w:rPr>
        <w:t xml:space="preserve">.  </w:t>
      </w:r>
    </w:p>
    <w:p w14:paraId="0D3847A9" w14:textId="24C6878C" w:rsidR="00C07D67" w:rsidRDefault="00C07D67" w:rsidP="001304DE">
      <w:pPr>
        <w:spacing w:line="240" w:lineRule="auto"/>
        <w:rPr>
          <w:rFonts w:cs="Arial"/>
        </w:rPr>
      </w:pPr>
      <w:r w:rsidRPr="0077621F">
        <w:rPr>
          <w:rFonts w:cs="Arial"/>
        </w:rPr>
        <w:lastRenderedPageBreak/>
        <w:t>Descrito lo anterior, en el Proyecto de Estudios Fiscales</w:t>
      </w:r>
      <w:r w:rsidR="0013634F">
        <w:rPr>
          <w:rFonts w:cs="Arial"/>
        </w:rPr>
        <w:t xml:space="preserve"> de la Escuela de Economía de la Universidad Nacional</w:t>
      </w:r>
      <w:r w:rsidRPr="0077621F">
        <w:rPr>
          <w:rFonts w:cs="Arial"/>
        </w:rPr>
        <w:t xml:space="preserve">, se propone la construcción de un </w:t>
      </w:r>
      <w:r w:rsidR="00D43C4B">
        <w:rPr>
          <w:rFonts w:cs="Arial"/>
        </w:rPr>
        <w:t>M</w:t>
      </w:r>
      <w:r>
        <w:rPr>
          <w:rFonts w:cs="Arial"/>
        </w:rPr>
        <w:t>odelo</w:t>
      </w:r>
      <w:r w:rsidRPr="0077621F">
        <w:rPr>
          <w:rFonts w:cs="Arial"/>
        </w:rPr>
        <w:t xml:space="preserve"> de </w:t>
      </w:r>
      <w:r w:rsidR="00D43C4B">
        <w:rPr>
          <w:rFonts w:cs="Arial"/>
        </w:rPr>
        <w:t>E</w:t>
      </w:r>
      <w:r w:rsidRPr="0077621F">
        <w:rPr>
          <w:rFonts w:cs="Arial"/>
        </w:rPr>
        <w:t xml:space="preserve">quilibrio </w:t>
      </w:r>
      <w:r w:rsidR="00D43C4B">
        <w:rPr>
          <w:rFonts w:cs="Arial"/>
        </w:rPr>
        <w:t>G</w:t>
      </w:r>
      <w:r w:rsidRPr="0077621F">
        <w:rPr>
          <w:rFonts w:cs="Arial"/>
        </w:rPr>
        <w:t>eneral para el análisis de incidencia tributaria, ya que gozan de un gran reconocimiento científico entre los que realizan la política fiscal</w:t>
      </w:r>
      <w:r w:rsidR="00444A6C">
        <w:rPr>
          <w:rFonts w:cs="Arial"/>
        </w:rPr>
        <w:t>, postu</w:t>
      </w:r>
      <w:r w:rsidR="00ED010A">
        <w:rPr>
          <w:rFonts w:cs="Arial"/>
        </w:rPr>
        <w:t>lando el p</w:t>
      </w:r>
      <w:r w:rsidR="001304DE">
        <w:rPr>
          <w:rFonts w:cs="Arial"/>
        </w:rPr>
        <w:t xml:space="preserve">roblema: </w:t>
      </w:r>
      <w:r w:rsidRPr="00BC647A">
        <w:rPr>
          <w:rFonts w:cs="Arial"/>
        </w:rPr>
        <w:t xml:space="preserve">¿Cómo desarrollar un </w:t>
      </w:r>
      <w:r w:rsidR="00C17D01">
        <w:rPr>
          <w:rFonts w:cs="Arial"/>
        </w:rPr>
        <w:t>M</w:t>
      </w:r>
      <w:r w:rsidRPr="00BC647A">
        <w:rPr>
          <w:rFonts w:cs="Arial"/>
        </w:rPr>
        <w:t xml:space="preserve">odelo </w:t>
      </w:r>
      <w:r>
        <w:rPr>
          <w:rFonts w:cs="Arial"/>
        </w:rPr>
        <w:t xml:space="preserve">de </w:t>
      </w:r>
      <w:r w:rsidR="00C17D01">
        <w:rPr>
          <w:rFonts w:cs="Arial"/>
        </w:rPr>
        <w:t>E</w:t>
      </w:r>
      <w:r>
        <w:rPr>
          <w:rFonts w:cs="Arial"/>
        </w:rPr>
        <w:t xml:space="preserve">quilibrio </w:t>
      </w:r>
      <w:r w:rsidR="00C17D01">
        <w:rPr>
          <w:rFonts w:cs="Arial"/>
        </w:rPr>
        <w:t>G</w:t>
      </w:r>
      <w:r>
        <w:rPr>
          <w:rFonts w:cs="Arial"/>
        </w:rPr>
        <w:t xml:space="preserve">eneral </w:t>
      </w:r>
      <w:r w:rsidR="00C17D01">
        <w:rPr>
          <w:rFonts w:cs="Arial"/>
        </w:rPr>
        <w:t>C</w:t>
      </w:r>
      <w:r>
        <w:rPr>
          <w:rFonts w:cs="Arial"/>
        </w:rPr>
        <w:t xml:space="preserve">omputable </w:t>
      </w:r>
      <w:r w:rsidRPr="00BC647A">
        <w:rPr>
          <w:rFonts w:cs="Arial"/>
        </w:rPr>
        <w:t>para la toma de decisiones política pública</w:t>
      </w:r>
      <w:r>
        <w:rPr>
          <w:rFonts w:cs="Arial"/>
        </w:rPr>
        <w:t xml:space="preserve"> ante una reforma fiscal del Impuesto al Valor A</w:t>
      </w:r>
      <w:r w:rsidRPr="00BC647A">
        <w:rPr>
          <w:rFonts w:cs="Arial"/>
        </w:rPr>
        <w:t>gregado?</w:t>
      </w:r>
      <w:r w:rsidR="001304DE">
        <w:rPr>
          <w:rFonts w:cs="Arial"/>
        </w:rPr>
        <w:t>.</w:t>
      </w:r>
    </w:p>
    <w:p w14:paraId="644F41A5" w14:textId="77777777" w:rsidR="0001271D" w:rsidRPr="00BC647A" w:rsidRDefault="0001271D" w:rsidP="001412EF">
      <w:pPr>
        <w:pStyle w:val="ListParagraph"/>
        <w:spacing w:line="240" w:lineRule="auto"/>
        <w:rPr>
          <w:rFonts w:cs="Arial"/>
        </w:rPr>
      </w:pPr>
    </w:p>
    <w:p w14:paraId="6A6EFE0B" w14:textId="05E71BF0" w:rsidR="002348BA" w:rsidRPr="004628D3" w:rsidRDefault="00862F01" w:rsidP="00C139E7">
      <w:pPr>
        <w:pStyle w:val="Heading2"/>
        <w:spacing w:line="240" w:lineRule="auto"/>
      </w:pPr>
      <w:bookmarkStart w:id="18" w:name="_Toc2853747"/>
      <w:r w:rsidRPr="004628D3">
        <w:t xml:space="preserve">1.4 </w:t>
      </w:r>
      <w:r w:rsidR="002348BA" w:rsidRPr="004628D3">
        <w:t>Objetivos</w:t>
      </w:r>
      <w:r w:rsidR="002D1D26" w:rsidRPr="004628D3">
        <w:t xml:space="preserve"> de la </w:t>
      </w:r>
      <w:r w:rsidR="004F371E" w:rsidRPr="004628D3">
        <w:t>I</w:t>
      </w:r>
      <w:r w:rsidR="002D1D26" w:rsidRPr="004628D3">
        <w:t>nvestigación</w:t>
      </w:r>
      <w:r w:rsidR="002348BA" w:rsidRPr="004628D3">
        <w:t>:</w:t>
      </w:r>
      <w:bookmarkEnd w:id="18"/>
    </w:p>
    <w:p w14:paraId="41E4008A" w14:textId="4DBEF80C" w:rsidR="002348BA" w:rsidRPr="004628D3" w:rsidRDefault="00F10608" w:rsidP="00644A7D">
      <w:pPr>
        <w:pStyle w:val="Heading3"/>
      </w:pPr>
      <w:bookmarkStart w:id="19" w:name="_Toc2853748"/>
      <w:r w:rsidRPr="004628D3">
        <w:t>1.4</w:t>
      </w:r>
      <w:r w:rsidR="00BD4200" w:rsidRPr="004628D3">
        <w:t xml:space="preserve">.1 </w:t>
      </w:r>
      <w:r w:rsidR="002348BA" w:rsidRPr="004628D3">
        <w:t>Objetivo General:</w:t>
      </w:r>
      <w:bookmarkEnd w:id="19"/>
      <w:r w:rsidR="002348BA" w:rsidRPr="004628D3">
        <w:t xml:space="preserve"> </w:t>
      </w:r>
    </w:p>
    <w:p w14:paraId="62F58007" w14:textId="26FD380F" w:rsidR="002348BA" w:rsidRPr="004628D3" w:rsidRDefault="002348BA" w:rsidP="00C139E7">
      <w:pPr>
        <w:pStyle w:val="ListParagraph"/>
        <w:numPr>
          <w:ilvl w:val="0"/>
          <w:numId w:val="3"/>
        </w:numPr>
        <w:spacing w:line="240" w:lineRule="auto"/>
        <w:rPr>
          <w:rFonts w:cs="Arial"/>
        </w:rPr>
      </w:pPr>
      <w:r w:rsidRPr="004628D3">
        <w:rPr>
          <w:rFonts w:cs="Arial"/>
        </w:rPr>
        <w:t xml:space="preserve">Analizar la </w:t>
      </w:r>
      <w:r w:rsidR="00750959" w:rsidRPr="004628D3">
        <w:rPr>
          <w:rFonts w:cs="Arial"/>
        </w:rPr>
        <w:t xml:space="preserve">incidencia </w:t>
      </w:r>
      <w:r w:rsidRPr="004628D3">
        <w:rPr>
          <w:rFonts w:cs="Arial"/>
        </w:rPr>
        <w:t xml:space="preserve">del Impuesto al Valor Agregado mediante un </w:t>
      </w:r>
      <w:r w:rsidR="00C17D01" w:rsidRPr="004628D3">
        <w:rPr>
          <w:rFonts w:cs="Arial"/>
        </w:rPr>
        <w:t>M</w:t>
      </w:r>
      <w:r w:rsidRPr="004628D3">
        <w:rPr>
          <w:rFonts w:cs="Arial"/>
        </w:rPr>
        <w:t xml:space="preserve">odelo de </w:t>
      </w:r>
      <w:r w:rsidR="00C17D01" w:rsidRPr="004628D3">
        <w:rPr>
          <w:rFonts w:cs="Arial"/>
        </w:rPr>
        <w:t>E</w:t>
      </w:r>
      <w:r w:rsidRPr="004628D3">
        <w:rPr>
          <w:rFonts w:cs="Arial"/>
        </w:rPr>
        <w:t xml:space="preserve">quilibrio </w:t>
      </w:r>
      <w:r w:rsidR="00C17D01" w:rsidRPr="004628D3">
        <w:rPr>
          <w:rFonts w:cs="Arial"/>
        </w:rPr>
        <w:t>G</w:t>
      </w:r>
      <w:r w:rsidRPr="004628D3">
        <w:rPr>
          <w:rFonts w:cs="Arial"/>
        </w:rPr>
        <w:t xml:space="preserve">eneral para Costa Rica, para el diseño de política pública, tomando en cuenta </w:t>
      </w:r>
      <w:r w:rsidR="0007056D" w:rsidRPr="004628D3">
        <w:rPr>
          <w:rFonts w:cs="Arial"/>
        </w:rPr>
        <w:t>todos los</w:t>
      </w:r>
      <w:r w:rsidRPr="004628D3">
        <w:rPr>
          <w:rFonts w:cs="Arial"/>
        </w:rPr>
        <w:t xml:space="preserve"> sectores de la economía.</w:t>
      </w:r>
    </w:p>
    <w:p w14:paraId="77D5360B" w14:textId="6D483D08" w:rsidR="002348BA" w:rsidRPr="004628D3" w:rsidRDefault="00A24BC8" w:rsidP="00644A7D">
      <w:pPr>
        <w:pStyle w:val="Heading3"/>
      </w:pPr>
      <w:bookmarkStart w:id="20" w:name="_Toc2853749"/>
      <w:r w:rsidRPr="004628D3">
        <w:t xml:space="preserve">1.4.2 </w:t>
      </w:r>
      <w:r w:rsidR="002348BA" w:rsidRPr="004628D3">
        <w:t>Objetivos Específico:</w:t>
      </w:r>
      <w:bookmarkEnd w:id="20"/>
      <w:r w:rsidR="002348BA" w:rsidRPr="004628D3">
        <w:t xml:space="preserve"> </w:t>
      </w:r>
    </w:p>
    <w:p w14:paraId="498732D1" w14:textId="5A5A48B6" w:rsidR="002348BA" w:rsidRPr="004628D3" w:rsidRDefault="002348BA" w:rsidP="00C139E7">
      <w:pPr>
        <w:pStyle w:val="ListParagraph"/>
        <w:numPr>
          <w:ilvl w:val="0"/>
          <w:numId w:val="2"/>
        </w:numPr>
        <w:spacing w:line="240" w:lineRule="auto"/>
        <w:rPr>
          <w:rFonts w:cs="Arial"/>
        </w:rPr>
      </w:pPr>
      <w:r w:rsidRPr="004628D3">
        <w:rPr>
          <w:rFonts w:cs="Arial"/>
        </w:rPr>
        <w:t xml:space="preserve">Determinar </w:t>
      </w:r>
      <w:r w:rsidR="00FD07DE">
        <w:rPr>
          <w:rFonts w:cs="Arial"/>
        </w:rPr>
        <w:t>la regresividad del Impuesto al Valor Agregado</w:t>
      </w:r>
      <w:r w:rsidRPr="004628D3">
        <w:rPr>
          <w:rFonts w:cs="Arial"/>
        </w:rPr>
        <w:t>.</w:t>
      </w:r>
    </w:p>
    <w:p w14:paraId="5FA2A927" w14:textId="77777777" w:rsidR="002348BA" w:rsidRPr="004628D3" w:rsidRDefault="002348BA" w:rsidP="00C139E7">
      <w:pPr>
        <w:pStyle w:val="ListParagraph"/>
        <w:numPr>
          <w:ilvl w:val="0"/>
          <w:numId w:val="2"/>
        </w:numPr>
        <w:spacing w:line="240" w:lineRule="auto"/>
        <w:rPr>
          <w:rFonts w:cs="Arial"/>
        </w:rPr>
      </w:pPr>
      <w:r w:rsidRPr="004628D3">
        <w:rPr>
          <w:rFonts w:cs="Arial"/>
        </w:rPr>
        <w:t>Precisar los sectores del modelo para el análisis de Incidencia.</w:t>
      </w:r>
    </w:p>
    <w:p w14:paraId="7D49C14A" w14:textId="078EC16F" w:rsidR="002348BA" w:rsidRPr="004628D3" w:rsidRDefault="002348BA" w:rsidP="00B153DE">
      <w:pPr>
        <w:pStyle w:val="ListParagraph"/>
        <w:numPr>
          <w:ilvl w:val="0"/>
          <w:numId w:val="2"/>
        </w:numPr>
        <w:spacing w:line="240" w:lineRule="auto"/>
        <w:rPr>
          <w:rFonts w:cs="Arial"/>
        </w:rPr>
      </w:pPr>
      <w:r w:rsidRPr="004628D3">
        <w:rPr>
          <w:rFonts w:cs="Arial"/>
        </w:rPr>
        <w:t xml:space="preserve">Reconocer la </w:t>
      </w:r>
      <w:r w:rsidR="00FA599A" w:rsidRPr="004628D3">
        <w:rPr>
          <w:rFonts w:cs="Arial"/>
        </w:rPr>
        <w:t>alícuota y base para el Impuesto al Valor A</w:t>
      </w:r>
      <w:r w:rsidRPr="004628D3">
        <w:rPr>
          <w:rFonts w:cs="Arial"/>
        </w:rPr>
        <w:t>gregado para el diseño de política pública.</w:t>
      </w:r>
    </w:p>
    <w:p w14:paraId="38636B0C" w14:textId="6014437C" w:rsidR="00E24955" w:rsidRDefault="00B153DE" w:rsidP="00B153DE">
      <w:pPr>
        <w:jc w:val="left"/>
        <w:rPr>
          <w:rFonts w:cs="Arial"/>
        </w:rPr>
      </w:pPr>
      <w:r>
        <w:rPr>
          <w:rFonts w:cs="Arial"/>
        </w:rPr>
        <w:br w:type="page"/>
      </w:r>
    </w:p>
    <w:p w14:paraId="5D6A274A" w14:textId="28324C69" w:rsidR="00875D78" w:rsidRDefault="00457F11" w:rsidP="00875D78">
      <w:pPr>
        <w:pStyle w:val="Heading1"/>
        <w:spacing w:line="240" w:lineRule="auto"/>
      </w:pPr>
      <w:r>
        <w:rPr>
          <w:caps/>
        </w:rPr>
        <w:lastRenderedPageBreak/>
        <w:t> </w:t>
      </w:r>
      <w:bookmarkStart w:id="21" w:name="_Toc2853750"/>
      <w:r w:rsidR="00BF2386">
        <w:t>Cap</w:t>
      </w:r>
      <w:r w:rsidR="001B061C">
        <w:t>í</w:t>
      </w:r>
      <w:r w:rsidR="00BF2386">
        <w:t>tulo II: Marco Teórico</w:t>
      </w:r>
      <w:bookmarkEnd w:id="21"/>
    </w:p>
    <w:p w14:paraId="2CAA1EE1" w14:textId="50B535D3" w:rsidR="000E07D7" w:rsidRPr="000E07D7" w:rsidRDefault="001F1581" w:rsidP="001F1581">
      <w:pPr>
        <w:pStyle w:val="Heading2"/>
      </w:pPr>
      <w:bookmarkStart w:id="22" w:name="_Toc2853751"/>
      <w:r>
        <w:t>2.1 Incidencia</w:t>
      </w:r>
      <w:bookmarkEnd w:id="22"/>
      <w:r>
        <w:t xml:space="preserve"> </w:t>
      </w:r>
    </w:p>
    <w:p w14:paraId="58FFD342" w14:textId="72F05DA8" w:rsidR="000F7620" w:rsidRDefault="000F7620" w:rsidP="00C139E7">
      <w:pPr>
        <w:spacing w:line="240" w:lineRule="auto"/>
        <w:rPr>
          <w:rFonts w:cs="Arial"/>
        </w:rPr>
      </w:pPr>
      <w:r>
        <w:rPr>
          <w:rFonts w:cs="Arial"/>
        </w:rPr>
        <w:t xml:space="preserve">La reforma </w:t>
      </w:r>
      <w:r w:rsidR="00AD5947">
        <w:rPr>
          <w:rFonts w:cs="Arial"/>
        </w:rPr>
        <w:t>tributaria</w:t>
      </w:r>
      <w:r>
        <w:rPr>
          <w:rFonts w:cs="Arial"/>
        </w:rPr>
        <w:t xml:space="preserve">, consiste en una modificación de la vigente estructura tributaria con el fin de actualizar o ajustar, ante los cambios que han existido en la economía. En este contexto, una reforma fiscal en Costa Rica necesita cumplir tres objetivos principales; justa, eficiencia e incentivar la inversión y el crecimiento. </w:t>
      </w:r>
      <w:r>
        <w:rPr>
          <w:rFonts w:cs="Arial"/>
        </w:rPr>
        <w:fldChar w:fldCharType="begin" w:fldLock="1"/>
      </w:r>
      <w:r w:rsidR="00475856">
        <w:rPr>
          <w:rFonts w:cs="Arial"/>
        </w:rPr>
        <w:instrText>ADDIN CSL_CITATION {"citationItems":[{"id":"ITEM-1","itemData":{"author":[{"dropping-particle":"","family":"Guardia","given":"J","non-dropping-particle":"","parse-names":false,"suffix":""},{"dropping-particle":"","family":"Ordoñez","given":"J","non-dropping-particle":"","parse-names":false,"suffix":""},{"dropping-particle":"","family":"Torrealba","given":"A","non-dropping-particle":"","parse-names":false,"suffix":""},{"dropping-particle":"","family":"Villasuso","given":"J","non-dropping-particle":"","parse-names":false,"suffix":""}],"container-title":"La nación","id":"ITEM-1","issued":{"date-parts":[["2004","5","2"]]},"publisher-place":"San José","title":"Siete ajustes urgentes","type":"article-newspaper"},"uris":["http://www.mendeley.com/documents/?uuid=1058f7cb-0f03-42a3-9e62-b3ecffdb77c4"]}],"mendeley":{"formattedCitation":"(Guardia, Ordoñez, Torrealba, &amp; Villasuso, 2004)","plainTextFormattedCitation":"(Guardia, Ordoñez, Torrealba, &amp; Villasuso, 2004)","previouslyFormattedCitation":"(Guardia, Ordoñez, Torrealba, &amp; Villasuso, 2004)"},"properties":{"noteIndex":0},"schema":"https://github.com/citation-style-language/schema/raw/master/csl-citation.json"}</w:instrText>
      </w:r>
      <w:r>
        <w:rPr>
          <w:rFonts w:cs="Arial"/>
        </w:rPr>
        <w:fldChar w:fldCharType="separate"/>
      </w:r>
      <w:r w:rsidRPr="00733C76">
        <w:rPr>
          <w:rFonts w:cs="Arial"/>
          <w:noProof/>
        </w:rPr>
        <w:t>(Guardia, Ordoñez, Torrealba, &amp; Villasuso, 2004)</w:t>
      </w:r>
      <w:r>
        <w:rPr>
          <w:rFonts w:cs="Arial"/>
        </w:rPr>
        <w:fldChar w:fldCharType="end"/>
      </w:r>
      <w:r>
        <w:rPr>
          <w:rFonts w:cs="Arial"/>
        </w:rPr>
        <w:t>.</w:t>
      </w:r>
    </w:p>
    <w:p w14:paraId="7E15239F" w14:textId="77777777" w:rsidR="000F7620" w:rsidRDefault="000F7620" w:rsidP="00C139E7">
      <w:pPr>
        <w:spacing w:line="240" w:lineRule="auto"/>
        <w:rPr>
          <w:rFonts w:cs="Arial"/>
        </w:rPr>
      </w:pPr>
      <w:r>
        <w:rPr>
          <w:rFonts w:cs="Arial"/>
        </w:rPr>
        <w:t xml:space="preserve">En este sentido la justicia correspondiente a una reforma fiscal debe orientarse hacia obtener un sistema progresivo, donde se cumplan los requisitos de equidad. Aunque es difícil definir la equidad, es posible definir dos conceptos: Equidad Horizontal y vertical. </w:t>
      </w:r>
    </w:p>
    <w:p w14:paraId="253458D4" w14:textId="449FA374" w:rsidR="000F7620" w:rsidRDefault="000F7620" w:rsidP="00C139E7">
      <w:pPr>
        <w:spacing w:line="240" w:lineRule="auto"/>
        <w:rPr>
          <w:rFonts w:cs="Arial"/>
        </w:rPr>
      </w:pPr>
      <w:r>
        <w:rPr>
          <w:rFonts w:cs="Arial"/>
        </w:rPr>
        <w:t xml:space="preserve">La equidad vertical se da cuando los individuos que </w:t>
      </w:r>
      <w:r w:rsidR="009C39A6">
        <w:rPr>
          <w:rFonts w:cs="Arial"/>
        </w:rPr>
        <w:t>se encuentran en mejores condiciones que otros, deben contribuir en mayor medida</w:t>
      </w:r>
      <w:r>
        <w:rPr>
          <w:rFonts w:cs="Arial"/>
        </w:rPr>
        <w:t xml:space="preserve">, mientras la equidad </w:t>
      </w:r>
      <w:r w:rsidR="00306D7F">
        <w:rPr>
          <w:rFonts w:cs="Arial"/>
        </w:rPr>
        <w:t>horizontal</w:t>
      </w:r>
      <w:r>
        <w:rPr>
          <w:rFonts w:cs="Arial"/>
        </w:rPr>
        <w:t xml:space="preserve"> establece que si </w:t>
      </w:r>
      <w:r w:rsidR="009C39A6">
        <w:rPr>
          <w:rFonts w:cs="Arial"/>
        </w:rPr>
        <w:t>los</w:t>
      </w:r>
      <w:r>
        <w:rPr>
          <w:rFonts w:cs="Arial"/>
        </w:rPr>
        <w:t xml:space="preserve"> individuo</w:t>
      </w:r>
      <w:r w:rsidR="009C39A6">
        <w:rPr>
          <w:rFonts w:cs="Arial"/>
        </w:rPr>
        <w:t>s</w:t>
      </w:r>
      <w:r>
        <w:rPr>
          <w:rFonts w:cs="Arial"/>
        </w:rPr>
        <w:t xml:space="preserve"> se encuentra</w:t>
      </w:r>
      <w:r w:rsidR="009C39A6">
        <w:rPr>
          <w:rFonts w:cs="Arial"/>
        </w:rPr>
        <w:t>n en igualdad en todos los aspectos relevantes reciben el mismo trato en el pago del impuesto</w:t>
      </w:r>
      <w:r>
        <w:rPr>
          <w:rFonts w:cs="Arial"/>
        </w:rPr>
        <w:t xml:space="preserve">. </w:t>
      </w:r>
      <w:r>
        <w:rPr>
          <w:rFonts w:cs="Arial"/>
        </w:rPr>
        <w:fldChar w:fldCharType="begin" w:fldLock="1"/>
      </w:r>
      <w:r w:rsidR="00475856">
        <w:rPr>
          <w:rFonts w:cs="Arial"/>
        </w:rPr>
        <w:instrText>ADDIN CSL_CITATION {"citationItems":[{"id":"ITEM-1","itemData":{"author":[{"dropping-particle":"","family":"Stiglitz","given":"J","non-dropping-particle":"","parse-names":false,"suffix":""}],"id":"ITEM-1","issued":{"date-parts":[["2000"]]},"publisher":"W.W. Norton New York","publisher-place":"New York","title":"Economics of the public sector","type":"book"},"uris":["http://www.mendeley.com/documents/?uuid=e5e5a353-d92c-453f-9848-e5a75ebdd3c3"]}],"mendeley":{"formattedCitation":"(Stiglitz, 2000)","plainTextFormattedCitation":"(Stiglitz, 2000)","previouslyFormattedCitation":"(Stiglitz, 2000)"},"properties":{"noteIndex":0},"schema":"https://github.com/citation-style-language/schema/raw/master/csl-citation.json"}</w:instrText>
      </w:r>
      <w:r>
        <w:rPr>
          <w:rFonts w:cs="Arial"/>
        </w:rPr>
        <w:fldChar w:fldCharType="separate"/>
      </w:r>
      <w:r w:rsidRPr="00733C76">
        <w:rPr>
          <w:rFonts w:cs="Arial"/>
          <w:noProof/>
        </w:rPr>
        <w:t>(Stiglitz, 2000)</w:t>
      </w:r>
      <w:r>
        <w:rPr>
          <w:rFonts w:cs="Arial"/>
        </w:rPr>
        <w:fldChar w:fldCharType="end"/>
      </w:r>
      <w:r>
        <w:rPr>
          <w:rFonts w:cs="Arial"/>
        </w:rPr>
        <w:t xml:space="preserve">. </w:t>
      </w:r>
      <w:r w:rsidR="009C39A6">
        <w:rPr>
          <w:rFonts w:cs="Arial"/>
        </w:rPr>
        <w:t>Ante estos criterios, se busca</w:t>
      </w:r>
      <w:r>
        <w:rPr>
          <w:rFonts w:cs="Arial"/>
        </w:rPr>
        <w:t xml:space="preserve"> aproximar </w:t>
      </w:r>
      <w:r w:rsidR="009C39A6">
        <w:rPr>
          <w:rFonts w:cs="Arial"/>
        </w:rPr>
        <w:t xml:space="preserve">estos principios los impuestos de </w:t>
      </w:r>
      <w:r>
        <w:rPr>
          <w:rFonts w:cs="Arial"/>
        </w:rPr>
        <w:t xml:space="preserve">la renta y el </w:t>
      </w:r>
      <w:r w:rsidR="009C39A6">
        <w:rPr>
          <w:rFonts w:cs="Arial"/>
        </w:rPr>
        <w:t xml:space="preserve">de </w:t>
      </w:r>
      <w:r>
        <w:rPr>
          <w:rFonts w:cs="Arial"/>
        </w:rPr>
        <w:t>consumo.</w:t>
      </w:r>
    </w:p>
    <w:p w14:paraId="18227832" w14:textId="77777777" w:rsidR="000F7620" w:rsidRDefault="000F7620" w:rsidP="00C139E7">
      <w:pPr>
        <w:spacing w:line="240" w:lineRule="auto"/>
        <w:rPr>
          <w:rFonts w:cs="Arial"/>
        </w:rPr>
      </w:pPr>
      <w:r>
        <w:rPr>
          <w:rFonts w:cs="Arial"/>
        </w:rPr>
        <w:t>En la práctica, estos criterios han sido criticados por su poca utilidad:</w:t>
      </w:r>
    </w:p>
    <w:p w14:paraId="7D69E24A" w14:textId="17055C2F" w:rsidR="000F7620" w:rsidRDefault="000F7620" w:rsidP="00C139E7">
      <w:pPr>
        <w:spacing w:line="240" w:lineRule="auto"/>
        <w:ind w:left="708"/>
        <w:rPr>
          <w:rFonts w:cs="Arial"/>
        </w:rPr>
      </w:pPr>
      <w:r>
        <w:rPr>
          <w:rFonts w:cs="Arial"/>
        </w:rPr>
        <w:t>No dan respuesta a dos difíciles preguntas: ¿Cómo sabemos entre dos individuos cual disfruta de un mayor bienestar o quien tiene una mayor capacidad de pago? Y ¿qué entendemos por igualdad de trato? Además, el principio de la equidad vertical no nos dice en qué medida debe contribuir más la persona que disfruta de un mayor bienestar a sostener al Estado: lo único que nos dice es que debe pagar más.</w:t>
      </w:r>
      <w:r w:rsidRPr="00D53B35">
        <w:rPr>
          <w:rFonts w:cs="Arial"/>
        </w:rPr>
        <w:t xml:space="preserve"> </w:t>
      </w:r>
      <w:r>
        <w:rPr>
          <w:rFonts w:cs="Arial"/>
        </w:rPr>
        <w:t>(ídem).</w:t>
      </w:r>
    </w:p>
    <w:p w14:paraId="459C08BE" w14:textId="16E2248F" w:rsidR="000F7620" w:rsidRDefault="000F7620" w:rsidP="00C139E7">
      <w:pPr>
        <w:spacing w:line="240" w:lineRule="auto"/>
        <w:rPr>
          <w:rFonts w:cs="Arial"/>
        </w:rPr>
      </w:pPr>
      <w:r>
        <w:rPr>
          <w:rFonts w:cs="Arial"/>
        </w:rPr>
        <w:t xml:space="preserve">La eficiencia es una característica que consiste en buscar una asignación óptima de los recursos. En el caso de la reforma </w:t>
      </w:r>
      <w:r w:rsidR="00306D7F">
        <w:rPr>
          <w:rFonts w:cs="Arial"/>
        </w:rPr>
        <w:t>tributaria</w:t>
      </w:r>
      <w:r>
        <w:rPr>
          <w:rFonts w:cs="Arial"/>
        </w:rPr>
        <w:t xml:space="preserve">, </w:t>
      </w:r>
      <w:r w:rsidR="00306D7F">
        <w:rPr>
          <w:rFonts w:cs="Arial"/>
        </w:rPr>
        <w:t>deben mitigarse las distorsiones en la economía</w:t>
      </w:r>
      <w:r>
        <w:rPr>
          <w:rFonts w:cs="Arial"/>
        </w:rPr>
        <w:t xml:space="preserve">, y posteriormente </w:t>
      </w:r>
      <w:r w:rsidR="00306D7F">
        <w:rPr>
          <w:rFonts w:cs="Arial"/>
        </w:rPr>
        <w:t xml:space="preserve">se debe prestar el impacto </w:t>
      </w:r>
      <w:r>
        <w:rPr>
          <w:rFonts w:cs="Arial"/>
        </w:rPr>
        <w:t>sobre la distribución, garantizando así, que el mecanismo sea una forma de mejorar la asignación de los recursos y no un distorsionador.</w:t>
      </w:r>
    </w:p>
    <w:p w14:paraId="50310834" w14:textId="01D0E2AF" w:rsidR="000F7620" w:rsidRDefault="000F7620" w:rsidP="00C139E7">
      <w:pPr>
        <w:spacing w:line="240" w:lineRule="auto"/>
        <w:rPr>
          <w:rFonts w:cs="Arial"/>
        </w:rPr>
      </w:pPr>
      <w:r>
        <w:rPr>
          <w:rFonts w:cs="Arial"/>
        </w:rPr>
        <w:t xml:space="preserve">Por otro lado, la tercera característica, la cual sería promover la inversión y el crecimiento económico, viene a ser un resultado de los primeros dos requerimientos. Si la reforma </w:t>
      </w:r>
      <w:r w:rsidR="00306D7F">
        <w:rPr>
          <w:rFonts w:cs="Arial"/>
        </w:rPr>
        <w:t>tributaria</w:t>
      </w:r>
      <w:r>
        <w:rPr>
          <w:rFonts w:cs="Arial"/>
        </w:rPr>
        <w:t xml:space="preserve"> cumple en ser un medio para mejorar la asignación de recursos, se podría inferir que podría propiciar la inversión y el crecimiento.</w:t>
      </w:r>
      <w:r w:rsidR="00306D7F">
        <w:rPr>
          <w:rFonts w:cs="Arial"/>
        </w:rPr>
        <w:t xml:space="preserve"> </w:t>
      </w:r>
      <w:r>
        <w:rPr>
          <w:rFonts w:cs="Arial"/>
        </w:rPr>
        <w:t xml:space="preserve">Para lograr medir el impacto de una reforma fiscal se plantea el tema de incidencia de los impuestos, tratando de definir sobe quien recae el pago de </w:t>
      </w:r>
      <w:r w:rsidR="005C228A">
        <w:rPr>
          <w:rFonts w:cs="Arial"/>
        </w:rPr>
        <w:t>estos</w:t>
      </w:r>
      <w:r>
        <w:rPr>
          <w:rFonts w:cs="Arial"/>
        </w:rPr>
        <w:t xml:space="preserve">, en el caso del Impuesto al valor agregado, se ha definido que la carga tributaria recae sobre los consumidores. </w:t>
      </w:r>
    </w:p>
    <w:p w14:paraId="45951151" w14:textId="4F79A04A" w:rsidR="00706F60" w:rsidRDefault="00706F60" w:rsidP="00C139E7">
      <w:pPr>
        <w:spacing w:line="240" w:lineRule="auto"/>
        <w:rPr>
          <w:rFonts w:cs="Arial"/>
        </w:rPr>
      </w:pPr>
      <w:r>
        <w:rPr>
          <w:rFonts w:cs="Arial"/>
        </w:rPr>
        <w:t xml:space="preserve">El IGV y el IVA son impuestos distorsionadores ya que alteran el comportamiento de los agentes mediante obligaciones fiscales, restringiendo el consumo, ahorro e inversión, “Todo impuesto sobre las mercancías es distorsionador: una persona puede alterar sus obligaciones fiscales comprando simplemente una cantidad menor de la mercancía gravada”. </w:t>
      </w:r>
      <w:r>
        <w:rPr>
          <w:rFonts w:cs="Arial"/>
        </w:rPr>
        <w:fldChar w:fldCharType="begin" w:fldLock="1"/>
      </w:r>
      <w:r>
        <w:rPr>
          <w:rFonts w:cs="Arial"/>
        </w:rPr>
        <w:instrText>ADDIN CSL_CITATION {"citationItems":[{"id":"ITEM-1","itemData":{"author":[{"dropping-particle":"","family":"Stiglitz","given":"J","non-dropping-particle":"","parse-names":false,"suffix":""}],"id":"ITEM-1","issued":{"date-parts":[["2000"]]},"publisher":"W.W. Norton New York","publisher-place":"New York","title":"Economics of the public sector","type":"book"},"uris":["http://www.mendeley.com/documents/?uuid=e5e5a353-d92c-453f-9848-e5a75ebdd3c3"]}],"mendeley":{"formattedCitation":"(Stiglitz, 2000)","plainTextFormattedCitation":"(Stiglitz, 2000)","previouslyFormattedCitation":"(Stiglitz, 2000)"},"properties":{"noteIndex":0},"schema":"https://github.com/citation-style-language/schema/raw/master/csl-citation.json"}</w:instrText>
      </w:r>
      <w:r>
        <w:rPr>
          <w:rFonts w:cs="Arial"/>
        </w:rPr>
        <w:fldChar w:fldCharType="separate"/>
      </w:r>
      <w:r w:rsidRPr="00733C76">
        <w:rPr>
          <w:rFonts w:cs="Arial"/>
          <w:noProof/>
        </w:rPr>
        <w:t>(Stiglitz, 2000)</w:t>
      </w:r>
      <w:r>
        <w:rPr>
          <w:rFonts w:cs="Arial"/>
        </w:rPr>
        <w:fldChar w:fldCharType="end"/>
      </w:r>
      <w:r>
        <w:rPr>
          <w:rFonts w:cs="Arial"/>
        </w:rPr>
        <w:t>.</w:t>
      </w:r>
    </w:p>
    <w:p w14:paraId="2627F3EC" w14:textId="3793F473" w:rsidR="000F7620" w:rsidRDefault="000F7620" w:rsidP="00C139E7">
      <w:pPr>
        <w:spacing w:line="240" w:lineRule="auto"/>
        <w:rPr>
          <w:rFonts w:cs="Arial"/>
        </w:rPr>
      </w:pPr>
      <w:r>
        <w:rPr>
          <w:rFonts w:cs="Arial"/>
        </w:rPr>
        <w:lastRenderedPageBreak/>
        <w:t>Además, el IVA, por definición es un sistema que busca gravar el consumo, por tanto</w:t>
      </w:r>
      <w:r w:rsidR="00120E9C">
        <w:rPr>
          <w:rFonts w:cs="Arial"/>
        </w:rPr>
        <w:t>, su naturaleza no discrimina</w:t>
      </w:r>
      <w:r>
        <w:rPr>
          <w:rFonts w:cs="Arial"/>
        </w:rPr>
        <w:t xml:space="preserve"> por capacidad de ingreso, convirtiéndolo en un impuesto regresivo:</w:t>
      </w:r>
    </w:p>
    <w:p w14:paraId="65C571E9" w14:textId="51F42F2C" w:rsidR="000F7620" w:rsidRDefault="000F7620" w:rsidP="00C139E7">
      <w:pPr>
        <w:spacing w:line="240" w:lineRule="auto"/>
        <w:ind w:left="708"/>
        <w:rPr>
          <w:rFonts w:cs="Arial"/>
        </w:rPr>
      </w:pPr>
      <w:r w:rsidRPr="003A1906">
        <w:rPr>
          <w:rFonts w:cs="Arial"/>
        </w:rPr>
        <w:t>Como es bien sabido la regresividad del IVA se debe a que es un impuesto indirecto que no discrimina por la capacidad de pago de los individuos. Consiguientemente, si tomamos al ingreso de los individuos como indicador de bienestar en un análisis del impacto dist</w:t>
      </w:r>
      <w:r>
        <w:rPr>
          <w:rFonts w:cs="Arial"/>
        </w:rPr>
        <w:t xml:space="preserve">ributivo del IVA verificamos la </w:t>
      </w:r>
      <w:r w:rsidRPr="003A1906">
        <w:rPr>
          <w:rFonts w:cs="Arial"/>
        </w:rPr>
        <w:t>regresividad del mismo ya que los deciles más bajos dedican un po</w:t>
      </w:r>
      <w:r>
        <w:rPr>
          <w:rFonts w:cs="Arial"/>
        </w:rPr>
        <w:t xml:space="preserve">rcentaje mayor de su ingreso al </w:t>
      </w:r>
      <w:r w:rsidRPr="003A1906">
        <w:rPr>
          <w:rFonts w:cs="Arial"/>
        </w:rPr>
        <w:t>consumo que los deciles superiores.</w:t>
      </w:r>
      <w:r>
        <w:rPr>
          <w:rFonts w:cs="Arial"/>
        </w:rPr>
        <w:t xml:space="preserve"> </w:t>
      </w:r>
      <w:r>
        <w:rPr>
          <w:rFonts w:cs="Arial"/>
        </w:rPr>
        <w:fldChar w:fldCharType="begin" w:fldLock="1"/>
      </w:r>
      <w:r w:rsidR="00475856">
        <w:rPr>
          <w:rFonts w:cs="Arial"/>
        </w:rPr>
        <w:instrText>ADDIN CSL_CITATION {"citationItems":[{"id":"ITEM-1","itemData":{"author":[{"dropping-particle":"","family":"Barreix","given":"Alberto","non-dropping-particle":"","parse-names":false,"suffix":""},{"dropping-particle":"","family":"Bès","given":"Martín","non-dropping-particle":"","parse-names":false,"suffix":""},{"dropping-particle":"","family":"Roca","given":"Jerónimo","non-dropping-particle":"","parse-names":false,"suffix":""}],"container-title":"Banco Interamericano de Desarrollo, Washington, Julio","id":"ITEM-1","issued":{"date-parts":[["2010"]]},"title":"El IVA Personalizado. Aumentando la recaudación y compensando a los más pobres","type":"article-journal"},"uris":["http://www.mendeley.com/documents/?uuid=417d7610-c83b-448c-8978-e94a59a53ee3"]}],"mendeley":{"formattedCitation":"(Barreix, Bès, &amp; Roca, 2010)","plainTextFormattedCitation":"(Barreix, Bès, &amp; Roca, 2010)","previouslyFormattedCitation":"(Barreix, Bès, &amp; Roca, 2010)"},"properties":{"noteIndex":0},"schema":"https://github.com/citation-style-language/schema/raw/master/csl-citation.json"}</w:instrText>
      </w:r>
      <w:r>
        <w:rPr>
          <w:rFonts w:cs="Arial"/>
        </w:rPr>
        <w:fldChar w:fldCharType="separate"/>
      </w:r>
      <w:r w:rsidRPr="00733C76">
        <w:rPr>
          <w:rFonts w:cs="Arial"/>
          <w:noProof/>
        </w:rPr>
        <w:t>(Barreix, Bès, &amp; Roca, 2010)</w:t>
      </w:r>
      <w:r>
        <w:rPr>
          <w:rFonts w:cs="Arial"/>
        </w:rPr>
        <w:fldChar w:fldCharType="end"/>
      </w:r>
      <w:r>
        <w:rPr>
          <w:rFonts w:cs="Arial"/>
        </w:rPr>
        <w:t>.</w:t>
      </w:r>
    </w:p>
    <w:p w14:paraId="302F9C5A" w14:textId="77623641" w:rsidR="000F7620" w:rsidRDefault="000F7620" w:rsidP="00C139E7">
      <w:pPr>
        <w:spacing w:line="240" w:lineRule="auto"/>
        <w:rPr>
          <w:rFonts w:cs="Arial"/>
        </w:rPr>
      </w:pPr>
      <w:r>
        <w:rPr>
          <w:rFonts w:cs="Arial"/>
        </w:rPr>
        <w:t xml:space="preserve">El objeto de estudio en los análisis de incidencia es </w:t>
      </w:r>
      <w:r w:rsidR="009C39A6">
        <w:rPr>
          <w:rFonts w:cs="Arial"/>
        </w:rPr>
        <w:t>comparar los cambios en utilidad de los grupos socioeconómicos</w:t>
      </w:r>
      <w:r>
        <w:rPr>
          <w:rFonts w:cs="Arial"/>
        </w:rPr>
        <w:t xml:space="preserve">, partiendo de una situación de balance </w:t>
      </w:r>
      <w:r w:rsidR="009C39A6">
        <w:rPr>
          <w:rFonts w:cs="Arial"/>
        </w:rPr>
        <w:t>inicial</w:t>
      </w:r>
      <w:r>
        <w:rPr>
          <w:rFonts w:cs="Arial"/>
        </w:rPr>
        <w:t>,</w:t>
      </w:r>
      <w:r w:rsidR="009C39A6">
        <w:rPr>
          <w:rFonts w:cs="Arial"/>
        </w:rPr>
        <w:t xml:space="preserve"> y posteriormente las </w:t>
      </w:r>
      <w:r>
        <w:rPr>
          <w:rFonts w:cs="Arial"/>
        </w:rPr>
        <w:t>simula</w:t>
      </w:r>
      <w:r w:rsidR="009C39A6">
        <w:rPr>
          <w:rFonts w:cs="Arial"/>
        </w:rPr>
        <w:t>ciones de</w:t>
      </w:r>
      <w:r>
        <w:rPr>
          <w:rFonts w:cs="Arial"/>
        </w:rPr>
        <w:t xml:space="preserve"> los impuestos a lo que se</w:t>
      </w:r>
      <w:r w:rsidR="009C39A6">
        <w:rPr>
          <w:rFonts w:cs="Arial"/>
        </w:rPr>
        <w:t xml:space="preserve"> puede</w:t>
      </w:r>
      <w:r>
        <w:rPr>
          <w:rFonts w:cs="Arial"/>
        </w:rPr>
        <w:t xml:space="preserve"> enfrenta</w:t>
      </w:r>
      <w:r w:rsidR="009C39A6">
        <w:rPr>
          <w:rFonts w:cs="Arial"/>
        </w:rPr>
        <w:t>r</w:t>
      </w:r>
      <w:r>
        <w:rPr>
          <w:rFonts w:cs="Arial"/>
        </w:rPr>
        <w:t xml:space="preserve"> la economía</w:t>
      </w:r>
      <w:r w:rsidR="009C39A6">
        <w:rPr>
          <w:rFonts w:cs="Arial"/>
        </w:rPr>
        <w:t xml:space="preserve">, como son los </w:t>
      </w:r>
      <w:r>
        <w:rPr>
          <w:rFonts w:cs="Arial"/>
        </w:rPr>
        <w:t>aumento</w:t>
      </w:r>
      <w:r w:rsidR="009C39A6">
        <w:rPr>
          <w:rFonts w:cs="Arial"/>
        </w:rPr>
        <w:t>s</w:t>
      </w:r>
      <w:r>
        <w:rPr>
          <w:rFonts w:cs="Arial"/>
        </w:rPr>
        <w:t xml:space="preserve"> o </w:t>
      </w:r>
      <w:r w:rsidR="009C39A6">
        <w:rPr>
          <w:rFonts w:cs="Arial"/>
        </w:rPr>
        <w:t>disminuciones</w:t>
      </w:r>
      <w:r>
        <w:rPr>
          <w:rFonts w:cs="Arial"/>
        </w:rPr>
        <w:t xml:space="preserve"> de alícuotas. La simulación con un </w:t>
      </w:r>
      <w:r w:rsidR="00C17D01">
        <w:rPr>
          <w:rFonts w:cs="Arial"/>
        </w:rPr>
        <w:t>M</w:t>
      </w:r>
      <w:r>
        <w:rPr>
          <w:rFonts w:cs="Arial"/>
        </w:rPr>
        <w:t xml:space="preserve">odelo de </w:t>
      </w:r>
      <w:r w:rsidR="00C17D01">
        <w:rPr>
          <w:rFonts w:cs="Arial"/>
        </w:rPr>
        <w:t>E</w:t>
      </w:r>
      <w:r>
        <w:rPr>
          <w:rFonts w:cs="Arial"/>
        </w:rPr>
        <w:t xml:space="preserve">quilibrio </w:t>
      </w:r>
      <w:r w:rsidR="00C17D01">
        <w:rPr>
          <w:rFonts w:cs="Arial"/>
        </w:rPr>
        <w:t>G</w:t>
      </w:r>
      <w:r>
        <w:rPr>
          <w:rFonts w:cs="Arial"/>
        </w:rPr>
        <w:t>eneral, de un cambio de políticas de ajuste de una reforma fiscal, puede mostrar el impacto en el ingreso real,</w:t>
      </w:r>
      <w:r w:rsidR="009C39A6">
        <w:rPr>
          <w:rFonts w:cs="Arial"/>
        </w:rPr>
        <w:t xml:space="preserve"> cambios en utilidad, de los hogares</w:t>
      </w:r>
      <w:r>
        <w:rPr>
          <w:rFonts w:cs="Arial"/>
        </w:rPr>
        <w:t xml:space="preserve"> comprobando así impacto de la política</w:t>
      </w:r>
      <w:r w:rsidR="009C39A6">
        <w:rPr>
          <w:rFonts w:cs="Arial"/>
        </w:rPr>
        <w:t xml:space="preserve"> macroeconómica</w:t>
      </w:r>
      <w:r>
        <w:rPr>
          <w:rFonts w:cs="Arial"/>
        </w:rPr>
        <w:t xml:space="preserve"> y determinando la incidencia del impuesto. </w:t>
      </w:r>
      <w:r>
        <w:rPr>
          <w:rFonts w:cs="Arial"/>
        </w:rPr>
        <w:fldChar w:fldCharType="begin" w:fldLock="1"/>
      </w:r>
      <w:r w:rsidR="00475856">
        <w:rPr>
          <w:rFonts w:cs="Arial"/>
        </w:rPr>
        <w:instrText>ADDIN CSL_CITATION {"citationItems":[{"id":"ITEM-1","itemData":{"author":[{"dropping-particle":"","family":"Lora","given":"E","non-dropping-particle":"","parse-names":false,"suffix":""}],"container-title":"El Trimestre Económico","id":"ITEM-1","issued":{"date-parts":[["1995"]]},"page":"21-78","publisher":"JSTOR","title":"Los modelos de equilibrio general computable en análisis de incidencia fiscal","type":"article-journal"},"uris":["http://www.mendeley.com/documents/?uuid=c2424cd3-924f-4a16-bbe9-f48837230f28"]}],"mendeley":{"formattedCitation":"(Lora, 1995)","plainTextFormattedCitation":"(Lora, 1995)","previouslyFormattedCitation":"(Lora, 1995)"},"properties":{"noteIndex":0},"schema":"https://github.com/citation-style-language/schema/raw/master/csl-citation.json"}</w:instrText>
      </w:r>
      <w:r>
        <w:rPr>
          <w:rFonts w:cs="Arial"/>
        </w:rPr>
        <w:fldChar w:fldCharType="separate"/>
      </w:r>
      <w:r w:rsidRPr="00733C76">
        <w:rPr>
          <w:rFonts w:cs="Arial"/>
          <w:noProof/>
        </w:rPr>
        <w:t>(Lora, 1995)</w:t>
      </w:r>
      <w:r>
        <w:rPr>
          <w:rFonts w:cs="Arial"/>
        </w:rPr>
        <w:fldChar w:fldCharType="end"/>
      </w:r>
      <w:r>
        <w:rPr>
          <w:rFonts w:cs="Arial"/>
        </w:rPr>
        <w:t>.</w:t>
      </w:r>
    </w:p>
    <w:p w14:paraId="42FBB8A4" w14:textId="4567E97B" w:rsidR="00E21110" w:rsidRDefault="00E21110" w:rsidP="00E21110">
      <w:pPr>
        <w:pStyle w:val="Heading2"/>
      </w:pPr>
      <w:bookmarkStart w:id="23" w:name="_Toc2853752"/>
      <w:r>
        <w:t>2.</w:t>
      </w:r>
      <w:r w:rsidR="001F1581">
        <w:t>2</w:t>
      </w:r>
      <w:r>
        <w:t xml:space="preserve"> Matriz de </w:t>
      </w:r>
      <w:r w:rsidR="00FD2269">
        <w:t>C</w:t>
      </w:r>
      <w:r>
        <w:t>ontabilidad Social</w:t>
      </w:r>
      <w:bookmarkEnd w:id="23"/>
    </w:p>
    <w:p w14:paraId="1B346255" w14:textId="54A24A22" w:rsidR="00E21110" w:rsidRDefault="000F7620" w:rsidP="00C139E7">
      <w:pPr>
        <w:spacing w:line="240" w:lineRule="auto"/>
        <w:rPr>
          <w:rFonts w:cs="Arial"/>
        </w:rPr>
      </w:pPr>
      <w:r>
        <w:rPr>
          <w:rFonts w:cs="Arial"/>
        </w:rPr>
        <w:t xml:space="preserve">Los </w:t>
      </w:r>
      <w:r w:rsidR="00732C10">
        <w:rPr>
          <w:rFonts w:cs="Arial"/>
        </w:rPr>
        <w:t>MEG</w:t>
      </w:r>
      <w:r w:rsidR="002512E5">
        <w:rPr>
          <w:rFonts w:cs="Arial"/>
        </w:rPr>
        <w:t>C</w:t>
      </w:r>
      <w:r>
        <w:rPr>
          <w:rFonts w:cs="Arial"/>
        </w:rPr>
        <w:t xml:space="preserve"> necesitan de insumos para su ejecución, donde la fuente de datos por excelencia ha sido la </w:t>
      </w:r>
      <w:r w:rsidR="004629B1">
        <w:rPr>
          <w:rFonts w:cs="Arial"/>
        </w:rPr>
        <w:t>M</w:t>
      </w:r>
      <w:r>
        <w:rPr>
          <w:rFonts w:cs="Arial"/>
        </w:rPr>
        <w:t xml:space="preserve">atriz de </w:t>
      </w:r>
      <w:r w:rsidR="004629B1">
        <w:rPr>
          <w:rFonts w:cs="Arial"/>
        </w:rPr>
        <w:t>C</w:t>
      </w:r>
      <w:r>
        <w:rPr>
          <w:rFonts w:cs="Arial"/>
        </w:rPr>
        <w:t xml:space="preserve">ontabilidad </w:t>
      </w:r>
      <w:r w:rsidR="004629B1">
        <w:rPr>
          <w:rFonts w:cs="Arial"/>
        </w:rPr>
        <w:t>S</w:t>
      </w:r>
      <w:r>
        <w:rPr>
          <w:rFonts w:cs="Arial"/>
        </w:rPr>
        <w:t>ocial (MSC), la cual trata de reflejar las transacciones de una economía en momento especifico</w:t>
      </w:r>
      <w:r w:rsidR="001F3D52">
        <w:rPr>
          <w:rFonts w:cs="Arial"/>
        </w:rPr>
        <w:t xml:space="preserve"> en el tiempo</w:t>
      </w:r>
      <w:r>
        <w:rPr>
          <w:rFonts w:cs="Arial"/>
        </w:rPr>
        <w:t>.</w:t>
      </w:r>
    </w:p>
    <w:p w14:paraId="4AD2B30A" w14:textId="17284FBB" w:rsidR="000F7620" w:rsidRDefault="000F7620" w:rsidP="00C139E7">
      <w:pPr>
        <w:spacing w:line="240" w:lineRule="auto"/>
        <w:rPr>
          <w:rFonts w:cs="Arial"/>
        </w:rPr>
      </w:pPr>
      <w:r>
        <w:rPr>
          <w:rFonts w:cs="Arial"/>
        </w:rPr>
        <w:t xml:space="preserve">La utilidad de la MCS </w:t>
      </w:r>
      <w:r w:rsidR="001F3D52">
        <w:rPr>
          <w:rFonts w:cs="Arial"/>
        </w:rPr>
        <w:t xml:space="preserve">obedece </w:t>
      </w:r>
      <w:r>
        <w:rPr>
          <w:rFonts w:cs="Arial"/>
        </w:rPr>
        <w:t>a</w:t>
      </w:r>
      <w:r w:rsidR="00FF5BC9">
        <w:rPr>
          <w:rFonts w:cs="Arial"/>
        </w:rPr>
        <w:t xml:space="preserve"> la</w:t>
      </w:r>
      <w:r>
        <w:rPr>
          <w:rFonts w:cs="Arial"/>
        </w:rPr>
        <w:t xml:space="preserve"> facilidad de resumir las cuentas nacionales de un país. Además, ha servido para la realización de los MEG</w:t>
      </w:r>
      <w:r w:rsidR="002512E5">
        <w:rPr>
          <w:rFonts w:cs="Arial"/>
        </w:rPr>
        <w:t>C</w:t>
      </w:r>
      <w:r>
        <w:rPr>
          <w:rFonts w:cs="Arial"/>
        </w:rPr>
        <w:t>, como marco de calibración del mismo: “</w:t>
      </w:r>
      <w:r w:rsidRPr="0056664B">
        <w:rPr>
          <w:rFonts w:cs="Arial"/>
        </w:rPr>
        <w:t xml:space="preserve">Por sus ventajas, la MCS se ha convertido en el marco contable por excelencia de modelos de equilibrio general enfocados al análisis de políticas que tienen implicaciones </w:t>
      </w:r>
      <w:r>
        <w:rPr>
          <w:rFonts w:cs="Arial"/>
        </w:rPr>
        <w:t>para la economía en su conjunto”.</w:t>
      </w:r>
      <w:r w:rsidR="00822F1A">
        <w:rPr>
          <w:rFonts w:cs="Arial"/>
        </w:rPr>
        <w:t xml:space="preserve"> </w:t>
      </w:r>
      <w:r>
        <w:rPr>
          <w:rFonts w:cs="Arial"/>
        </w:rPr>
        <w:fldChar w:fldCharType="begin" w:fldLock="1"/>
      </w:r>
      <w:r w:rsidR="00475856">
        <w:rPr>
          <w:rFonts w:cs="Arial"/>
        </w:rPr>
        <w:instrText>ADDIN CSL_CITATION {"citationItems":[{"id":"ITEM-1","itemData":{"author":[{"dropping-particle":"","family":"Cicowiez","given":"Martín","non-dropping-particle":"","parse-names":false,"suffix":""},{"dropping-particle":"","family":"Sánchez","given":"Marco Vinicio","non-dropping-particle":"","parse-names":false,"suffix":""},{"dropping-particle":"","family":"Saborío","given":"Gabriela","non-dropping-particle":"","parse-names":false,"suffix":""}],"id":"ITEM-1","issued":{"date-parts":[["2016"]]},"number-of-pages":"34","publisher-place":"San José","title":"Matriz de contabilidad social Costa Rica 2012, fundamentos metodológicos de su construcción","type":"report"},"uris":["http://www.mendeley.com/documents/?uuid=53a07809-4991-432a-b481-137686f6bd14"]}],"mendeley":{"formattedCitation":"(Cicowiez, Sánchez, &amp; Saborío, 2016)","plainTextFormattedCitation":"(Cicowiez, Sánchez, &amp; Saborío, 2016)","previouslyFormattedCitation":"(Cicowiez, Sánchez, &amp; Saborío, 2016)"},"properties":{"noteIndex":0},"schema":"https://github.com/citation-style-language/schema/raw/master/csl-citation.json"}</w:instrText>
      </w:r>
      <w:r>
        <w:rPr>
          <w:rFonts w:cs="Arial"/>
        </w:rPr>
        <w:fldChar w:fldCharType="separate"/>
      </w:r>
      <w:r w:rsidRPr="00DE3E6A">
        <w:rPr>
          <w:rFonts w:cs="Arial"/>
          <w:noProof/>
        </w:rPr>
        <w:t>(Cicowiez, Sánchez, &amp; Saborío, 2016)</w:t>
      </w:r>
      <w:r>
        <w:rPr>
          <w:rFonts w:cs="Arial"/>
        </w:rPr>
        <w:fldChar w:fldCharType="end"/>
      </w:r>
      <w:r>
        <w:rPr>
          <w:rFonts w:cs="Arial"/>
        </w:rPr>
        <w:t>.</w:t>
      </w:r>
    </w:p>
    <w:p w14:paraId="0BFE80DE" w14:textId="5362C1A3" w:rsidR="006930CB" w:rsidRDefault="006930CB" w:rsidP="006930CB">
      <w:pPr>
        <w:spacing w:after="0" w:line="240" w:lineRule="auto"/>
        <w:rPr>
          <w:rFonts w:cs="Arial"/>
        </w:rPr>
      </w:pPr>
      <w:r>
        <w:rPr>
          <w:rFonts w:cs="Arial"/>
        </w:rPr>
        <w:t>Para Costa Rica, l</w:t>
      </w:r>
      <w:r w:rsidRPr="00050F01">
        <w:rPr>
          <w:rFonts w:cs="Arial"/>
        </w:rPr>
        <w:t>a MCS pertenece a un conjunto de datos que elabora el Banco Central de Costa Rica</w:t>
      </w:r>
      <w:r w:rsidR="00754AB4">
        <w:rPr>
          <w:rFonts w:cs="Arial"/>
        </w:rPr>
        <w:t xml:space="preserve"> (BCCR)</w:t>
      </w:r>
      <w:r w:rsidRPr="00050F01">
        <w:rPr>
          <w:rFonts w:cs="Arial"/>
        </w:rPr>
        <w:t xml:space="preserve">, la cual permite obtener información relevante </w:t>
      </w:r>
      <w:r>
        <w:rPr>
          <w:rFonts w:cs="Arial"/>
        </w:rPr>
        <w:t xml:space="preserve">para un </w:t>
      </w:r>
      <w:r w:rsidR="00C17D01">
        <w:rPr>
          <w:rFonts w:cs="Arial"/>
        </w:rPr>
        <w:t>Mo</w:t>
      </w:r>
      <w:r>
        <w:rPr>
          <w:rFonts w:cs="Arial"/>
        </w:rPr>
        <w:t xml:space="preserve">delo de </w:t>
      </w:r>
      <w:r w:rsidR="00C17D01">
        <w:rPr>
          <w:rFonts w:cs="Arial"/>
        </w:rPr>
        <w:t>E</w:t>
      </w:r>
      <w:r>
        <w:rPr>
          <w:rFonts w:cs="Arial"/>
        </w:rPr>
        <w:t xml:space="preserve">quilibrio </w:t>
      </w:r>
      <w:r w:rsidR="00C17D01">
        <w:rPr>
          <w:rFonts w:cs="Arial"/>
        </w:rPr>
        <w:t>G</w:t>
      </w:r>
      <w:r>
        <w:rPr>
          <w:rFonts w:cs="Arial"/>
        </w:rPr>
        <w:t>eneral</w:t>
      </w:r>
      <w:r w:rsidRPr="00050F01">
        <w:rPr>
          <w:rFonts w:cs="Arial"/>
        </w:rPr>
        <w:t xml:space="preserve">. Entre las características que posee la matriz, se encuentra la capacidad de mostrar todas las transacciones que se realizan en la </w:t>
      </w:r>
      <w:r w:rsidR="00202BD2">
        <w:rPr>
          <w:rFonts w:cs="Arial"/>
        </w:rPr>
        <w:t>e</w:t>
      </w:r>
      <w:r w:rsidRPr="00050F01">
        <w:rPr>
          <w:rFonts w:cs="Arial"/>
        </w:rPr>
        <w:t xml:space="preserve">conomía, es decir, la capacidad de mostrar las interacciones entre distintos agentes. Se podría inferir, que la MCS es una fotografía </w:t>
      </w:r>
      <w:r w:rsidR="00822F1A">
        <w:rPr>
          <w:rFonts w:cs="Arial"/>
        </w:rPr>
        <w:t xml:space="preserve">total </w:t>
      </w:r>
      <w:r w:rsidRPr="00050F01">
        <w:rPr>
          <w:rFonts w:cs="Arial"/>
        </w:rPr>
        <w:t xml:space="preserve">de la </w:t>
      </w:r>
      <w:r w:rsidR="00822F1A">
        <w:rPr>
          <w:rFonts w:cs="Arial"/>
        </w:rPr>
        <w:t>e</w:t>
      </w:r>
      <w:r w:rsidRPr="00050F01">
        <w:rPr>
          <w:rFonts w:cs="Arial"/>
        </w:rPr>
        <w:t xml:space="preserve">conomía de un país, compartiendo la característica estática. </w:t>
      </w:r>
    </w:p>
    <w:p w14:paraId="297BFB44" w14:textId="77777777" w:rsidR="00291701" w:rsidRPr="00050F01" w:rsidRDefault="00291701" w:rsidP="006930CB">
      <w:pPr>
        <w:spacing w:after="0" w:line="240" w:lineRule="auto"/>
        <w:rPr>
          <w:rFonts w:cs="Arial"/>
        </w:rPr>
      </w:pPr>
    </w:p>
    <w:p w14:paraId="3DA2835D" w14:textId="4F7AFA9A" w:rsidR="006930CB" w:rsidRDefault="006930CB" w:rsidP="006930CB">
      <w:pPr>
        <w:spacing w:line="240" w:lineRule="auto"/>
        <w:rPr>
          <w:rFonts w:cs="Arial"/>
        </w:rPr>
      </w:pPr>
      <w:r w:rsidRPr="00050F01">
        <w:rPr>
          <w:rFonts w:cs="Arial"/>
        </w:rPr>
        <w:t xml:space="preserve">Se puede partir desde una </w:t>
      </w:r>
      <w:r w:rsidR="00202BD2">
        <w:rPr>
          <w:rFonts w:cs="Arial"/>
        </w:rPr>
        <w:t>e</w:t>
      </w:r>
      <w:r w:rsidRPr="00050F01">
        <w:rPr>
          <w:rFonts w:cs="Arial"/>
        </w:rPr>
        <w:t>conomía cerrada para entender el flujo circular, los factores venden su servicio a las actividades, obteniendo ingresos por ello, lo cual permite a distintas instituciones realizar compras en los diferentes mercados. Las actividades obtienen ingresos por la venta de productos, pagando a los factores y a los productos intermedios</w:t>
      </w:r>
      <w:r w:rsidR="000F7CD1">
        <w:rPr>
          <w:rFonts w:cs="Arial"/>
        </w:rPr>
        <w:t xml:space="preserve">, un esquema se puede observar en la </w:t>
      </w:r>
      <w:r w:rsidR="00385C5C">
        <w:rPr>
          <w:rFonts w:cs="Arial"/>
        </w:rPr>
        <w:fldChar w:fldCharType="begin"/>
      </w:r>
      <w:r w:rsidR="00385C5C">
        <w:rPr>
          <w:rFonts w:cs="Arial"/>
        </w:rPr>
        <w:instrText xml:space="preserve"> REF _Ref525020972 \h</w:instrText>
      </w:r>
      <w:r w:rsidR="00DB4BBE">
        <w:rPr>
          <w:rFonts w:cs="Arial"/>
        </w:rPr>
        <w:instrText xml:space="preserve"> </w:instrText>
      </w:r>
      <w:r w:rsidR="00DB4BBE">
        <w:instrText>\* lower</w:instrText>
      </w:r>
      <w:r w:rsidR="00385C5C">
        <w:rPr>
          <w:rFonts w:cs="Arial"/>
        </w:rPr>
        <w:instrText xml:space="preserve"> </w:instrText>
      </w:r>
      <w:r w:rsidR="00385C5C">
        <w:rPr>
          <w:rFonts w:cs="Arial"/>
        </w:rPr>
      </w:r>
      <w:r w:rsidR="00385C5C">
        <w:rPr>
          <w:rFonts w:cs="Arial"/>
        </w:rPr>
        <w:fldChar w:fldCharType="separate"/>
      </w:r>
      <w:r w:rsidR="00A95E32">
        <w:t xml:space="preserve">figura </w:t>
      </w:r>
      <w:r w:rsidR="00A95E32">
        <w:rPr>
          <w:noProof/>
        </w:rPr>
        <w:t>3</w:t>
      </w:r>
      <w:r w:rsidR="00385C5C">
        <w:rPr>
          <w:rFonts w:cs="Arial"/>
        </w:rPr>
        <w:fldChar w:fldCharType="end"/>
      </w:r>
      <w:r w:rsidRPr="00050F01">
        <w:rPr>
          <w:rFonts w:cs="Arial"/>
        </w:rPr>
        <w:t xml:space="preserve">. Con una </w:t>
      </w:r>
      <w:r w:rsidR="00202BD2">
        <w:rPr>
          <w:rFonts w:cs="Arial"/>
        </w:rPr>
        <w:t>e</w:t>
      </w:r>
      <w:r w:rsidRPr="00050F01">
        <w:rPr>
          <w:rFonts w:cs="Arial"/>
        </w:rPr>
        <w:t xml:space="preserve">conomía abierta, se sigue la misma lógica, las instituciones venden sus servicios para la producción doméstica y externa. Además, tienen la posibilidad de comprar productos nacionales o extranjeros. </w:t>
      </w:r>
    </w:p>
    <w:p w14:paraId="33B2DD0F" w14:textId="1760C9D9" w:rsidR="000F7CD1" w:rsidRDefault="000F7CD1" w:rsidP="000F7CD1">
      <w:pPr>
        <w:pStyle w:val="Caption"/>
      </w:pPr>
      <w:bookmarkStart w:id="24" w:name="_Ref525020972"/>
      <w:bookmarkStart w:id="25" w:name="_Toc2853720"/>
      <w:r>
        <w:lastRenderedPageBreak/>
        <w:t xml:space="preserve">Figura </w:t>
      </w:r>
      <w:r w:rsidR="00F700CF">
        <w:rPr>
          <w:noProof/>
        </w:rPr>
        <w:fldChar w:fldCharType="begin"/>
      </w:r>
      <w:r w:rsidR="00F700CF">
        <w:rPr>
          <w:noProof/>
        </w:rPr>
        <w:instrText xml:space="preserve"> SEQ Figura \* ARABIC </w:instrText>
      </w:r>
      <w:r w:rsidR="00F700CF">
        <w:rPr>
          <w:noProof/>
        </w:rPr>
        <w:fldChar w:fldCharType="separate"/>
      </w:r>
      <w:r w:rsidR="00A95E32">
        <w:rPr>
          <w:noProof/>
        </w:rPr>
        <w:t>3</w:t>
      </w:r>
      <w:r w:rsidR="00F700CF">
        <w:rPr>
          <w:noProof/>
        </w:rPr>
        <w:fldChar w:fldCharType="end"/>
      </w:r>
      <w:bookmarkEnd w:id="24"/>
      <w:r>
        <w:t xml:space="preserve"> </w:t>
      </w:r>
      <w:r>
        <w:br/>
        <w:t>Flujo circular de una Economía Cerrada</w:t>
      </w:r>
      <w:bookmarkEnd w:id="25"/>
    </w:p>
    <w:p w14:paraId="5565D49E" w14:textId="19B988F5" w:rsidR="000F7CD1" w:rsidRPr="000F7CD1" w:rsidRDefault="00844C4D" w:rsidP="000F7CD1">
      <w:r>
        <w:rPr>
          <w:noProof/>
        </w:rPr>
        <mc:AlternateContent>
          <mc:Choice Requires="wpg">
            <w:drawing>
              <wp:anchor distT="0" distB="0" distL="114300" distR="114300" simplePos="0" relativeHeight="251658244" behindDoc="0" locked="0" layoutInCell="1" allowOverlap="1" wp14:anchorId="215034DC" wp14:editId="46AEEC82">
                <wp:simplePos x="0" y="0"/>
                <wp:positionH relativeFrom="margin">
                  <wp:posOffset>0</wp:posOffset>
                </wp:positionH>
                <wp:positionV relativeFrom="paragraph">
                  <wp:posOffset>452120</wp:posOffset>
                </wp:positionV>
                <wp:extent cx="5486400" cy="6716395"/>
                <wp:effectExtent l="0" t="0" r="0" b="8255"/>
                <wp:wrapTopAndBottom/>
                <wp:docPr id="9" name="Group 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486400" cy="6716395"/>
                          <a:chOff x="0" y="0"/>
                          <a:chExt cx="5486400" cy="6716266"/>
                        </a:xfrm>
                      </wpg:grpSpPr>
                      <wpg:grpSp>
                        <wpg:cNvPr id="208" name="Group 208"/>
                        <wpg:cNvGrpSpPr/>
                        <wpg:grpSpPr>
                          <a:xfrm>
                            <a:off x="0" y="0"/>
                            <a:ext cx="5486400" cy="6716266"/>
                            <a:chOff x="0" y="0"/>
                            <a:chExt cx="5486400" cy="6716266"/>
                          </a:xfrm>
                        </wpg:grpSpPr>
                        <wpg:grpSp>
                          <wpg:cNvPr id="209" name="Group 209"/>
                          <wpg:cNvGrpSpPr/>
                          <wpg:grpSpPr>
                            <a:xfrm>
                              <a:off x="1935126" y="0"/>
                              <a:ext cx="1748367" cy="1761067"/>
                              <a:chOff x="0" y="0"/>
                              <a:chExt cx="1748367" cy="1761067"/>
                            </a:xfrm>
                          </wpg:grpSpPr>
                          <wps:wsp>
                            <wps:cNvPr id="210" name="Text Box 2"/>
                            <wps:cNvSpPr txBox="1">
                              <a:spLocks noChangeArrowheads="1"/>
                            </wps:cNvSpPr>
                            <wps:spPr bwMode="auto">
                              <a:xfrm>
                                <a:off x="1202900" y="278721"/>
                                <a:ext cx="334433" cy="360159"/>
                              </a:xfrm>
                              <a:prstGeom prst="rect">
                                <a:avLst/>
                              </a:prstGeom>
                              <a:noFill/>
                              <a:ln>
                                <a:noFill/>
                              </a:ln>
                              <a:effectLst/>
                            </wps:spPr>
                            <wps:txbx>
                              <w:txbxContent>
                                <w:p w14:paraId="2F8472D7" w14:textId="77777777" w:rsidR="005E1105" w:rsidRPr="0042215A" w:rsidRDefault="005E1105" w:rsidP="00F41394">
                                  <w:pPr>
                                    <w:rPr>
                                      <w:i/>
                                      <w:vertAlign w:val="subscript"/>
                                      <w:lang w:val="en-US"/>
                                    </w:rPr>
                                  </w:pPr>
                                  <w:r>
                                    <w:rPr>
                                      <w:i/>
                                    </w:rPr>
                                    <w:t>S</w:t>
                                  </w:r>
                                  <w:r w:rsidRPr="0042215A">
                                    <w:rPr>
                                      <w:i/>
                                      <w:vertAlign w:val="subscript"/>
                                    </w:rPr>
                                    <w:t>f</w:t>
                                  </w:r>
                                </w:p>
                              </w:txbxContent>
                            </wps:txbx>
                            <wps:bodyPr rot="0" vert="horz" wrap="square" lIns="91440" tIns="45720" rIns="91440" bIns="45720" anchor="t" anchorCtr="0">
                              <a:noAutofit/>
                            </wps:bodyPr>
                          </wps:wsp>
                          <wpg:grpSp>
                            <wpg:cNvPr id="213" name="Group 213"/>
                            <wpg:cNvGrpSpPr/>
                            <wpg:grpSpPr>
                              <a:xfrm>
                                <a:off x="0" y="0"/>
                                <a:ext cx="1748367" cy="1761067"/>
                                <a:chOff x="0" y="0"/>
                                <a:chExt cx="1748367" cy="1761067"/>
                              </a:xfrm>
                            </wpg:grpSpPr>
                            <wpg:grpSp>
                              <wpg:cNvPr id="215" name="Group 215"/>
                              <wpg:cNvGrpSpPr/>
                              <wpg:grpSpPr>
                                <a:xfrm>
                                  <a:off x="160867" y="287867"/>
                                  <a:ext cx="1270845" cy="1267629"/>
                                  <a:chOff x="0" y="0"/>
                                  <a:chExt cx="1255014" cy="1252024"/>
                                </a:xfrm>
                              </wpg:grpSpPr>
                              <wpg:grpSp>
                                <wpg:cNvPr id="216" name="Group 216"/>
                                <wpg:cNvGrpSpPr/>
                                <wpg:grpSpPr>
                                  <a:xfrm>
                                    <a:off x="0" y="0"/>
                                    <a:ext cx="1255014" cy="1252024"/>
                                    <a:chOff x="0" y="0"/>
                                    <a:chExt cx="1255014" cy="1252024"/>
                                  </a:xfrm>
                                </wpg:grpSpPr>
                                <wps:wsp>
                                  <wps:cNvPr id="217" name="Straight Arrow Connector 217"/>
                                  <wps:cNvCnPr/>
                                  <wps:spPr>
                                    <a:xfrm>
                                      <a:off x="0" y="0"/>
                                      <a:ext cx="0" cy="1252024"/>
                                    </a:xfrm>
                                    <a:prstGeom prst="straightConnector1">
                                      <a:avLst/>
                                    </a:prstGeom>
                                    <a:noFill/>
                                    <a:ln w="6350" cap="flat" cmpd="sng" algn="ctr">
                                      <a:solidFill>
                                        <a:sysClr val="windowText" lastClr="000000"/>
                                      </a:solidFill>
                                      <a:prstDash val="solid"/>
                                      <a:miter lim="800000"/>
                                      <a:headEnd type="triangle"/>
                                      <a:tailEnd type="none"/>
                                    </a:ln>
                                    <a:effectLst/>
                                  </wps:spPr>
                                  <wps:bodyPr/>
                                </wps:wsp>
                                <wps:wsp>
                                  <wps:cNvPr id="218" name="Straight Arrow Connector 218"/>
                                  <wps:cNvCnPr/>
                                  <wps:spPr>
                                    <a:xfrm rot="5400000">
                                      <a:off x="628650" y="624417"/>
                                      <a:ext cx="0" cy="1252728"/>
                                    </a:xfrm>
                                    <a:prstGeom prst="straightConnector1">
                                      <a:avLst/>
                                    </a:prstGeom>
                                    <a:noFill/>
                                    <a:ln w="6350" cap="flat" cmpd="sng" algn="ctr">
                                      <a:solidFill>
                                        <a:sysClr val="windowText" lastClr="000000"/>
                                      </a:solidFill>
                                      <a:prstDash val="solid"/>
                                      <a:miter lim="800000"/>
                                      <a:headEnd type="triangle"/>
                                      <a:tailEnd type="none"/>
                                    </a:ln>
                                    <a:effectLst/>
                                  </wps:spPr>
                                  <wps:bodyPr/>
                                </wps:wsp>
                              </wpg:grpSp>
                              <wpg:grpSp>
                                <wpg:cNvPr id="219" name="Group 219"/>
                                <wpg:cNvGrpSpPr/>
                                <wpg:grpSpPr>
                                  <a:xfrm>
                                    <a:off x="63500" y="110067"/>
                                    <a:ext cx="1083733" cy="1066800"/>
                                    <a:chOff x="0" y="0"/>
                                    <a:chExt cx="1083733" cy="1066800"/>
                                  </a:xfrm>
                                </wpg:grpSpPr>
                                <wps:wsp>
                                  <wps:cNvPr id="220" name="Freeform: Shape 220"/>
                                  <wps:cNvSpPr/>
                                  <wps:spPr>
                                    <a:xfrm>
                                      <a:off x="0" y="12700"/>
                                      <a:ext cx="1007533" cy="1054100"/>
                                    </a:xfrm>
                                    <a:custGeom>
                                      <a:avLst/>
                                      <a:gdLst>
                                        <a:gd name="connsiteX0" fmla="*/ 0 w 1007533"/>
                                        <a:gd name="connsiteY0" fmla="*/ 1054100 h 1054100"/>
                                        <a:gd name="connsiteX1" fmla="*/ 1007533 w 1007533"/>
                                        <a:gd name="connsiteY1" fmla="*/ 0 h 1054100"/>
                                        <a:gd name="connsiteX2" fmla="*/ 1007533 w 1007533"/>
                                        <a:gd name="connsiteY2" fmla="*/ 0 h 1054100"/>
                                        <a:gd name="connsiteX0" fmla="*/ 0 w 1007533"/>
                                        <a:gd name="connsiteY0" fmla="*/ 1054100 h 1054100"/>
                                        <a:gd name="connsiteX1" fmla="*/ 1007533 w 1007533"/>
                                        <a:gd name="connsiteY1" fmla="*/ 0 h 1054100"/>
                                        <a:gd name="connsiteX2" fmla="*/ 1007533 w 1007533"/>
                                        <a:gd name="connsiteY2" fmla="*/ 0 h 1054100"/>
                                        <a:gd name="connsiteX0" fmla="*/ 0 w 1007533"/>
                                        <a:gd name="connsiteY0" fmla="*/ 1054100 h 1054100"/>
                                        <a:gd name="connsiteX1" fmla="*/ 1007533 w 1007533"/>
                                        <a:gd name="connsiteY1" fmla="*/ 0 h 1054100"/>
                                        <a:gd name="connsiteX2" fmla="*/ 1007533 w 1007533"/>
                                        <a:gd name="connsiteY2" fmla="*/ 0 h 1054100"/>
                                        <a:gd name="connsiteX0" fmla="*/ 0 w 1007533"/>
                                        <a:gd name="connsiteY0" fmla="*/ 1054100 h 1054100"/>
                                        <a:gd name="connsiteX1" fmla="*/ 1007533 w 1007533"/>
                                        <a:gd name="connsiteY1" fmla="*/ 0 h 1054100"/>
                                        <a:gd name="connsiteX2" fmla="*/ 1007533 w 1007533"/>
                                        <a:gd name="connsiteY2" fmla="*/ 0 h 1054100"/>
                                        <a:gd name="connsiteX0" fmla="*/ 0 w 1007533"/>
                                        <a:gd name="connsiteY0" fmla="*/ 1054100 h 1054100"/>
                                        <a:gd name="connsiteX1" fmla="*/ 1007533 w 1007533"/>
                                        <a:gd name="connsiteY1" fmla="*/ 0 h 1054100"/>
                                        <a:gd name="connsiteX2" fmla="*/ 1007533 w 1007533"/>
                                        <a:gd name="connsiteY2" fmla="*/ 0 h 1054100"/>
                                      </a:gdLst>
                                      <a:ahLst/>
                                      <a:cxnLst>
                                        <a:cxn ang="0">
                                          <a:pos x="connsiteX0" y="connsiteY0"/>
                                        </a:cxn>
                                        <a:cxn ang="0">
                                          <a:pos x="connsiteX1" y="connsiteY1"/>
                                        </a:cxn>
                                        <a:cxn ang="0">
                                          <a:pos x="connsiteX2" y="connsiteY2"/>
                                        </a:cxn>
                                      </a:cxnLst>
                                      <a:rect l="l" t="t" r="r" b="b"/>
                                      <a:pathLst>
                                        <a:path w="1007533" h="1054100">
                                          <a:moveTo>
                                            <a:pt x="0" y="1054100"/>
                                          </a:moveTo>
                                          <a:cubicBezTo>
                                            <a:pt x="357020" y="859366"/>
                                            <a:pt x="811448" y="833967"/>
                                            <a:pt x="1007533" y="0"/>
                                          </a:cubicBezTo>
                                          <a:lnTo>
                                            <a:pt x="1007533" y="0"/>
                                          </a:lnTo>
                                        </a:path>
                                      </a:pathLst>
                                    </a:cu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1" name="Freeform: Shape 221"/>
                                  <wps:cNvSpPr/>
                                  <wps:spPr>
                                    <a:xfrm flipH="1">
                                      <a:off x="76200" y="0"/>
                                      <a:ext cx="1007533" cy="1054100"/>
                                    </a:xfrm>
                                    <a:custGeom>
                                      <a:avLst/>
                                      <a:gdLst>
                                        <a:gd name="connsiteX0" fmla="*/ 0 w 1007533"/>
                                        <a:gd name="connsiteY0" fmla="*/ 1054100 h 1054100"/>
                                        <a:gd name="connsiteX1" fmla="*/ 1007533 w 1007533"/>
                                        <a:gd name="connsiteY1" fmla="*/ 0 h 1054100"/>
                                        <a:gd name="connsiteX2" fmla="*/ 1007533 w 1007533"/>
                                        <a:gd name="connsiteY2" fmla="*/ 0 h 1054100"/>
                                        <a:gd name="connsiteX0" fmla="*/ 0 w 1007533"/>
                                        <a:gd name="connsiteY0" fmla="*/ 1054100 h 1054100"/>
                                        <a:gd name="connsiteX1" fmla="*/ 1007533 w 1007533"/>
                                        <a:gd name="connsiteY1" fmla="*/ 0 h 1054100"/>
                                        <a:gd name="connsiteX2" fmla="*/ 1007533 w 1007533"/>
                                        <a:gd name="connsiteY2" fmla="*/ 0 h 1054100"/>
                                        <a:gd name="connsiteX0" fmla="*/ 0 w 1007533"/>
                                        <a:gd name="connsiteY0" fmla="*/ 1054100 h 1054100"/>
                                        <a:gd name="connsiteX1" fmla="*/ 1007533 w 1007533"/>
                                        <a:gd name="connsiteY1" fmla="*/ 0 h 1054100"/>
                                        <a:gd name="connsiteX2" fmla="*/ 1007533 w 1007533"/>
                                        <a:gd name="connsiteY2" fmla="*/ 0 h 1054100"/>
                                        <a:gd name="connsiteX0" fmla="*/ 0 w 1007533"/>
                                        <a:gd name="connsiteY0" fmla="*/ 1054100 h 1054100"/>
                                        <a:gd name="connsiteX1" fmla="*/ 1007533 w 1007533"/>
                                        <a:gd name="connsiteY1" fmla="*/ 0 h 1054100"/>
                                        <a:gd name="connsiteX2" fmla="*/ 1007533 w 1007533"/>
                                        <a:gd name="connsiteY2" fmla="*/ 0 h 1054100"/>
                                        <a:gd name="connsiteX0" fmla="*/ 0 w 1007533"/>
                                        <a:gd name="connsiteY0" fmla="*/ 1054100 h 1054100"/>
                                        <a:gd name="connsiteX1" fmla="*/ 1007533 w 1007533"/>
                                        <a:gd name="connsiteY1" fmla="*/ 0 h 1054100"/>
                                        <a:gd name="connsiteX2" fmla="*/ 1007533 w 1007533"/>
                                        <a:gd name="connsiteY2" fmla="*/ 0 h 1054100"/>
                                      </a:gdLst>
                                      <a:ahLst/>
                                      <a:cxnLst>
                                        <a:cxn ang="0">
                                          <a:pos x="connsiteX0" y="connsiteY0"/>
                                        </a:cxn>
                                        <a:cxn ang="0">
                                          <a:pos x="connsiteX1" y="connsiteY1"/>
                                        </a:cxn>
                                        <a:cxn ang="0">
                                          <a:pos x="connsiteX2" y="connsiteY2"/>
                                        </a:cxn>
                                      </a:cxnLst>
                                      <a:rect l="l" t="t" r="r" b="b"/>
                                      <a:pathLst>
                                        <a:path w="1007533" h="1054100">
                                          <a:moveTo>
                                            <a:pt x="0" y="1054100"/>
                                          </a:moveTo>
                                          <a:cubicBezTo>
                                            <a:pt x="357020" y="859366"/>
                                            <a:pt x="811448" y="833967"/>
                                            <a:pt x="1007533" y="0"/>
                                          </a:cubicBezTo>
                                          <a:lnTo>
                                            <a:pt x="1007533" y="0"/>
                                          </a:lnTo>
                                        </a:path>
                                      </a:pathLst>
                                    </a:cu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s:wsp>
                              <wps:cNvPr id="222" name="Text Box 2"/>
                              <wps:cNvSpPr txBox="1">
                                <a:spLocks noChangeArrowheads="1"/>
                              </wps:cNvSpPr>
                              <wps:spPr bwMode="auto">
                                <a:xfrm>
                                  <a:off x="0" y="0"/>
                                  <a:ext cx="334433" cy="360159"/>
                                </a:xfrm>
                                <a:prstGeom prst="rect">
                                  <a:avLst/>
                                </a:prstGeom>
                                <a:noFill/>
                                <a:ln>
                                  <a:noFill/>
                                </a:ln>
                                <a:effectLst/>
                              </wps:spPr>
                              <wps:txbx>
                                <w:txbxContent>
                                  <w:p w14:paraId="07365EBA" w14:textId="77777777" w:rsidR="005E1105" w:rsidRPr="0042215A" w:rsidRDefault="005E1105" w:rsidP="00F41394">
                                    <w:pPr>
                                      <w:rPr>
                                        <w:i/>
                                        <w:vertAlign w:val="subscript"/>
                                        <w:lang w:val="en-US"/>
                                      </w:rPr>
                                    </w:pPr>
                                    <w:r w:rsidRPr="0042215A">
                                      <w:rPr>
                                        <w:i/>
                                      </w:rPr>
                                      <w:t>P</w:t>
                                    </w:r>
                                    <w:r w:rsidRPr="0042215A">
                                      <w:rPr>
                                        <w:i/>
                                        <w:vertAlign w:val="subscript"/>
                                      </w:rPr>
                                      <w:t>f</w:t>
                                    </w:r>
                                  </w:p>
                                </w:txbxContent>
                              </wps:txbx>
                              <wps:bodyPr rot="0" vert="horz" wrap="square" lIns="91440" tIns="45720" rIns="91440" bIns="45720" anchor="t" anchorCtr="0">
                                <a:noAutofit/>
                              </wps:bodyPr>
                            </wps:wsp>
                            <wps:wsp>
                              <wps:cNvPr id="223" name="Text Box 2"/>
                              <wps:cNvSpPr txBox="1">
                                <a:spLocks noChangeArrowheads="1"/>
                              </wps:cNvSpPr>
                              <wps:spPr bwMode="auto">
                                <a:xfrm>
                                  <a:off x="1418167" y="1405467"/>
                                  <a:ext cx="330200" cy="355600"/>
                                </a:xfrm>
                                <a:prstGeom prst="rect">
                                  <a:avLst/>
                                </a:prstGeom>
                                <a:noFill/>
                                <a:ln>
                                  <a:noFill/>
                                </a:ln>
                                <a:effectLst/>
                              </wps:spPr>
                              <wps:txbx>
                                <w:txbxContent>
                                  <w:p w14:paraId="4BDCB706" w14:textId="77777777" w:rsidR="005E1105" w:rsidRPr="0042215A" w:rsidRDefault="005E1105" w:rsidP="00F41394">
                                    <w:pPr>
                                      <w:rPr>
                                        <w:i/>
                                        <w:vertAlign w:val="subscript"/>
                                        <w:lang w:val="en-US"/>
                                      </w:rPr>
                                    </w:pPr>
                                    <w:r>
                                      <w:rPr>
                                        <w:i/>
                                      </w:rPr>
                                      <w:t>Q</w:t>
                                    </w:r>
                                    <w:r w:rsidRPr="0042215A">
                                      <w:rPr>
                                        <w:i/>
                                        <w:vertAlign w:val="subscript"/>
                                      </w:rPr>
                                      <w:t>f</w:t>
                                    </w:r>
                                  </w:p>
                                </w:txbxContent>
                              </wps:txbx>
                              <wps:bodyPr rot="0" vert="horz" wrap="square" lIns="91440" tIns="45720" rIns="91440" bIns="45720" anchor="t" anchorCtr="0">
                                <a:noAutofit/>
                              </wps:bodyPr>
                            </wps:wsp>
                            <wps:wsp>
                              <wps:cNvPr id="224" name="Text Box 2"/>
                              <wps:cNvSpPr txBox="1">
                                <a:spLocks noChangeArrowheads="1"/>
                              </wps:cNvSpPr>
                              <wps:spPr bwMode="auto">
                                <a:xfrm>
                                  <a:off x="1253067" y="1278467"/>
                                  <a:ext cx="325755" cy="321310"/>
                                </a:xfrm>
                                <a:prstGeom prst="rect">
                                  <a:avLst/>
                                </a:prstGeom>
                                <a:noFill/>
                                <a:ln>
                                  <a:noFill/>
                                </a:ln>
                                <a:effectLst/>
                              </wps:spPr>
                              <wps:txbx>
                                <w:txbxContent>
                                  <w:p w14:paraId="6D663685" w14:textId="77777777" w:rsidR="005E1105" w:rsidRPr="0042215A" w:rsidRDefault="005E1105" w:rsidP="00F41394">
                                    <w:pPr>
                                      <w:rPr>
                                        <w:i/>
                                        <w:vertAlign w:val="subscript"/>
                                        <w:lang w:val="en-US"/>
                                      </w:rPr>
                                    </w:pPr>
                                    <w:r>
                                      <w:rPr>
                                        <w:i/>
                                      </w:rPr>
                                      <w:t>D</w:t>
                                    </w:r>
                                    <w:r w:rsidRPr="0042215A">
                                      <w:rPr>
                                        <w:i/>
                                        <w:vertAlign w:val="subscript"/>
                                      </w:rPr>
                                      <w:t>f</w:t>
                                    </w:r>
                                  </w:p>
                                </w:txbxContent>
                              </wps:txbx>
                              <wps:bodyPr rot="0" vert="horz" wrap="square" lIns="91440" tIns="45720" rIns="91440" bIns="45720" anchor="t" anchorCtr="0">
                                <a:noAutofit/>
                              </wps:bodyPr>
                            </wps:wsp>
                          </wpg:grpSp>
                        </wpg:grpSp>
                        <wpg:grpSp>
                          <wpg:cNvPr id="225" name="Group 225"/>
                          <wpg:cNvGrpSpPr/>
                          <wpg:grpSpPr>
                            <a:xfrm>
                              <a:off x="0" y="1743739"/>
                              <a:ext cx="5486400" cy="4972527"/>
                              <a:chOff x="0" y="0"/>
                              <a:chExt cx="5486400" cy="4972527"/>
                            </a:xfrm>
                          </wpg:grpSpPr>
                          <wpg:graphicFrame>
                            <wpg:cNvPr id="226" name="Diagram 226"/>
                            <wpg:cNvFrPr/>
                            <wpg:xfrm>
                              <a:off x="0" y="0"/>
                              <a:ext cx="5486400" cy="3200400"/>
                            </wpg:xfrm>
                            <a:graphic>
                              <a:graphicData uri="http://schemas.openxmlformats.org/drawingml/2006/diagram">
                                <dgm:relIds xmlns:dgm="http://schemas.openxmlformats.org/drawingml/2006/diagram" xmlns:r="http://schemas.openxmlformats.org/officeDocument/2006/relationships" r:dm="rId17" r:lo="rId18" r:qs="rId19" r:cs="rId20"/>
                              </a:graphicData>
                            </a:graphic>
                          </wpg:graphicFrame>
                          <wpg:grpSp>
                            <wpg:cNvPr id="227" name="Group 227"/>
                            <wpg:cNvGrpSpPr/>
                            <wpg:grpSpPr>
                              <a:xfrm>
                                <a:off x="1902148" y="3207735"/>
                                <a:ext cx="1931487" cy="1764792"/>
                                <a:chOff x="0" y="0"/>
                                <a:chExt cx="1931487" cy="1764792"/>
                              </a:xfrm>
                            </wpg:grpSpPr>
                            <wpg:grpSp>
                              <wpg:cNvPr id="228" name="Group 228"/>
                              <wpg:cNvGrpSpPr/>
                              <wpg:grpSpPr>
                                <a:xfrm>
                                  <a:off x="0" y="0"/>
                                  <a:ext cx="1931487" cy="1764792"/>
                                  <a:chOff x="0" y="0"/>
                                  <a:chExt cx="1748367" cy="1761067"/>
                                </a:xfrm>
                              </wpg:grpSpPr>
                              <wpg:grpSp>
                                <wpg:cNvPr id="229" name="Group 229"/>
                                <wpg:cNvGrpSpPr/>
                                <wpg:grpSpPr>
                                  <a:xfrm>
                                    <a:off x="160867" y="287867"/>
                                    <a:ext cx="1270845" cy="1267629"/>
                                    <a:chOff x="0" y="0"/>
                                    <a:chExt cx="1255014" cy="1252024"/>
                                  </a:xfrm>
                                </wpg:grpSpPr>
                                <wpg:grpSp>
                                  <wpg:cNvPr id="230" name="Group 230"/>
                                  <wpg:cNvGrpSpPr/>
                                  <wpg:grpSpPr>
                                    <a:xfrm>
                                      <a:off x="0" y="0"/>
                                      <a:ext cx="1255014" cy="1252024"/>
                                      <a:chOff x="0" y="0"/>
                                      <a:chExt cx="1255014" cy="1252024"/>
                                    </a:xfrm>
                                  </wpg:grpSpPr>
                                  <wps:wsp>
                                    <wps:cNvPr id="231" name="Straight Arrow Connector 231"/>
                                    <wps:cNvCnPr/>
                                    <wps:spPr>
                                      <a:xfrm>
                                        <a:off x="0" y="0"/>
                                        <a:ext cx="0" cy="1252024"/>
                                      </a:xfrm>
                                      <a:prstGeom prst="straightConnector1">
                                        <a:avLst/>
                                      </a:prstGeom>
                                      <a:noFill/>
                                      <a:ln w="6350" cap="flat" cmpd="sng" algn="ctr">
                                        <a:solidFill>
                                          <a:sysClr val="windowText" lastClr="000000"/>
                                        </a:solidFill>
                                        <a:prstDash val="solid"/>
                                        <a:miter lim="800000"/>
                                        <a:headEnd type="triangle"/>
                                        <a:tailEnd type="none"/>
                                      </a:ln>
                                      <a:effectLst/>
                                    </wps:spPr>
                                    <wps:bodyPr/>
                                  </wps:wsp>
                                  <wps:wsp>
                                    <wps:cNvPr id="232" name="Straight Arrow Connector 232"/>
                                    <wps:cNvCnPr/>
                                    <wps:spPr>
                                      <a:xfrm rot="5400000">
                                        <a:off x="628650" y="624417"/>
                                        <a:ext cx="0" cy="1252728"/>
                                      </a:xfrm>
                                      <a:prstGeom prst="straightConnector1">
                                        <a:avLst/>
                                      </a:prstGeom>
                                      <a:noFill/>
                                      <a:ln w="6350" cap="flat" cmpd="sng" algn="ctr">
                                        <a:solidFill>
                                          <a:sysClr val="windowText" lastClr="000000"/>
                                        </a:solidFill>
                                        <a:prstDash val="solid"/>
                                        <a:miter lim="800000"/>
                                        <a:headEnd type="triangle"/>
                                        <a:tailEnd type="none"/>
                                      </a:ln>
                                      <a:effectLst/>
                                    </wps:spPr>
                                    <wps:bodyPr/>
                                  </wps:wsp>
                                </wpg:grpSp>
                                <wpg:grpSp>
                                  <wpg:cNvPr id="233" name="Group 233"/>
                                  <wpg:cNvGrpSpPr/>
                                  <wpg:grpSpPr>
                                    <a:xfrm>
                                      <a:off x="63500" y="110067"/>
                                      <a:ext cx="1083733" cy="1066800"/>
                                      <a:chOff x="0" y="0"/>
                                      <a:chExt cx="1083733" cy="1066800"/>
                                    </a:xfrm>
                                  </wpg:grpSpPr>
                                  <wps:wsp>
                                    <wps:cNvPr id="234" name="Freeform: Shape 234"/>
                                    <wps:cNvSpPr/>
                                    <wps:spPr>
                                      <a:xfrm>
                                        <a:off x="0" y="12700"/>
                                        <a:ext cx="1007533" cy="1054100"/>
                                      </a:xfrm>
                                      <a:custGeom>
                                        <a:avLst/>
                                        <a:gdLst>
                                          <a:gd name="connsiteX0" fmla="*/ 0 w 1007533"/>
                                          <a:gd name="connsiteY0" fmla="*/ 1054100 h 1054100"/>
                                          <a:gd name="connsiteX1" fmla="*/ 1007533 w 1007533"/>
                                          <a:gd name="connsiteY1" fmla="*/ 0 h 1054100"/>
                                          <a:gd name="connsiteX2" fmla="*/ 1007533 w 1007533"/>
                                          <a:gd name="connsiteY2" fmla="*/ 0 h 1054100"/>
                                          <a:gd name="connsiteX0" fmla="*/ 0 w 1007533"/>
                                          <a:gd name="connsiteY0" fmla="*/ 1054100 h 1054100"/>
                                          <a:gd name="connsiteX1" fmla="*/ 1007533 w 1007533"/>
                                          <a:gd name="connsiteY1" fmla="*/ 0 h 1054100"/>
                                          <a:gd name="connsiteX2" fmla="*/ 1007533 w 1007533"/>
                                          <a:gd name="connsiteY2" fmla="*/ 0 h 1054100"/>
                                          <a:gd name="connsiteX0" fmla="*/ 0 w 1007533"/>
                                          <a:gd name="connsiteY0" fmla="*/ 1054100 h 1054100"/>
                                          <a:gd name="connsiteX1" fmla="*/ 1007533 w 1007533"/>
                                          <a:gd name="connsiteY1" fmla="*/ 0 h 1054100"/>
                                          <a:gd name="connsiteX2" fmla="*/ 1007533 w 1007533"/>
                                          <a:gd name="connsiteY2" fmla="*/ 0 h 1054100"/>
                                          <a:gd name="connsiteX0" fmla="*/ 0 w 1007533"/>
                                          <a:gd name="connsiteY0" fmla="*/ 1054100 h 1054100"/>
                                          <a:gd name="connsiteX1" fmla="*/ 1007533 w 1007533"/>
                                          <a:gd name="connsiteY1" fmla="*/ 0 h 1054100"/>
                                          <a:gd name="connsiteX2" fmla="*/ 1007533 w 1007533"/>
                                          <a:gd name="connsiteY2" fmla="*/ 0 h 1054100"/>
                                          <a:gd name="connsiteX0" fmla="*/ 0 w 1007533"/>
                                          <a:gd name="connsiteY0" fmla="*/ 1054100 h 1054100"/>
                                          <a:gd name="connsiteX1" fmla="*/ 1007533 w 1007533"/>
                                          <a:gd name="connsiteY1" fmla="*/ 0 h 1054100"/>
                                          <a:gd name="connsiteX2" fmla="*/ 1007533 w 1007533"/>
                                          <a:gd name="connsiteY2" fmla="*/ 0 h 1054100"/>
                                        </a:gdLst>
                                        <a:ahLst/>
                                        <a:cxnLst>
                                          <a:cxn ang="0">
                                            <a:pos x="connsiteX0" y="connsiteY0"/>
                                          </a:cxn>
                                          <a:cxn ang="0">
                                            <a:pos x="connsiteX1" y="connsiteY1"/>
                                          </a:cxn>
                                          <a:cxn ang="0">
                                            <a:pos x="connsiteX2" y="connsiteY2"/>
                                          </a:cxn>
                                        </a:cxnLst>
                                        <a:rect l="l" t="t" r="r" b="b"/>
                                        <a:pathLst>
                                          <a:path w="1007533" h="1054100">
                                            <a:moveTo>
                                              <a:pt x="0" y="1054100"/>
                                            </a:moveTo>
                                            <a:cubicBezTo>
                                              <a:pt x="357020" y="859366"/>
                                              <a:pt x="811448" y="833967"/>
                                              <a:pt x="1007533" y="0"/>
                                            </a:cubicBezTo>
                                            <a:lnTo>
                                              <a:pt x="1007533" y="0"/>
                                            </a:lnTo>
                                          </a:path>
                                        </a:pathLst>
                                      </a:cu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5" name="Freeform: Shape 235"/>
                                    <wps:cNvSpPr/>
                                    <wps:spPr>
                                      <a:xfrm flipH="1">
                                        <a:off x="76200" y="0"/>
                                        <a:ext cx="1007533" cy="1054100"/>
                                      </a:xfrm>
                                      <a:custGeom>
                                        <a:avLst/>
                                        <a:gdLst>
                                          <a:gd name="connsiteX0" fmla="*/ 0 w 1007533"/>
                                          <a:gd name="connsiteY0" fmla="*/ 1054100 h 1054100"/>
                                          <a:gd name="connsiteX1" fmla="*/ 1007533 w 1007533"/>
                                          <a:gd name="connsiteY1" fmla="*/ 0 h 1054100"/>
                                          <a:gd name="connsiteX2" fmla="*/ 1007533 w 1007533"/>
                                          <a:gd name="connsiteY2" fmla="*/ 0 h 1054100"/>
                                          <a:gd name="connsiteX0" fmla="*/ 0 w 1007533"/>
                                          <a:gd name="connsiteY0" fmla="*/ 1054100 h 1054100"/>
                                          <a:gd name="connsiteX1" fmla="*/ 1007533 w 1007533"/>
                                          <a:gd name="connsiteY1" fmla="*/ 0 h 1054100"/>
                                          <a:gd name="connsiteX2" fmla="*/ 1007533 w 1007533"/>
                                          <a:gd name="connsiteY2" fmla="*/ 0 h 1054100"/>
                                          <a:gd name="connsiteX0" fmla="*/ 0 w 1007533"/>
                                          <a:gd name="connsiteY0" fmla="*/ 1054100 h 1054100"/>
                                          <a:gd name="connsiteX1" fmla="*/ 1007533 w 1007533"/>
                                          <a:gd name="connsiteY1" fmla="*/ 0 h 1054100"/>
                                          <a:gd name="connsiteX2" fmla="*/ 1007533 w 1007533"/>
                                          <a:gd name="connsiteY2" fmla="*/ 0 h 1054100"/>
                                          <a:gd name="connsiteX0" fmla="*/ 0 w 1007533"/>
                                          <a:gd name="connsiteY0" fmla="*/ 1054100 h 1054100"/>
                                          <a:gd name="connsiteX1" fmla="*/ 1007533 w 1007533"/>
                                          <a:gd name="connsiteY1" fmla="*/ 0 h 1054100"/>
                                          <a:gd name="connsiteX2" fmla="*/ 1007533 w 1007533"/>
                                          <a:gd name="connsiteY2" fmla="*/ 0 h 1054100"/>
                                          <a:gd name="connsiteX0" fmla="*/ 0 w 1007533"/>
                                          <a:gd name="connsiteY0" fmla="*/ 1054100 h 1054100"/>
                                          <a:gd name="connsiteX1" fmla="*/ 1007533 w 1007533"/>
                                          <a:gd name="connsiteY1" fmla="*/ 0 h 1054100"/>
                                          <a:gd name="connsiteX2" fmla="*/ 1007533 w 1007533"/>
                                          <a:gd name="connsiteY2" fmla="*/ 0 h 1054100"/>
                                        </a:gdLst>
                                        <a:ahLst/>
                                        <a:cxnLst>
                                          <a:cxn ang="0">
                                            <a:pos x="connsiteX0" y="connsiteY0"/>
                                          </a:cxn>
                                          <a:cxn ang="0">
                                            <a:pos x="connsiteX1" y="connsiteY1"/>
                                          </a:cxn>
                                          <a:cxn ang="0">
                                            <a:pos x="connsiteX2" y="connsiteY2"/>
                                          </a:cxn>
                                        </a:cxnLst>
                                        <a:rect l="l" t="t" r="r" b="b"/>
                                        <a:pathLst>
                                          <a:path w="1007533" h="1054100">
                                            <a:moveTo>
                                              <a:pt x="0" y="1054100"/>
                                            </a:moveTo>
                                            <a:cubicBezTo>
                                              <a:pt x="357020" y="859366"/>
                                              <a:pt x="811448" y="833967"/>
                                              <a:pt x="1007533" y="0"/>
                                            </a:cubicBezTo>
                                            <a:lnTo>
                                              <a:pt x="1007533" y="0"/>
                                            </a:lnTo>
                                          </a:path>
                                        </a:pathLst>
                                      </a:cu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s:wsp>
                                <wps:cNvPr id="236" name="Text Box 2"/>
                                <wps:cNvSpPr txBox="1">
                                  <a:spLocks noChangeArrowheads="1"/>
                                </wps:cNvSpPr>
                                <wps:spPr bwMode="auto">
                                  <a:xfrm>
                                    <a:off x="0" y="0"/>
                                    <a:ext cx="334433" cy="360159"/>
                                  </a:xfrm>
                                  <a:prstGeom prst="rect">
                                    <a:avLst/>
                                  </a:prstGeom>
                                  <a:noFill/>
                                  <a:ln>
                                    <a:noFill/>
                                  </a:ln>
                                  <a:effectLst/>
                                </wps:spPr>
                                <wps:txbx>
                                  <w:txbxContent>
                                    <w:p w14:paraId="05468840" w14:textId="77777777" w:rsidR="005E1105" w:rsidRPr="0042215A" w:rsidRDefault="005E1105" w:rsidP="00F41394">
                                      <w:pPr>
                                        <w:rPr>
                                          <w:i/>
                                          <w:vertAlign w:val="subscript"/>
                                          <w:lang w:val="en-US"/>
                                        </w:rPr>
                                      </w:pPr>
                                      <w:r w:rsidRPr="0042215A">
                                        <w:rPr>
                                          <w:i/>
                                        </w:rPr>
                                        <w:t>P</w:t>
                                      </w:r>
                                      <w:r>
                                        <w:rPr>
                                          <w:i/>
                                          <w:vertAlign w:val="subscript"/>
                                        </w:rPr>
                                        <w:t>b</w:t>
                                      </w:r>
                                    </w:p>
                                  </w:txbxContent>
                                </wps:txbx>
                                <wps:bodyPr rot="0" vert="horz" wrap="square" lIns="91440" tIns="45720" rIns="91440" bIns="45720" anchor="t" anchorCtr="0">
                                  <a:noAutofit/>
                                </wps:bodyPr>
                              </wps:wsp>
                              <wps:wsp>
                                <wps:cNvPr id="237" name="Text Box 2"/>
                                <wps:cNvSpPr txBox="1">
                                  <a:spLocks noChangeArrowheads="1"/>
                                </wps:cNvSpPr>
                                <wps:spPr bwMode="auto">
                                  <a:xfrm>
                                    <a:off x="1418167" y="1405467"/>
                                    <a:ext cx="330200" cy="355600"/>
                                  </a:xfrm>
                                  <a:prstGeom prst="rect">
                                    <a:avLst/>
                                  </a:prstGeom>
                                  <a:noFill/>
                                  <a:ln>
                                    <a:noFill/>
                                  </a:ln>
                                  <a:effectLst/>
                                </wps:spPr>
                                <wps:txbx>
                                  <w:txbxContent>
                                    <w:p w14:paraId="7DE5C382" w14:textId="77777777" w:rsidR="005E1105" w:rsidRPr="0042215A" w:rsidRDefault="005E1105" w:rsidP="00F41394">
                                      <w:pPr>
                                        <w:rPr>
                                          <w:i/>
                                          <w:vertAlign w:val="subscript"/>
                                          <w:lang w:val="en-US"/>
                                        </w:rPr>
                                      </w:pPr>
                                      <w:r>
                                        <w:rPr>
                                          <w:i/>
                                        </w:rPr>
                                        <w:t>Q</w:t>
                                      </w:r>
                                      <w:r>
                                        <w:rPr>
                                          <w:i/>
                                          <w:vertAlign w:val="subscript"/>
                                        </w:rPr>
                                        <w:t>b</w:t>
                                      </w:r>
                                    </w:p>
                                  </w:txbxContent>
                                </wps:txbx>
                                <wps:bodyPr rot="0" vert="horz" wrap="square" lIns="91440" tIns="45720" rIns="91440" bIns="45720" anchor="t" anchorCtr="0">
                                  <a:noAutofit/>
                                </wps:bodyPr>
                              </wps:wsp>
                            </wpg:grpSp>
                            <wps:wsp>
                              <wps:cNvPr id="238" name="Text Box 2"/>
                              <wps:cNvSpPr txBox="1">
                                <a:spLocks noChangeArrowheads="1"/>
                              </wps:cNvSpPr>
                              <wps:spPr bwMode="auto">
                                <a:xfrm>
                                  <a:off x="1375852" y="254272"/>
                                  <a:ext cx="414236" cy="360045"/>
                                </a:xfrm>
                                <a:prstGeom prst="rect">
                                  <a:avLst/>
                                </a:prstGeom>
                                <a:noFill/>
                                <a:ln>
                                  <a:noFill/>
                                </a:ln>
                                <a:effectLst/>
                              </wps:spPr>
                              <wps:txbx>
                                <w:txbxContent>
                                  <w:p w14:paraId="728A3E45" w14:textId="77777777" w:rsidR="005E1105" w:rsidRPr="0042215A" w:rsidRDefault="005E1105" w:rsidP="00F41394">
                                    <w:pPr>
                                      <w:rPr>
                                        <w:i/>
                                        <w:vertAlign w:val="subscript"/>
                                        <w:lang w:val="en-US"/>
                                      </w:rPr>
                                    </w:pPr>
                                    <w:r>
                                      <w:rPr>
                                        <w:i/>
                                      </w:rPr>
                                      <w:t>S</w:t>
                                    </w:r>
                                    <w:r>
                                      <w:rPr>
                                        <w:i/>
                                        <w:vertAlign w:val="subscript"/>
                                      </w:rPr>
                                      <w:t>b</w:t>
                                    </w:r>
                                  </w:p>
                                </w:txbxContent>
                              </wps:txbx>
                              <wps:bodyPr rot="0" vert="horz" wrap="square" lIns="91440" tIns="45720" rIns="91440" bIns="45720" anchor="t" anchorCtr="0">
                                <a:noAutofit/>
                              </wps:bodyPr>
                            </wps:wsp>
                          </wpg:grpSp>
                        </wpg:grpSp>
                      </wpg:grpSp>
                      <wps:wsp>
                        <wps:cNvPr id="239" name="Text Box 2"/>
                        <wps:cNvSpPr txBox="1">
                          <a:spLocks noChangeArrowheads="1"/>
                        </wps:cNvSpPr>
                        <wps:spPr bwMode="auto">
                          <a:xfrm>
                            <a:off x="3296577" y="6273209"/>
                            <a:ext cx="437224" cy="360010"/>
                          </a:xfrm>
                          <a:prstGeom prst="rect">
                            <a:avLst/>
                          </a:prstGeom>
                          <a:noFill/>
                          <a:ln>
                            <a:noFill/>
                          </a:ln>
                          <a:effectLst/>
                        </wps:spPr>
                        <wps:txbx>
                          <w:txbxContent>
                            <w:p w14:paraId="3C83DA92" w14:textId="77777777" w:rsidR="005E1105" w:rsidRPr="0042215A" w:rsidRDefault="005E1105" w:rsidP="00F41394">
                              <w:pPr>
                                <w:rPr>
                                  <w:i/>
                                  <w:vertAlign w:val="subscript"/>
                                  <w:lang w:val="en-US"/>
                                </w:rPr>
                              </w:pPr>
                              <w:r>
                                <w:rPr>
                                  <w:i/>
                                </w:rPr>
                                <w:t>D</w:t>
                              </w:r>
                              <w:r>
                                <w:rPr>
                                  <w:i/>
                                  <w:vertAlign w:val="subscript"/>
                                </w:rPr>
                                <w:t>b</w:t>
                              </w:r>
                            </w:p>
                          </w:txbxContent>
                        </wps:txbx>
                        <wps:bodyPr rot="0" vert="horz" wrap="square" lIns="91440" tIns="45720" rIns="91440" bIns="45720" anchor="t" anchorCtr="0">
                          <a:noAutofit/>
                        </wps:bodyPr>
                      </wps:wsp>
                    </wpg:wgp>
                  </a:graphicData>
                </a:graphic>
                <wp14:sizeRelH relativeFrom="page">
                  <wp14:pctWidth>0</wp14:pctWidth>
                </wp14:sizeRelH>
                <wp14:sizeRelV relativeFrom="page">
                  <wp14:pctHeight>0</wp14:pctHeight>
                </wp14:sizeRelV>
              </wp:anchor>
            </w:drawing>
          </mc:Choice>
          <mc:Fallback>
            <w:pict>
              <v:group w14:anchorId="215034DC" id="Group 9" o:spid="_x0000_s1026" style="position:absolute;left:0;text-align:left;margin-left:0;margin-top:35.6pt;width:6in;height:528.85pt;z-index:251658244;mso-position-horizontal-relative:margin" coordsize="54864,67162" o:gfxdata="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">
                <v:group id="Group 208" o:spid="_x0000_s1027" style="position:absolute;width:54864;height:67162" coordsize="54864,671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">
                  <v:group id="Group 209" o:spid="_x0000_s1028" style="position:absolute;left:19351;width:17483;height:17610" coordsize="17483,176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">
                    <v:shapetype id="_x0000_t202" coordsize="21600,21600" o:spt="202" path="m,l,21600r21600,l21600,xe">
                      <v:stroke joinstyle="miter"/>
                      <v:path gradientshapeok="t" o:connecttype="rect"/>
                    </v:shapetype>
                    <v:shape id="Text Box 2" o:spid="_x0000_s1029" type="#_x0000_t202" style="position:absolute;left:12029;top:2787;width:3344;height:36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" filled="f" stroked="f">
                      <v:textbox>
                        <w:txbxContent>
                          <w:p w14:paraId="2F8472D7" w14:textId="77777777" w:rsidR="005E1105" w:rsidRPr="0042215A" w:rsidRDefault="005E1105" w:rsidP="00F41394">
                            <w:pPr>
                              <w:rPr>
                                <w:i/>
                                <w:vertAlign w:val="subscript"/>
                                <w:lang w:val="en-US"/>
                              </w:rPr>
                            </w:pPr>
                            <w:r>
                              <w:rPr>
                                <w:i/>
                              </w:rPr>
                              <w:t>S</w:t>
                            </w:r>
                            <w:r w:rsidRPr="0042215A">
                              <w:rPr>
                                <w:i/>
                                <w:vertAlign w:val="subscript"/>
                              </w:rPr>
                              <w:t>f</w:t>
                            </w:r>
                          </w:p>
                        </w:txbxContent>
                      </v:textbox>
                    </v:shape>
                    <v:group id="Group 213" o:spid="_x0000_s1030" style="position:absolute;width:17483;height:17610" coordsize="17483,176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">
                      <v:group id="Group 215" o:spid="_x0000_s1031" style="position:absolute;left:1608;top:2878;width:12709;height:12676" coordsize="12550,125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">
                        <v:group id="Group 216" o:spid="_x0000_s1032" style="position:absolute;width:12550;height:12520" coordsize="12550,125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">
                          <v:shapetype id="_x0000_t32" coordsize="21600,21600" o:spt="32" o:oned="t" path="m,l21600,21600e" filled="f">
                            <v:path arrowok="t" fillok="f" o:connecttype="none"/>
                            <o:lock v:ext="edit" shapetype="t"/>
                          </v:shapetype>
                          <v:shape id="Straight Arrow Connector 217" o:spid="_x0000_s1033" type="#_x0000_t32" style="position:absolute;width:0;height:1252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" strokecolor="windowText" strokeweight=".5pt">
                            <v:stroke startarrow="block" joinstyle="miter"/>
                          </v:shape>
                          <v:shape id="Straight Arrow Connector 218" o:spid="_x0000_s1034" type="#_x0000_t32" style="position:absolute;left:6286;top:6243;width:0;height:12528;rotation:9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" strokecolor="windowText" strokeweight=".5pt">
                            <v:stroke startarrow="block" joinstyle="miter"/>
                          </v:shape>
                        </v:group>
                        <v:group id="Group 219" o:spid="_x0000_s1035" style="position:absolute;left:635;top:1100;width:10837;height:10668" coordsize="10837,106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">
                          <v:shape id="Freeform: Shape 220" o:spid="_x0000_s1036" style="position:absolute;top:127;width:10075;height:10541;visibility:visible;mso-wrap-style:square;v-text-anchor:middle" coordsize="1007533,1054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" path="m,1054100c357020,859366,811448,833967,1007533,r,e" filled="f" strokecolor="windowText" strokeweight="1pt">
                            <v:stroke joinstyle="miter"/>
                            <v:path arrowok="t" o:connecttype="custom" o:connectlocs="0,1054100;1007533,0;1007533,0" o:connectangles="0,0,0"/>
                          </v:shape>
                          <v:shape id="Freeform: Shape 221" o:spid="_x0000_s1037" style="position:absolute;left:762;width:10075;height:10541;flip:x;visibility:visible;mso-wrap-style:square;v-text-anchor:middle" coordsize="1007533,1054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" path="m,1054100c357020,859366,811448,833967,1007533,r,e" filled="f" strokecolor="windowText" strokeweight="1pt">
                            <v:stroke joinstyle="miter"/>
                            <v:path arrowok="t" o:connecttype="custom" o:connectlocs="0,1054100;1007533,0;1007533,0" o:connectangles="0,0,0"/>
                          </v:shape>
                        </v:group>
                      </v:group>
                      <v:shape id="Text Box 2" o:spid="_x0000_s1038" type="#_x0000_t202" style="position:absolute;width:3344;height:36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" filled="f" stroked="f">
                        <v:textbox>
                          <w:txbxContent>
                            <w:p w14:paraId="07365EBA" w14:textId="77777777" w:rsidR="005E1105" w:rsidRPr="0042215A" w:rsidRDefault="005E1105" w:rsidP="00F41394">
                              <w:pPr>
                                <w:rPr>
                                  <w:i/>
                                  <w:vertAlign w:val="subscript"/>
                                  <w:lang w:val="en-US"/>
                                </w:rPr>
                              </w:pPr>
                              <w:r w:rsidRPr="0042215A">
                                <w:rPr>
                                  <w:i/>
                                </w:rPr>
                                <w:t>P</w:t>
                              </w:r>
                              <w:r w:rsidRPr="0042215A">
                                <w:rPr>
                                  <w:i/>
                                  <w:vertAlign w:val="subscript"/>
                                </w:rPr>
                                <w:t>f</w:t>
                              </w:r>
                            </w:p>
                          </w:txbxContent>
                        </v:textbox>
                      </v:shape>
                      <v:shape id="Text Box 2" o:spid="_x0000_s1039" type="#_x0000_t202" style="position:absolute;left:14181;top:14054;width:3302;height:35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" filled="f" stroked="f">
                        <v:textbox>
                          <w:txbxContent>
                            <w:p w14:paraId="4BDCB706" w14:textId="77777777" w:rsidR="005E1105" w:rsidRPr="0042215A" w:rsidRDefault="005E1105" w:rsidP="00F41394">
                              <w:pPr>
                                <w:rPr>
                                  <w:i/>
                                  <w:vertAlign w:val="subscript"/>
                                  <w:lang w:val="en-US"/>
                                </w:rPr>
                              </w:pPr>
                              <w:r>
                                <w:rPr>
                                  <w:i/>
                                </w:rPr>
                                <w:t>Q</w:t>
                              </w:r>
                              <w:r w:rsidRPr="0042215A">
                                <w:rPr>
                                  <w:i/>
                                  <w:vertAlign w:val="subscript"/>
                                </w:rPr>
                                <w:t>f</w:t>
                              </w:r>
                            </w:p>
                          </w:txbxContent>
                        </v:textbox>
                      </v:shape>
                      <v:shape id="Text Box 2" o:spid="_x0000_s1040" type="#_x0000_t202" style="position:absolute;left:12530;top:12784;width:3258;height:32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" filled="f" stroked="f">
                        <v:textbox>
                          <w:txbxContent>
                            <w:p w14:paraId="6D663685" w14:textId="77777777" w:rsidR="005E1105" w:rsidRPr="0042215A" w:rsidRDefault="005E1105" w:rsidP="00F41394">
                              <w:pPr>
                                <w:rPr>
                                  <w:i/>
                                  <w:vertAlign w:val="subscript"/>
                                  <w:lang w:val="en-US"/>
                                </w:rPr>
                              </w:pPr>
                              <w:r>
                                <w:rPr>
                                  <w:i/>
                                </w:rPr>
                                <w:t>D</w:t>
                              </w:r>
                              <w:r w:rsidRPr="0042215A">
                                <w:rPr>
                                  <w:i/>
                                  <w:vertAlign w:val="subscript"/>
                                </w:rPr>
                                <w:t>f</w:t>
                              </w:r>
                            </w:p>
                          </w:txbxContent>
                        </v:textbox>
                      </v:shape>
                    </v:group>
                  </v:group>
                  <v:group id="Group 225" o:spid="_x0000_s1041" style="position:absolute;top:17437;width:54864;height:49725" coordsize="54864,497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iagram 226" o:spid="_x0000_s1042" type="#_x0000_t75" style="position:absolute;left:11277;top:-64;width:32309;height:3212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">
                      <v:imagedata r:id="rId22" o:title=""/>
                      <o:lock v:ext="edit" aspectratio="f"/>
                    </v:shape>
                    <v:group id="Group 227" o:spid="_x0000_s1043" style="position:absolute;left:19021;top:32077;width:19315;height:17648" coordsize="19314,176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">
                      <v:group id="Group 228" o:spid="_x0000_s1044" style="position:absolute;width:19314;height:17647" coordsize="17483,176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">
                        <v:group id="Group 229" o:spid="_x0000_s1045" style="position:absolute;left:1608;top:2878;width:12709;height:12676" coordsize="12550,125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">
                          <v:group id="Group 230" o:spid="_x0000_s1046" style="position:absolute;width:12550;height:12520" coordsize="12550,125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">
                            <v:shape id="Straight Arrow Connector 231" o:spid="_x0000_s1047" type="#_x0000_t32" style="position:absolute;width:0;height:1252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" strokecolor="windowText" strokeweight=".5pt">
                              <v:stroke startarrow="block" joinstyle="miter"/>
                            </v:shape>
                            <v:shape id="Straight Arrow Connector 232" o:spid="_x0000_s1048" type="#_x0000_t32" style="position:absolute;left:6286;top:6243;width:0;height:12528;rotation:9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" strokecolor="windowText" strokeweight=".5pt">
                              <v:stroke startarrow="block" joinstyle="miter"/>
                            </v:shape>
                          </v:group>
                          <v:group id="Group 233" o:spid="_x0000_s1049" style="position:absolute;left:635;top:1100;width:10837;height:10668" coordsize="10837,106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">
                            <v:shape id="Freeform: Shape 234" o:spid="_x0000_s1050" style="position:absolute;top:127;width:10075;height:10541;visibility:visible;mso-wrap-style:square;v-text-anchor:middle" coordsize="1007533,1054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" path="m,1054100c357020,859366,811448,833967,1007533,r,e" filled="f" strokecolor="windowText" strokeweight="1pt">
                              <v:stroke joinstyle="miter"/>
                              <v:path arrowok="t" o:connecttype="custom" o:connectlocs="0,1054100;1007533,0;1007533,0" o:connectangles="0,0,0"/>
                            </v:shape>
                            <v:shape id="Freeform: Shape 235" o:spid="_x0000_s1051" style="position:absolute;left:762;width:10075;height:10541;flip:x;visibility:visible;mso-wrap-style:square;v-text-anchor:middle" coordsize="1007533,1054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" path="m,1054100c357020,859366,811448,833967,1007533,r,e" filled="f" strokecolor="windowText" strokeweight="1pt">
                              <v:stroke joinstyle="miter"/>
                              <v:path arrowok="t" o:connecttype="custom" o:connectlocs="0,1054100;1007533,0;1007533,0" o:connectangles="0,0,0"/>
                            </v:shape>
                          </v:group>
                        </v:group>
                        <v:shape id="Text Box 2" o:spid="_x0000_s1052" type="#_x0000_t202" style="position:absolute;width:3344;height:36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" filled="f" stroked="f">
                          <v:textbox>
                            <w:txbxContent>
                              <w:p w14:paraId="05468840" w14:textId="77777777" w:rsidR="005E1105" w:rsidRPr="0042215A" w:rsidRDefault="005E1105" w:rsidP="00F41394">
                                <w:pPr>
                                  <w:rPr>
                                    <w:i/>
                                    <w:vertAlign w:val="subscript"/>
                                    <w:lang w:val="en-US"/>
                                  </w:rPr>
                                </w:pPr>
                                <w:r w:rsidRPr="0042215A">
                                  <w:rPr>
                                    <w:i/>
                                  </w:rPr>
                                  <w:t>P</w:t>
                                </w:r>
                                <w:r>
                                  <w:rPr>
                                    <w:i/>
                                    <w:vertAlign w:val="subscript"/>
                                  </w:rPr>
                                  <w:t>b</w:t>
                                </w:r>
                              </w:p>
                            </w:txbxContent>
                          </v:textbox>
                        </v:shape>
                        <v:shape id="Text Box 2" o:spid="_x0000_s1053" type="#_x0000_t202" style="position:absolute;left:14181;top:14054;width:3302;height:35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" filled="f" stroked="f">
                          <v:textbox>
                            <w:txbxContent>
                              <w:p w14:paraId="7DE5C382" w14:textId="77777777" w:rsidR="005E1105" w:rsidRPr="0042215A" w:rsidRDefault="005E1105" w:rsidP="00F41394">
                                <w:pPr>
                                  <w:rPr>
                                    <w:i/>
                                    <w:vertAlign w:val="subscript"/>
                                    <w:lang w:val="en-US"/>
                                  </w:rPr>
                                </w:pPr>
                                <w:r>
                                  <w:rPr>
                                    <w:i/>
                                  </w:rPr>
                                  <w:t>Q</w:t>
                                </w:r>
                                <w:r>
                                  <w:rPr>
                                    <w:i/>
                                    <w:vertAlign w:val="subscript"/>
                                  </w:rPr>
                                  <w:t>b</w:t>
                                </w:r>
                              </w:p>
                            </w:txbxContent>
                          </v:textbox>
                        </v:shape>
                      </v:group>
                      <v:shape id="Text Box 2" o:spid="_x0000_s1054" type="#_x0000_t202" style="position:absolute;left:13758;top:2542;width:4142;height:36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" filled="f" stroked="f">
                        <v:textbox>
                          <w:txbxContent>
                            <w:p w14:paraId="728A3E45" w14:textId="77777777" w:rsidR="005E1105" w:rsidRPr="0042215A" w:rsidRDefault="005E1105" w:rsidP="00F41394">
                              <w:pPr>
                                <w:rPr>
                                  <w:i/>
                                  <w:vertAlign w:val="subscript"/>
                                  <w:lang w:val="en-US"/>
                                </w:rPr>
                              </w:pPr>
                              <w:r>
                                <w:rPr>
                                  <w:i/>
                                </w:rPr>
                                <w:t>S</w:t>
                              </w:r>
                              <w:r>
                                <w:rPr>
                                  <w:i/>
                                  <w:vertAlign w:val="subscript"/>
                                </w:rPr>
                                <w:t>b</w:t>
                              </w:r>
                            </w:p>
                          </w:txbxContent>
                        </v:textbox>
                      </v:shape>
                    </v:group>
                  </v:group>
                </v:group>
                <v:shape id="Text Box 2" o:spid="_x0000_s1055" type="#_x0000_t202" style="position:absolute;left:32965;top:62732;width:4373;height:3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" filled="f" stroked="f">
                  <v:textbox>
                    <w:txbxContent>
                      <w:p w14:paraId="3C83DA92" w14:textId="77777777" w:rsidR="005E1105" w:rsidRPr="0042215A" w:rsidRDefault="005E1105" w:rsidP="00F41394">
                        <w:pPr>
                          <w:rPr>
                            <w:i/>
                            <w:vertAlign w:val="subscript"/>
                            <w:lang w:val="en-US"/>
                          </w:rPr>
                        </w:pPr>
                        <w:r>
                          <w:rPr>
                            <w:i/>
                          </w:rPr>
                          <w:t>D</w:t>
                        </w:r>
                        <w:r>
                          <w:rPr>
                            <w:i/>
                            <w:vertAlign w:val="subscript"/>
                          </w:rPr>
                          <w:t>b</w:t>
                        </w:r>
                      </w:p>
                    </w:txbxContent>
                  </v:textbox>
                </v:shape>
                <w10:wrap type="topAndBottom" anchorx="margin"/>
              </v:group>
            </w:pict>
          </mc:Fallback>
        </mc:AlternateContent>
      </w:r>
    </w:p>
    <w:p w14:paraId="29A978AA" w14:textId="7E764171" w:rsidR="000F7CD1" w:rsidRPr="00050F01" w:rsidRDefault="000F7CD1" w:rsidP="006930CB">
      <w:pPr>
        <w:spacing w:line="240" w:lineRule="auto"/>
        <w:rPr>
          <w:rFonts w:cs="Arial"/>
        </w:rPr>
      </w:pPr>
    </w:p>
    <w:p w14:paraId="0E00A421" w14:textId="51579E09" w:rsidR="000F7CD1" w:rsidRPr="00475856" w:rsidRDefault="00475856" w:rsidP="006930CB">
      <w:pPr>
        <w:spacing w:line="240" w:lineRule="auto"/>
        <w:rPr>
          <w:rFonts w:cs="Arial"/>
          <w:sz w:val="18"/>
        </w:rPr>
      </w:pPr>
      <w:r>
        <w:rPr>
          <w:rFonts w:cs="Arial"/>
          <w:sz w:val="18"/>
        </w:rPr>
        <w:t>Fuente:</w:t>
      </w:r>
      <w:r>
        <w:rPr>
          <w:rFonts w:cs="Arial"/>
          <w:sz w:val="18"/>
        </w:rPr>
        <w:fldChar w:fldCharType="begin" w:fldLock="1"/>
      </w:r>
      <w:r w:rsidR="007D5472">
        <w:rPr>
          <w:rFonts w:cs="Arial"/>
          <w:sz w:val="18"/>
        </w:rPr>
        <w:instrText>ADDIN CSL_CITATION {"citationItems":[{"id":"ITEM-1","itemData":{"author":[{"dropping-particle":"","family":"McDonald","given":"Scott","non-dropping-particle":"","parse-names":false,"suffix":""},{"dropping-particle":"","family":"Thierfelder","given":"Karen","non-dropping-particle":"","parse-names":false,"suffix":""}],"id":"ITEM-1","issue":"January","issued":{"date-parts":[["2017"]]},"number-of-pages":"1-89","title":"A Static Applied General Equilibrium Model: Technical Documentation - STAGE_int Version","type":"report"},"uris":["http://www.mendeley.com/documents/?uuid=83316eb5-e8df-4029-aa83-a2c1fd511a0d"]}],"mendeley":{"formattedCitation":"(McDonald &amp; Thierfelder, 2017)","manualFormatting":" McDonald y Thierfelder (2017)","plainTextFormattedCitation":"(McDonald &amp; Thierfelder, 2017)","previouslyFormattedCitation":"(McDonald &amp; Thierfelder, 2017)"},"properties":{"noteIndex":0},"schema":"https://github.com/citation-style-language/schema/raw/master/csl-citation.json"}</w:instrText>
      </w:r>
      <w:r>
        <w:rPr>
          <w:rFonts w:cs="Arial"/>
          <w:sz w:val="18"/>
        </w:rPr>
        <w:fldChar w:fldCharType="separate"/>
      </w:r>
      <w:r>
        <w:rPr>
          <w:rFonts w:cs="Arial"/>
          <w:noProof/>
          <w:sz w:val="18"/>
        </w:rPr>
        <w:t xml:space="preserve"> </w:t>
      </w:r>
      <w:r w:rsidRPr="00475856">
        <w:rPr>
          <w:rFonts w:cs="Arial"/>
          <w:noProof/>
          <w:sz w:val="18"/>
        </w:rPr>
        <w:t xml:space="preserve">McDonald </w:t>
      </w:r>
      <w:r>
        <w:rPr>
          <w:rFonts w:cs="Arial"/>
          <w:noProof/>
          <w:sz w:val="18"/>
        </w:rPr>
        <w:t>y</w:t>
      </w:r>
      <w:r w:rsidRPr="00475856">
        <w:rPr>
          <w:rFonts w:cs="Arial"/>
          <w:noProof/>
          <w:sz w:val="18"/>
        </w:rPr>
        <w:t xml:space="preserve"> Thierfelder</w:t>
      </w:r>
      <w:r>
        <w:rPr>
          <w:rFonts w:cs="Arial"/>
          <w:noProof/>
          <w:sz w:val="18"/>
        </w:rPr>
        <w:t xml:space="preserve"> (</w:t>
      </w:r>
      <w:r w:rsidRPr="00475856">
        <w:rPr>
          <w:rFonts w:cs="Arial"/>
          <w:noProof/>
          <w:sz w:val="18"/>
        </w:rPr>
        <w:t>2017)</w:t>
      </w:r>
      <w:r>
        <w:rPr>
          <w:rFonts w:cs="Arial"/>
          <w:sz w:val="18"/>
        </w:rPr>
        <w:fldChar w:fldCharType="end"/>
      </w:r>
      <w:r w:rsidRPr="00EB0A63">
        <w:rPr>
          <w:rFonts w:cs="Arial"/>
          <w:sz w:val="18"/>
          <w:szCs w:val="20"/>
        </w:rPr>
        <w:t>,</w:t>
      </w:r>
      <w:r>
        <w:rPr>
          <w:rFonts w:cs="Arial"/>
          <w:sz w:val="18"/>
          <w:szCs w:val="20"/>
        </w:rPr>
        <w:t xml:space="preserve"> </w:t>
      </w:r>
      <w:r w:rsidRPr="00EB0A63">
        <w:rPr>
          <w:rFonts w:cs="Arial"/>
          <w:sz w:val="18"/>
          <w:szCs w:val="20"/>
        </w:rPr>
        <w:t>con modificaciones</w:t>
      </w:r>
    </w:p>
    <w:p w14:paraId="63DC4D6A" w14:textId="77777777" w:rsidR="000F7CD1" w:rsidRDefault="000F7CD1" w:rsidP="006930CB">
      <w:pPr>
        <w:spacing w:line="240" w:lineRule="auto"/>
        <w:rPr>
          <w:rFonts w:cs="Arial"/>
        </w:rPr>
      </w:pPr>
    </w:p>
    <w:p w14:paraId="1E9661E6" w14:textId="102567B4" w:rsidR="006930CB" w:rsidRDefault="006930CB" w:rsidP="006930CB">
      <w:pPr>
        <w:spacing w:line="240" w:lineRule="auto"/>
        <w:rPr>
          <w:rFonts w:cs="Arial"/>
        </w:rPr>
      </w:pPr>
      <w:r w:rsidRPr="00050F01">
        <w:rPr>
          <w:rFonts w:cs="Arial"/>
        </w:rPr>
        <w:t xml:space="preserve">La MCS es una matriz cuadrada, donde cada cuenta de las columnas tiene su contraparte en las filas, además, la información en cada celda tiene presente la </w:t>
      </w:r>
      <w:r w:rsidRPr="00050F01">
        <w:rPr>
          <w:rFonts w:cs="Arial"/>
        </w:rPr>
        <w:lastRenderedPageBreak/>
        <w:t xml:space="preserve">cantidad y el precio, siendo este igual por cada entrada de la fila, desprendiendo así la Ley del Precio Único, los artículos son homogéneos y su precio no difiere por agente: </w:t>
      </w:r>
    </w:p>
    <w:p w14:paraId="06082C1A" w14:textId="77777777" w:rsidR="00C22533" w:rsidRPr="00050F01" w:rsidRDefault="00C22533" w:rsidP="006930CB">
      <w:pPr>
        <w:spacing w:line="240" w:lineRule="auto"/>
        <w:rPr>
          <w:rFonts w:cs="Arial"/>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7"/>
        <w:gridCol w:w="7296"/>
        <w:gridCol w:w="763"/>
      </w:tblGrid>
      <w:tr w:rsidR="006930CB" w14:paraId="6EA7DE98" w14:textId="77777777" w:rsidTr="00DB0816">
        <w:tc>
          <w:tcPr>
            <w:tcW w:w="985" w:type="dxa"/>
          </w:tcPr>
          <w:p w14:paraId="0A36899A" w14:textId="77CDFD92" w:rsidR="006930CB" w:rsidRPr="00C22533" w:rsidRDefault="00C22533" w:rsidP="00DB0816">
            <w:pPr>
              <w:pStyle w:val="NormalWeb"/>
              <w:jc w:val="both"/>
              <w:rPr>
                <w:rFonts w:ascii="Arial" w:cs="Arial"/>
                <w:lang w:val="es-CR"/>
              </w:rPr>
            </w:pPr>
            <w:r w:rsidRPr="00C22533">
              <w:rPr>
                <w:rFonts w:ascii="Arial" w:cs="Arial"/>
                <w:lang w:val="es-CR"/>
              </w:rPr>
              <w:t>2.1.1</w:t>
            </w:r>
          </w:p>
        </w:tc>
        <w:tc>
          <w:tcPr>
            <w:tcW w:w="7560" w:type="dxa"/>
          </w:tcPr>
          <w:p w14:paraId="17B169FA" w14:textId="77777777" w:rsidR="006231E7" w:rsidRPr="00C22533" w:rsidRDefault="006930CB" w:rsidP="00DB0816">
            <w:pPr>
              <w:pStyle w:val="NormalWeb"/>
              <w:jc w:val="center"/>
              <w:rPr>
                <w:rFonts w:ascii="Arial" w:eastAsia="Times New Roman" w:cs="Times New Roman"/>
                <w:sz w:val="2"/>
                <w:szCs w:val="2"/>
                <w:lang w:val="es-CR" w:eastAsia="es-ES"/>
              </w:rPr>
            </w:pPr>
            <w:r w:rsidRPr="00C22533">
              <w:rPr>
                <w:rFonts w:ascii="Arial" w:eastAsia="Times New Roman" w:cs="Times New Roman"/>
                <w:position w:val="-30"/>
                <w:sz w:val="2"/>
                <w:szCs w:val="2"/>
                <w:lang w:val="es-CR" w:eastAsia="es-ES"/>
              </w:rPr>
              <w:object w:dxaOrig="3400" w:dyaOrig="560" w14:anchorId="480F1873">
                <v:shape id="_x0000_i1025" type="#_x0000_t75" style="width:185.25pt;height:30.75pt" o:ole="">
                  <v:imagedata r:id="rId23" o:title=""/>
                </v:shape>
                <o:OLEObject Type="Embed" ProgID="Equation.DSMT4" ShapeID="_x0000_i1025" DrawAspect="Content" ObjectID="_1706014787" r:id="rId24"/>
              </w:object>
            </w:r>
          </w:p>
          <w:p w14:paraId="694992A3" w14:textId="3E9C929D" w:rsidR="006930CB" w:rsidRPr="00C22533" w:rsidRDefault="006930CB" w:rsidP="00DB0816">
            <w:pPr>
              <w:pStyle w:val="NormalWeb"/>
              <w:jc w:val="center"/>
              <w:rPr>
                <w:sz w:val="2"/>
                <w:szCs w:val="2"/>
                <w:lang w:val="es-CR"/>
              </w:rPr>
            </w:pPr>
          </w:p>
        </w:tc>
        <w:tc>
          <w:tcPr>
            <w:tcW w:w="805" w:type="dxa"/>
          </w:tcPr>
          <w:p w14:paraId="468B722C" w14:textId="006E0543" w:rsidR="006930CB" w:rsidRPr="00813994" w:rsidRDefault="006930CB" w:rsidP="00DB0816">
            <w:pPr>
              <w:pStyle w:val="NormalWeb"/>
              <w:jc w:val="both"/>
              <w:rPr>
                <w:sz w:val="22"/>
                <w:szCs w:val="22"/>
                <w:lang w:val="es-CR"/>
              </w:rPr>
            </w:pPr>
          </w:p>
        </w:tc>
      </w:tr>
      <w:tr w:rsidR="00C22533" w14:paraId="546A6159" w14:textId="77777777" w:rsidTr="00DB0816">
        <w:tc>
          <w:tcPr>
            <w:tcW w:w="985" w:type="dxa"/>
          </w:tcPr>
          <w:p w14:paraId="33553BA7" w14:textId="77777777" w:rsidR="00C22533" w:rsidRDefault="00C22533" w:rsidP="00DB0816">
            <w:pPr>
              <w:pStyle w:val="NormalWeb"/>
              <w:jc w:val="both"/>
              <w:rPr>
                <w:sz w:val="22"/>
                <w:szCs w:val="22"/>
                <w:lang w:val="es-CR"/>
              </w:rPr>
            </w:pPr>
          </w:p>
        </w:tc>
        <w:tc>
          <w:tcPr>
            <w:tcW w:w="7560" w:type="dxa"/>
          </w:tcPr>
          <w:p w14:paraId="67DE4910" w14:textId="77777777" w:rsidR="00C22533" w:rsidRPr="00C817AE" w:rsidRDefault="00C22533" w:rsidP="00DB0816">
            <w:pPr>
              <w:pStyle w:val="NormalWeb"/>
              <w:jc w:val="center"/>
              <w:rPr>
                <w:sz w:val="22"/>
                <w:szCs w:val="22"/>
                <w:lang w:val="es-CR"/>
              </w:rPr>
            </w:pPr>
          </w:p>
        </w:tc>
        <w:tc>
          <w:tcPr>
            <w:tcW w:w="805" w:type="dxa"/>
          </w:tcPr>
          <w:p w14:paraId="55A5CB05" w14:textId="77777777" w:rsidR="00C22533" w:rsidRPr="00813994" w:rsidRDefault="00C22533" w:rsidP="00DB0816">
            <w:pPr>
              <w:pStyle w:val="NormalWeb"/>
              <w:jc w:val="both"/>
              <w:rPr>
                <w:sz w:val="22"/>
                <w:szCs w:val="22"/>
                <w:lang w:val="es-CR"/>
              </w:rPr>
            </w:pPr>
          </w:p>
        </w:tc>
      </w:tr>
    </w:tbl>
    <w:p w14:paraId="39135A8A" w14:textId="298EA63A" w:rsidR="006930CB" w:rsidRDefault="006D22F4" w:rsidP="006930CB">
      <w:pPr>
        <w:spacing w:line="240" w:lineRule="auto"/>
        <w:rPr>
          <w:rFonts w:cs="Arial"/>
        </w:rPr>
      </w:pPr>
      <w:r>
        <w:rPr>
          <w:rFonts w:cs="Arial"/>
        </w:rPr>
        <w:t xml:space="preserve">Donde </w:t>
      </w:r>
      <w:r w:rsidR="00D81669" w:rsidRPr="00D81669">
        <w:rPr>
          <w:position w:val="-14"/>
        </w:rPr>
        <w:object w:dxaOrig="340" w:dyaOrig="380" w14:anchorId="542E170F">
          <v:shape id="_x0000_i1026" type="#_x0000_t75" style="width:15.75pt;height:20.25pt" o:ole="">
            <v:imagedata r:id="rId25" o:title=""/>
          </v:shape>
          <o:OLEObject Type="Embed" ProgID="Equation.DSMT4" ShapeID="_x0000_i1026" DrawAspect="Content" ObjectID="_1706014788" r:id="rId26"/>
        </w:object>
      </w:r>
      <w:r w:rsidR="006231E7">
        <w:t xml:space="preserve"> </w:t>
      </w:r>
      <w:r w:rsidR="00D81669">
        <w:t>son las transacciones de fila i y la columna j,</w:t>
      </w:r>
      <w:r w:rsidR="006231E7">
        <w:t xml:space="preserve"> </w:t>
      </w:r>
      <w:r w:rsidR="00D81669" w:rsidRPr="00D81669">
        <w:rPr>
          <w:position w:val="-10"/>
        </w:rPr>
        <w:object w:dxaOrig="240" w:dyaOrig="260" w14:anchorId="3BCDA29C">
          <v:shape id="_x0000_i1027" type="#_x0000_t75" style="width:10.5pt;height:15.75pt" o:ole="">
            <v:imagedata r:id="rId27" o:title=""/>
          </v:shape>
          <o:OLEObject Type="Embed" ProgID="Equation.DSMT4" ShapeID="_x0000_i1027" DrawAspect="Content" ObjectID="_1706014789" r:id="rId28"/>
        </w:object>
      </w:r>
      <w:r w:rsidR="006231E7">
        <w:t xml:space="preserve"> </w:t>
      </w:r>
      <w:r w:rsidR="00D81669">
        <w:t>es</w:t>
      </w:r>
      <w:r w:rsidR="006231E7">
        <w:t xml:space="preserve"> </w:t>
      </w:r>
      <w:r w:rsidR="00D81669">
        <w:t>el</w:t>
      </w:r>
      <w:r w:rsidR="006231E7">
        <w:t xml:space="preserve"> </w:t>
      </w:r>
      <w:r w:rsidR="00D81669">
        <w:t>precio</w:t>
      </w:r>
      <w:r w:rsidR="006231E7">
        <w:t xml:space="preserve"> y </w:t>
      </w:r>
      <w:r w:rsidR="006231E7" w:rsidRPr="006231E7">
        <w:rPr>
          <w:position w:val="-10"/>
        </w:rPr>
        <w:object w:dxaOrig="200" w:dyaOrig="260" w14:anchorId="368D4381">
          <v:shape id="_x0000_i1028" type="#_x0000_t75" style="width:10.5pt;height:15.75pt" o:ole="">
            <v:imagedata r:id="rId29" o:title=""/>
          </v:shape>
          <o:OLEObject Type="Embed" ProgID="Equation.DSMT4" ShapeID="_x0000_i1028" DrawAspect="Content" ObjectID="_1706014790" r:id="rId30"/>
        </w:object>
      </w:r>
      <w:r w:rsidR="006231E7">
        <w:t xml:space="preserve"> las cantidades, donde las </w:t>
      </w:r>
      <w:r w:rsidR="006930CB" w:rsidRPr="00050F01">
        <w:rPr>
          <w:rFonts w:cs="Arial"/>
        </w:rPr>
        <w:t>totales tienen que ser iguales por columna y por fila, es decir:</w:t>
      </w:r>
    </w:p>
    <w:p w14:paraId="7EB3DEA7" w14:textId="77777777" w:rsidR="00C22533" w:rsidRPr="00050F01" w:rsidRDefault="00C22533" w:rsidP="006930CB">
      <w:pPr>
        <w:spacing w:line="240" w:lineRule="auto"/>
        <w:rPr>
          <w:rFonts w:cs="Arial"/>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3"/>
        <w:gridCol w:w="7311"/>
        <w:gridCol w:w="752"/>
      </w:tblGrid>
      <w:tr w:rsidR="006930CB" w14:paraId="0AAF6717" w14:textId="77777777" w:rsidTr="00DB0816">
        <w:tc>
          <w:tcPr>
            <w:tcW w:w="985" w:type="dxa"/>
          </w:tcPr>
          <w:p w14:paraId="36853A92" w14:textId="06512572" w:rsidR="006930CB" w:rsidRPr="00C22533" w:rsidRDefault="00C22533" w:rsidP="00DB0816">
            <w:pPr>
              <w:pStyle w:val="NormalWeb"/>
              <w:jc w:val="both"/>
              <w:rPr>
                <w:rFonts w:ascii="Arial" w:cs="Arial"/>
                <w:lang w:val="es-CR"/>
              </w:rPr>
            </w:pPr>
            <w:r w:rsidRPr="00C22533">
              <w:rPr>
                <w:rFonts w:ascii="Arial" w:cs="Arial"/>
                <w:lang w:val="es-CR"/>
              </w:rPr>
              <w:t>2.1.2</w:t>
            </w:r>
          </w:p>
        </w:tc>
        <w:tc>
          <w:tcPr>
            <w:tcW w:w="7560" w:type="dxa"/>
          </w:tcPr>
          <w:p w14:paraId="3024D618" w14:textId="77777777" w:rsidR="006930CB" w:rsidRDefault="006930CB" w:rsidP="00DB0816">
            <w:pPr>
              <w:pStyle w:val="NormalWeb"/>
              <w:jc w:val="center"/>
              <w:rPr>
                <w:sz w:val="22"/>
                <w:szCs w:val="22"/>
                <w:lang w:val="es-CR"/>
              </w:rPr>
            </w:pPr>
            <w:r w:rsidRPr="00370EEC">
              <w:rPr>
                <w:rFonts w:ascii="Arial" w:eastAsia="Times New Roman" w:cs="Times New Roman"/>
                <w:position w:val="-30"/>
                <w:sz w:val="22"/>
                <w:szCs w:val="22"/>
                <w:lang w:val="es-CR" w:eastAsia="es-ES"/>
              </w:rPr>
              <w:object w:dxaOrig="4580" w:dyaOrig="600" w14:anchorId="0629C886">
                <v:shape id="_x0000_i1029" type="#_x0000_t75" style="width:231.75pt;height:30.75pt" o:ole="">
                  <v:imagedata r:id="rId31" o:title=""/>
                </v:shape>
                <o:OLEObject Type="Embed" ProgID="Equation.DSMT4" ShapeID="_x0000_i1029" DrawAspect="Content" ObjectID="_1706014791" r:id="rId32"/>
              </w:object>
            </w:r>
            <w:r>
              <w:rPr>
                <w:sz w:val="22"/>
                <w:szCs w:val="22"/>
                <w:lang w:val="es-CR"/>
              </w:rPr>
              <w:t xml:space="preserve"> </w:t>
            </w:r>
          </w:p>
        </w:tc>
        <w:tc>
          <w:tcPr>
            <w:tcW w:w="805" w:type="dxa"/>
          </w:tcPr>
          <w:p w14:paraId="06ED59A7" w14:textId="17CC87C6" w:rsidR="006930CB" w:rsidRDefault="006930CB" w:rsidP="00DB0816">
            <w:pPr>
              <w:pStyle w:val="NormalWeb"/>
              <w:jc w:val="both"/>
              <w:rPr>
                <w:sz w:val="22"/>
                <w:szCs w:val="22"/>
                <w:lang w:val="es-CR"/>
              </w:rPr>
            </w:pPr>
          </w:p>
          <w:p w14:paraId="10363582" w14:textId="5571B9AF" w:rsidR="00C22533" w:rsidRPr="00813994" w:rsidRDefault="00C22533" w:rsidP="00DB0816">
            <w:pPr>
              <w:pStyle w:val="NormalWeb"/>
              <w:jc w:val="both"/>
              <w:rPr>
                <w:sz w:val="22"/>
                <w:szCs w:val="22"/>
                <w:lang w:val="es-CR"/>
              </w:rPr>
            </w:pPr>
          </w:p>
        </w:tc>
      </w:tr>
    </w:tbl>
    <w:p w14:paraId="2EFAB5F9" w14:textId="435FEA55" w:rsidR="000F7620" w:rsidRPr="00957573" w:rsidRDefault="006930CB" w:rsidP="00C139E7">
      <w:pPr>
        <w:spacing w:line="240" w:lineRule="auto"/>
        <w:rPr>
          <w:rFonts w:cs="Arial"/>
        </w:rPr>
      </w:pPr>
      <w:r w:rsidRPr="00B351AA">
        <w:rPr>
          <w:rFonts w:cs="Arial"/>
        </w:rPr>
        <w:t>Debido al avance en las Cuentas Nacionales en Costa Rica, se utiliza información de los Cuadros de Oferta y Utilización (COU), sin necesidad de recurrir a otras fuentes de información. El año base de la MCS es el 2012, se inició con cuentas agregadas y se fueron desagregando con otros datos obtenidos de encuestas. En total, las nuevas Cuentas Nacionales de 2012 poseen 183 productos y 136 actividades</w:t>
      </w:r>
      <w:r w:rsidR="00F71BB6">
        <w:rPr>
          <w:rFonts w:cs="Arial"/>
        </w:rPr>
        <w:t>.</w:t>
      </w:r>
    </w:p>
    <w:p w14:paraId="7068FDEC" w14:textId="7DC03D1B" w:rsidR="000F7620" w:rsidRPr="001A4E0A" w:rsidRDefault="00957573" w:rsidP="00C139E7">
      <w:pPr>
        <w:tabs>
          <w:tab w:val="left" w:pos="6578"/>
        </w:tabs>
        <w:spacing w:line="240" w:lineRule="auto"/>
        <w:rPr>
          <w:rFonts w:cs="Arial"/>
          <w:noProof/>
        </w:rPr>
      </w:pPr>
      <w:r>
        <w:rPr>
          <w:rFonts w:cs="Arial"/>
        </w:rPr>
        <w:t xml:space="preserve">De esta forma </w:t>
      </w:r>
      <w:r w:rsidR="000F7620">
        <w:rPr>
          <w:rFonts w:cs="Arial"/>
        </w:rPr>
        <w:t xml:space="preserve">la MCS se basa en dos principios: “Primero, el ingreso no sólo es igual al gasto para toda la economía, sino que esta identidad debe mantenerse para todos los agentes de la economía”. </w:t>
      </w:r>
      <w:r w:rsidR="000F7620">
        <w:rPr>
          <w:rFonts w:cs="Arial"/>
        </w:rPr>
        <w:fldChar w:fldCharType="begin" w:fldLock="1"/>
      </w:r>
      <w:r w:rsidR="00475856">
        <w:rPr>
          <w:rFonts w:cs="Arial"/>
        </w:rPr>
        <w:instrText>ADDIN CSL_CITATION {"citationItems":[{"id":"ITEM-1","itemData":{"author":[{"dropping-particle":"","family":"Condon","given":"T","non-dropping-particle":"","parse-names":false,"suffix":""},{"dropping-particle":"","family":"Dahl","given":"H","non-dropping-particle":"","parse-names":false,"suffix":""},{"dropping-particle":"","family":"Devarajan","given":"S","non-dropping-particle":"","parse-names":false,"suffix":""}],"container-title":"Economics and Research Staff, World Bank","id":"ITEM-1","issued":{"date-parts":[["1987"]]},"title":"Implementing a Computable General Equilibrium Model in GAMS: The Careroon Model: Development Research Department","type":"article-journal"},"uris":["http://www.mendeley.com/documents/?uuid=57139889-5136-435c-bbd5-3a082461d266"]}],"mendeley":{"formattedCitation":"(Condon, Dahl, &amp; Devarajan, 1987)","plainTextFormattedCitation":"(Condon, Dahl, &amp; Devarajan, 1987)","previouslyFormattedCitation":"(Condon, Dahl, &amp; Devarajan, 1987)"},"properties":{"noteIndex":0},"schema":"https://github.com/citation-style-language/schema/raw/master/csl-citation.json"}</w:instrText>
      </w:r>
      <w:r w:rsidR="000F7620">
        <w:rPr>
          <w:rFonts w:cs="Arial"/>
        </w:rPr>
        <w:fldChar w:fldCharType="separate"/>
      </w:r>
      <w:r w:rsidR="000F7620" w:rsidRPr="00E658CF">
        <w:rPr>
          <w:rFonts w:cs="Arial"/>
          <w:noProof/>
        </w:rPr>
        <w:t>(Condon, Dahl, &amp; Devarajan, 1987)</w:t>
      </w:r>
      <w:r w:rsidR="000F7620">
        <w:rPr>
          <w:rFonts w:cs="Arial"/>
        </w:rPr>
        <w:fldChar w:fldCharType="end"/>
      </w:r>
      <w:r w:rsidR="000F7620">
        <w:rPr>
          <w:rFonts w:cs="Arial"/>
        </w:rPr>
        <w:t>.</w:t>
      </w:r>
      <w:r w:rsidR="001A4E0A">
        <w:rPr>
          <w:rFonts w:cs="Arial"/>
          <w:noProof/>
        </w:rPr>
        <w:t xml:space="preserve"> </w:t>
      </w:r>
      <w:r w:rsidR="001A4E0A">
        <w:rPr>
          <w:rFonts w:cs="Arial"/>
        </w:rPr>
        <w:t xml:space="preserve">La representación del </w:t>
      </w:r>
      <w:r w:rsidR="000F7620">
        <w:rPr>
          <w:rFonts w:cs="Arial"/>
        </w:rPr>
        <w:t xml:space="preserve">flujo circular de </w:t>
      </w:r>
      <w:r w:rsidR="00953D56">
        <w:rPr>
          <w:rFonts w:cs="Arial"/>
        </w:rPr>
        <w:t xml:space="preserve">una </w:t>
      </w:r>
      <w:r w:rsidR="000F7620">
        <w:rPr>
          <w:rFonts w:cs="Arial"/>
        </w:rPr>
        <w:t>economía</w:t>
      </w:r>
      <w:r w:rsidR="001A4E0A">
        <w:rPr>
          <w:rFonts w:cs="Arial"/>
        </w:rPr>
        <w:t xml:space="preserve"> es la MCS y</w:t>
      </w:r>
      <w:r w:rsidR="00953D56">
        <w:rPr>
          <w:rFonts w:cs="Arial"/>
        </w:rPr>
        <w:t xml:space="preserve"> u</w:t>
      </w:r>
      <w:r w:rsidR="000F7620" w:rsidRPr="008119EB">
        <w:rPr>
          <w:rFonts w:cs="Arial"/>
        </w:rPr>
        <w:t>n esquema</w:t>
      </w:r>
      <w:r w:rsidR="00012198">
        <w:rPr>
          <w:rFonts w:cs="Arial"/>
        </w:rPr>
        <w:t xml:space="preserve"> de</w:t>
      </w:r>
      <w:r w:rsidR="000F7620" w:rsidRPr="008119EB">
        <w:rPr>
          <w:rFonts w:cs="Arial"/>
        </w:rPr>
        <w:t xml:space="preserve"> </w:t>
      </w:r>
      <w:r w:rsidR="00953D56">
        <w:rPr>
          <w:rFonts w:cs="Arial"/>
        </w:rPr>
        <w:t>esta</w:t>
      </w:r>
      <w:r w:rsidR="000F7620" w:rsidRPr="008119EB">
        <w:rPr>
          <w:rFonts w:cs="Arial"/>
        </w:rPr>
        <w:t xml:space="preserve"> se puede </w:t>
      </w:r>
      <w:r w:rsidR="00C030A8">
        <w:rPr>
          <w:rFonts w:cs="Arial"/>
        </w:rPr>
        <w:t>enco</w:t>
      </w:r>
      <w:r w:rsidR="000F7620">
        <w:rPr>
          <w:rFonts w:cs="Arial"/>
        </w:rPr>
        <w:t>ntra</w:t>
      </w:r>
      <w:r w:rsidR="00C030A8">
        <w:rPr>
          <w:rFonts w:cs="Arial"/>
        </w:rPr>
        <w:t>r</w:t>
      </w:r>
      <w:r w:rsidR="000F7620" w:rsidRPr="008119EB">
        <w:rPr>
          <w:rFonts w:cs="Arial"/>
        </w:rPr>
        <w:t xml:space="preserve"> en la </w:t>
      </w:r>
      <w:r w:rsidR="00826B26">
        <w:rPr>
          <w:rFonts w:cs="Arial"/>
        </w:rPr>
        <w:fldChar w:fldCharType="begin"/>
      </w:r>
      <w:r w:rsidR="00826B26">
        <w:rPr>
          <w:rFonts w:cs="Arial"/>
        </w:rPr>
        <w:instrText xml:space="preserve"> REF _Ref524865428 \h </w:instrText>
      </w:r>
      <w:r w:rsidR="003B6B33">
        <w:rPr>
          <w:rFonts w:cs="Arial"/>
        </w:rPr>
        <w:instrText xml:space="preserve">\* </w:instrText>
      </w:r>
      <w:r w:rsidR="00A436C6">
        <w:rPr>
          <w:rFonts w:cs="Arial"/>
        </w:rPr>
        <w:instrText xml:space="preserve">lower </w:instrText>
      </w:r>
      <w:r w:rsidR="00826B26">
        <w:rPr>
          <w:rFonts w:cs="Arial"/>
        </w:rPr>
      </w:r>
      <w:r w:rsidR="00826B26">
        <w:rPr>
          <w:rFonts w:cs="Arial"/>
        </w:rPr>
        <w:fldChar w:fldCharType="separate"/>
      </w:r>
      <w:r w:rsidR="00A95E32">
        <w:t xml:space="preserve">figura </w:t>
      </w:r>
      <w:r w:rsidR="00A95E32">
        <w:rPr>
          <w:noProof/>
        </w:rPr>
        <w:t>4</w:t>
      </w:r>
      <w:r w:rsidR="00826B26">
        <w:rPr>
          <w:rFonts w:cs="Arial"/>
        </w:rPr>
        <w:fldChar w:fldCharType="end"/>
      </w:r>
      <w:r w:rsidR="000F7620" w:rsidRPr="008119EB">
        <w:rPr>
          <w:rFonts w:cs="Arial"/>
        </w:rPr>
        <w:t>.</w:t>
      </w:r>
    </w:p>
    <w:p w14:paraId="293CE798" w14:textId="77777777" w:rsidR="00562875" w:rsidRDefault="00562875" w:rsidP="00C139E7">
      <w:pPr>
        <w:tabs>
          <w:tab w:val="left" w:pos="6578"/>
        </w:tabs>
        <w:spacing w:line="240" w:lineRule="auto"/>
        <w:rPr>
          <w:rFonts w:cs="Arial"/>
        </w:rPr>
      </w:pPr>
    </w:p>
    <w:p w14:paraId="3FF00FB2" w14:textId="03CB25D1" w:rsidR="00B276BF" w:rsidRPr="00B276BF" w:rsidRDefault="00B276BF" w:rsidP="00B276BF">
      <w:pPr>
        <w:pStyle w:val="Caption"/>
      </w:pPr>
      <w:bookmarkStart w:id="26" w:name="_Ref524865428"/>
      <w:bookmarkStart w:id="27" w:name="_Toc2853721"/>
      <w:r>
        <w:t xml:space="preserve">Figura </w:t>
      </w:r>
      <w:r w:rsidR="006560F4">
        <w:rPr>
          <w:noProof/>
        </w:rPr>
        <w:fldChar w:fldCharType="begin"/>
      </w:r>
      <w:r w:rsidR="006560F4">
        <w:rPr>
          <w:noProof/>
        </w:rPr>
        <w:instrText xml:space="preserve"> SEQ Figura \* ARABIC </w:instrText>
      </w:r>
      <w:r w:rsidR="006560F4">
        <w:rPr>
          <w:noProof/>
        </w:rPr>
        <w:fldChar w:fldCharType="separate"/>
      </w:r>
      <w:r w:rsidR="00A95E32">
        <w:rPr>
          <w:noProof/>
        </w:rPr>
        <w:t>4</w:t>
      </w:r>
      <w:r w:rsidR="006560F4">
        <w:rPr>
          <w:noProof/>
        </w:rPr>
        <w:fldChar w:fldCharType="end"/>
      </w:r>
      <w:bookmarkEnd w:id="26"/>
      <w:r>
        <w:t xml:space="preserve"> </w:t>
      </w:r>
      <w:r>
        <w:br/>
      </w:r>
      <w:r w:rsidRPr="00E13750">
        <w:t>Esquema de una Matriz de Contabilidad Social</w:t>
      </w:r>
      <w:bookmarkEnd w:id="27"/>
    </w:p>
    <w:p w14:paraId="2F5B52DF" w14:textId="2C793E1D" w:rsidR="000F7620" w:rsidRDefault="000F7620" w:rsidP="00C139E7">
      <w:pPr>
        <w:tabs>
          <w:tab w:val="left" w:pos="6578"/>
        </w:tabs>
        <w:spacing w:line="240" w:lineRule="auto"/>
        <w:jc w:val="center"/>
        <w:rPr>
          <w:rFonts w:cs="Arial"/>
        </w:rPr>
      </w:pPr>
      <w:r w:rsidRPr="009F6FA7">
        <w:rPr>
          <w:noProof/>
        </w:rPr>
        <w:drawing>
          <wp:inline distT="0" distB="0" distL="0" distR="0" wp14:anchorId="64894902" wp14:editId="3CC11230">
            <wp:extent cx="5399953" cy="249555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401136" cy="2496097"/>
                    </a:xfrm>
                    <a:prstGeom prst="rect">
                      <a:avLst/>
                    </a:prstGeom>
                    <a:noFill/>
                    <a:ln>
                      <a:noFill/>
                    </a:ln>
                  </pic:spPr>
                </pic:pic>
              </a:graphicData>
            </a:graphic>
          </wp:inline>
        </w:drawing>
      </w:r>
    </w:p>
    <w:p w14:paraId="1DB6DC62" w14:textId="6B43B6F0" w:rsidR="000F7620" w:rsidRPr="00EB0A63" w:rsidRDefault="000F7620" w:rsidP="00C139E7">
      <w:pPr>
        <w:tabs>
          <w:tab w:val="left" w:pos="6578"/>
        </w:tabs>
        <w:spacing w:line="240" w:lineRule="auto"/>
        <w:rPr>
          <w:rFonts w:cs="Arial"/>
          <w:sz w:val="18"/>
          <w:szCs w:val="20"/>
        </w:rPr>
      </w:pPr>
      <w:r w:rsidRPr="00EB0A63">
        <w:rPr>
          <w:rFonts w:cs="Arial"/>
          <w:sz w:val="18"/>
          <w:szCs w:val="20"/>
        </w:rPr>
        <w:t xml:space="preserve">Fuente: </w:t>
      </w:r>
      <w:r w:rsidRPr="00EB0A63">
        <w:rPr>
          <w:rFonts w:cs="Arial"/>
          <w:sz w:val="18"/>
          <w:szCs w:val="20"/>
        </w:rPr>
        <w:fldChar w:fldCharType="begin" w:fldLock="1"/>
      </w:r>
      <w:r w:rsidR="00475856">
        <w:rPr>
          <w:rFonts w:cs="Arial"/>
          <w:sz w:val="18"/>
          <w:szCs w:val="20"/>
        </w:rPr>
        <w:instrText>ADDIN CSL_CITATION {"citationItems":[{"id":"ITEM-1","itemData":{"author":[{"dropping-particle":"","family":"Sánchez","given":"Marco Vinicio","non-dropping-particle":"","parse-names":false,"suffix":""}],"id":"ITEM-1","issued":{"date-parts":[["2004"]]},"publisher":"Shaker","publisher-place":"Maastricht","title":"Rising inequality and falling poverty in Costa Rica's agriculture during trade reform: a macro-micro general equilibrium analysis.","type":"book"},"uris":["http://www.mendeley.com/documents/?uuid=fcf03561-2471-4e87-aec7-2a34ddcc68c1"]}],"mendeley":{"formattedCitation":"(Sánchez, 2004)","manualFormatting":"Sánchez (2004)","plainTextFormattedCitation":"(Sánchez, 2004)","previouslyFormattedCitation":"(Sánchez, 2004)"},"properties":{"noteIndex":0},"schema":"https://github.com/citation-style-language/schema/raw/master/csl-citation.json"}</w:instrText>
      </w:r>
      <w:r w:rsidRPr="00EB0A63">
        <w:rPr>
          <w:rFonts w:cs="Arial"/>
          <w:sz w:val="18"/>
          <w:szCs w:val="20"/>
        </w:rPr>
        <w:fldChar w:fldCharType="separate"/>
      </w:r>
      <w:r w:rsidRPr="00EB0A63">
        <w:rPr>
          <w:rFonts w:cs="Arial"/>
          <w:noProof/>
          <w:sz w:val="18"/>
          <w:szCs w:val="20"/>
        </w:rPr>
        <w:t>Sánchez (2004)</w:t>
      </w:r>
      <w:r w:rsidRPr="00EB0A63">
        <w:rPr>
          <w:rFonts w:cs="Arial"/>
          <w:sz w:val="18"/>
          <w:szCs w:val="20"/>
        </w:rPr>
        <w:fldChar w:fldCharType="end"/>
      </w:r>
      <w:r w:rsidRPr="00EB0A63">
        <w:rPr>
          <w:rFonts w:cs="Arial"/>
          <w:sz w:val="18"/>
          <w:szCs w:val="20"/>
        </w:rPr>
        <w:t>,con modificaciones.</w:t>
      </w:r>
    </w:p>
    <w:p w14:paraId="1C997531" w14:textId="77777777" w:rsidR="00D91E9C" w:rsidRDefault="00D91E9C" w:rsidP="00C139E7">
      <w:pPr>
        <w:tabs>
          <w:tab w:val="left" w:pos="6578"/>
        </w:tabs>
        <w:spacing w:line="240" w:lineRule="auto"/>
        <w:rPr>
          <w:rFonts w:cs="Arial"/>
        </w:rPr>
      </w:pPr>
    </w:p>
    <w:p w14:paraId="006844C6" w14:textId="6C7D02DC" w:rsidR="000F7620" w:rsidRDefault="000F7620" w:rsidP="00C139E7">
      <w:pPr>
        <w:tabs>
          <w:tab w:val="left" w:pos="6578"/>
        </w:tabs>
        <w:spacing w:line="240" w:lineRule="auto"/>
        <w:rPr>
          <w:rFonts w:cs="Arial"/>
        </w:rPr>
      </w:pPr>
      <w:r>
        <w:rPr>
          <w:rFonts w:cs="Arial"/>
        </w:rPr>
        <w:lastRenderedPageBreak/>
        <w:t>Los agregados de cada variable se pueden obtener ubicándose en la fila y columna de interés, mientras que los coeficientes se pueden obtener a la hora de dividir la celda entre su total, como se muestra en la ecuación 2</w:t>
      </w:r>
      <w:r w:rsidR="00844C4D">
        <w:rPr>
          <w:rFonts w:cs="Arial"/>
        </w:rPr>
        <w:t>.1.3</w:t>
      </w:r>
      <w:r>
        <w:rPr>
          <w:rFonts w:cs="Arial"/>
        </w:rPr>
        <w:t>:</w:t>
      </w:r>
    </w:p>
    <w:p w14:paraId="12E3A7F0" w14:textId="77777777" w:rsidR="00844C4D" w:rsidRDefault="00844C4D" w:rsidP="00C139E7">
      <w:pPr>
        <w:tabs>
          <w:tab w:val="left" w:pos="6578"/>
        </w:tabs>
        <w:spacing w:line="240" w:lineRule="auto"/>
        <w:rPr>
          <w:rFonts w:cs="Arial"/>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91"/>
        <w:gridCol w:w="6471"/>
        <w:gridCol w:w="842"/>
      </w:tblGrid>
      <w:tr w:rsidR="000F7620" w14:paraId="6CA0516E" w14:textId="77777777" w:rsidTr="007D6737">
        <w:tc>
          <w:tcPr>
            <w:tcW w:w="1191" w:type="dxa"/>
          </w:tcPr>
          <w:p w14:paraId="4C3EE7DC" w14:textId="6B71169A" w:rsidR="000F7620" w:rsidRDefault="00844C4D" w:rsidP="00844C4D">
            <w:pPr>
              <w:rPr>
                <w:rFonts w:ascii="Arial" w:eastAsiaTheme="minorEastAsia" w:cs="Arial"/>
              </w:rPr>
            </w:pPr>
            <w:r>
              <w:rPr>
                <w:rFonts w:ascii="Arial" w:eastAsiaTheme="minorEastAsia" w:cs="Arial"/>
              </w:rPr>
              <w:t>2.1.3</w:t>
            </w:r>
          </w:p>
        </w:tc>
        <w:tc>
          <w:tcPr>
            <w:tcW w:w="6471" w:type="dxa"/>
          </w:tcPr>
          <w:p w14:paraId="2451B858" w14:textId="77777777" w:rsidR="000F7620" w:rsidRDefault="00FA183A" w:rsidP="00C139E7">
            <w:pPr>
              <w:jc w:val="center"/>
              <w:rPr>
                <w:rFonts w:ascii="Arial" w:eastAsiaTheme="minorEastAsia" w:cs="Arial"/>
              </w:rPr>
            </w:pPr>
            <m:oMathPara>
              <m:oMath>
                <m:sSub>
                  <m:sSubPr>
                    <m:ctrlPr>
                      <w:rPr>
                        <w:rFonts w:ascii="Cambria Math" w:eastAsiaTheme="minorEastAsia" w:hAnsi="Cambria Math" w:cs="Arial"/>
                        <w:i/>
                      </w:rPr>
                    </m:ctrlPr>
                  </m:sSubPr>
                  <m:e>
                    <m:r>
                      <w:rPr>
                        <w:rFonts w:ascii="Cambria Math" w:eastAsiaTheme="minorEastAsia" w:hAnsi="Cambria Math" w:cs="Arial"/>
                      </w:rPr>
                      <m:t>A</m:t>
                    </m:r>
                  </m:e>
                  <m:sub>
                    <m:r>
                      <w:rPr>
                        <w:rFonts w:ascii="Cambria Math" w:eastAsiaTheme="minorEastAsia" w:hAnsi="Cambria Math" w:cs="Arial"/>
                      </w:rPr>
                      <m:t>ij</m:t>
                    </m:r>
                  </m:sub>
                </m:sSub>
                <m:r>
                  <w:rPr>
                    <w:rFonts w:ascii="Cambria Math" w:eastAsiaTheme="minorEastAsia" w:hAnsi="Cambria Math" w:cs="Arial"/>
                  </w:rPr>
                  <m:t>=</m:t>
                </m:r>
                <m:f>
                  <m:fPr>
                    <m:ctrlPr>
                      <w:rPr>
                        <w:rFonts w:ascii="Cambria Math" w:eastAsiaTheme="minorEastAsia" w:hAnsi="Cambria Math" w:cs="Arial"/>
                        <w:i/>
                      </w:rPr>
                    </m:ctrlPr>
                  </m:fPr>
                  <m:num>
                    <m:sSub>
                      <m:sSubPr>
                        <m:ctrlPr>
                          <w:rPr>
                            <w:rFonts w:ascii="Cambria Math" w:eastAsiaTheme="minorEastAsia" w:hAnsi="Cambria Math" w:cs="Arial"/>
                            <w:i/>
                          </w:rPr>
                        </m:ctrlPr>
                      </m:sSubPr>
                      <m:e>
                        <m:r>
                          <w:rPr>
                            <w:rFonts w:ascii="Cambria Math" w:eastAsiaTheme="minorEastAsia" w:hAnsi="Cambria Math" w:cs="Arial"/>
                          </w:rPr>
                          <m:t>t</m:t>
                        </m:r>
                      </m:e>
                      <m:sub>
                        <m:r>
                          <w:rPr>
                            <w:rFonts w:ascii="Cambria Math" w:eastAsiaTheme="minorEastAsia" w:hAnsi="Cambria Math" w:cs="Arial"/>
                          </w:rPr>
                          <m:t>ij</m:t>
                        </m:r>
                      </m:sub>
                    </m:sSub>
                  </m:num>
                  <m:den>
                    <m:sSub>
                      <m:sSubPr>
                        <m:ctrlPr>
                          <w:rPr>
                            <w:rFonts w:ascii="Cambria Math" w:eastAsiaTheme="minorEastAsia" w:hAnsi="Cambria Math" w:cs="Arial"/>
                            <w:i/>
                          </w:rPr>
                        </m:ctrlPr>
                      </m:sSubPr>
                      <m:e>
                        <m:r>
                          <w:rPr>
                            <w:rFonts w:ascii="Cambria Math" w:eastAsiaTheme="minorEastAsia" w:hAnsi="Cambria Math" w:cs="Arial"/>
                          </w:rPr>
                          <m:t>y</m:t>
                        </m:r>
                      </m:e>
                      <m:sub>
                        <m:r>
                          <w:rPr>
                            <w:rFonts w:ascii="Cambria Math" w:eastAsiaTheme="minorEastAsia" w:hAnsi="Cambria Math" w:cs="Arial"/>
                          </w:rPr>
                          <m:t>j</m:t>
                        </m:r>
                      </m:sub>
                    </m:sSub>
                  </m:den>
                </m:f>
              </m:oMath>
            </m:oMathPara>
          </w:p>
        </w:tc>
        <w:tc>
          <w:tcPr>
            <w:tcW w:w="842" w:type="dxa"/>
          </w:tcPr>
          <w:p w14:paraId="6E19BE24" w14:textId="77777777" w:rsidR="000F7620" w:rsidRPr="00844C4D" w:rsidRDefault="000F7620" w:rsidP="00844C4D">
            <w:pPr>
              <w:ind w:left="360"/>
              <w:jc w:val="center"/>
              <w:rPr>
                <w:rFonts w:eastAsiaTheme="minorEastAsia" w:cs="Arial"/>
              </w:rPr>
            </w:pPr>
          </w:p>
        </w:tc>
      </w:tr>
    </w:tbl>
    <w:p w14:paraId="5D60C798" w14:textId="77777777" w:rsidR="000F7620" w:rsidRDefault="000F7620" w:rsidP="00C139E7">
      <w:pPr>
        <w:tabs>
          <w:tab w:val="left" w:pos="6578"/>
        </w:tabs>
        <w:spacing w:line="240" w:lineRule="auto"/>
        <w:rPr>
          <w:rFonts w:cs="Arial"/>
        </w:rPr>
      </w:pPr>
    </w:p>
    <w:p w14:paraId="64D5FBF1" w14:textId="754750DF" w:rsidR="000F7620" w:rsidRDefault="000F7620" w:rsidP="00C139E7">
      <w:pPr>
        <w:tabs>
          <w:tab w:val="left" w:pos="6578"/>
        </w:tabs>
        <w:spacing w:line="240" w:lineRule="auto"/>
        <w:rPr>
          <w:rFonts w:eastAsiaTheme="minorEastAsia" w:cs="Arial"/>
        </w:rPr>
      </w:pPr>
      <w:r>
        <w:rPr>
          <w:rFonts w:cs="Arial"/>
        </w:rPr>
        <w:t xml:space="preserve">Donde </w:t>
      </w:r>
      <m:oMath>
        <m:sSub>
          <m:sSubPr>
            <m:ctrlPr>
              <w:rPr>
                <w:rFonts w:ascii="Cambria Math" w:eastAsiaTheme="minorEastAsia" w:hAnsi="Cambria Math" w:cs="Arial"/>
                <w:i/>
              </w:rPr>
            </m:ctrlPr>
          </m:sSubPr>
          <m:e>
            <m:r>
              <w:rPr>
                <w:rFonts w:ascii="Cambria Math" w:eastAsiaTheme="minorEastAsia" w:hAnsi="Cambria Math" w:cs="Arial"/>
              </w:rPr>
              <m:t>A</m:t>
            </m:r>
          </m:e>
          <m:sub>
            <m:r>
              <w:rPr>
                <w:rFonts w:ascii="Cambria Math" w:eastAsiaTheme="minorEastAsia" w:hAnsi="Cambria Math" w:cs="Arial"/>
              </w:rPr>
              <m:t>ij</m:t>
            </m:r>
          </m:sub>
        </m:sSub>
      </m:oMath>
      <w:r>
        <w:rPr>
          <w:rFonts w:eastAsiaTheme="minorEastAsia" w:cs="Arial"/>
        </w:rPr>
        <w:t xml:space="preserve"> es el parámetro de la cuenta de interés </w:t>
      </w:r>
      <m:oMath>
        <m:sSub>
          <m:sSubPr>
            <m:ctrlPr>
              <w:rPr>
                <w:rFonts w:ascii="Cambria Math" w:eastAsiaTheme="minorEastAsia" w:hAnsi="Cambria Math" w:cs="Arial"/>
                <w:i/>
              </w:rPr>
            </m:ctrlPr>
          </m:sSubPr>
          <m:e>
            <m:r>
              <w:rPr>
                <w:rFonts w:ascii="Cambria Math" w:eastAsiaTheme="minorEastAsia" w:hAnsi="Cambria Math" w:cs="Arial"/>
              </w:rPr>
              <m:t>y</m:t>
            </m:r>
          </m:e>
          <m:sub>
            <m:r>
              <w:rPr>
                <w:rFonts w:ascii="Cambria Math" w:eastAsiaTheme="minorEastAsia" w:hAnsi="Cambria Math" w:cs="Arial"/>
              </w:rPr>
              <m:t>j</m:t>
            </m:r>
          </m:sub>
        </m:sSub>
      </m:oMath>
      <w:r>
        <w:rPr>
          <w:rFonts w:eastAsiaTheme="minorEastAsia" w:cs="Arial"/>
        </w:rPr>
        <w:t xml:space="preserve"> es el total de la columna donde se encuentra la transacción, siendo así: “</w:t>
      </w:r>
      <w:r w:rsidRPr="00AD000F">
        <w:rPr>
          <w:rFonts w:eastAsiaTheme="minorEastAsia" w:cs="Arial"/>
        </w:rPr>
        <w:t>Esta ecuación, aplicada a los valores de ahorro, consumo, exportaciones e importaciones de una MCS, por ejemplo, proporcionaría propensiones medias a ahorrar, consumir, exportar e importar, respectivamente, que se pueden fácilmente usar en las ecuaciones de un modelo de equilibrio general.</w:t>
      </w:r>
      <w:r>
        <w:rPr>
          <w:rFonts w:eastAsiaTheme="minorEastAsia" w:cs="Arial"/>
        </w:rPr>
        <w:t xml:space="preserve">” </w:t>
      </w:r>
      <w:r>
        <w:rPr>
          <w:rFonts w:eastAsiaTheme="minorEastAsia" w:cs="Arial"/>
        </w:rPr>
        <w:fldChar w:fldCharType="begin" w:fldLock="1"/>
      </w:r>
      <w:r w:rsidR="00475856">
        <w:rPr>
          <w:rFonts w:eastAsiaTheme="minorEastAsia" w:cs="Arial"/>
        </w:rPr>
        <w:instrText>ADDIN CSL_CITATION {"citationItems":[{"id":"ITEM-1","itemData":{"author":[{"dropping-particle":"","family":"Cicowiez","given":"Martín","non-dropping-particle":"","parse-names":false,"suffix":""},{"dropping-particle":"","family":"Sánchez","given":"Marco Vinicio","non-dropping-particle":"","parse-names":false,"suffix":""},{"dropping-particle":"","family":"Saborío","given":"Gabriela","non-dropping-particle":"","parse-names":false,"suffix":""}],"id":"ITEM-1","issued":{"date-parts":[["2016"]]},"number-of-pages":"34","publisher-place":"San José","title":"Matriz de contabilidad social Costa Rica 2012, fundamentos metodológicos de su construcción","type":"report"},"uris":["http://www.mendeley.com/documents/?uuid=53a07809-4991-432a-b481-137686f6bd14"]}],"mendeley":{"formattedCitation":"(Cicowiez et al., 2016)","plainTextFormattedCitation":"(Cicowiez et al., 2016)","previouslyFormattedCitation":"(Cicowiez et al., 2016)"},"properties":{"noteIndex":0},"schema":"https://github.com/citation-style-language/schema/raw/master/csl-citation.json"}</w:instrText>
      </w:r>
      <w:r>
        <w:rPr>
          <w:rFonts w:eastAsiaTheme="minorEastAsia" w:cs="Arial"/>
        </w:rPr>
        <w:fldChar w:fldCharType="separate"/>
      </w:r>
      <w:r w:rsidR="00801FC7" w:rsidRPr="00801FC7">
        <w:rPr>
          <w:rFonts w:eastAsiaTheme="minorEastAsia" w:cs="Arial"/>
          <w:noProof/>
        </w:rPr>
        <w:t>(Cicowiez et al., 2016)</w:t>
      </w:r>
      <w:r>
        <w:rPr>
          <w:rFonts w:eastAsiaTheme="minorEastAsia" w:cs="Arial"/>
        </w:rPr>
        <w:fldChar w:fldCharType="end"/>
      </w:r>
      <w:r>
        <w:rPr>
          <w:rFonts w:eastAsiaTheme="minorEastAsia" w:cs="Arial"/>
        </w:rPr>
        <w:t>.</w:t>
      </w:r>
    </w:p>
    <w:p w14:paraId="2D92A879" w14:textId="4CEE163C" w:rsidR="000F7620" w:rsidRDefault="000F7620" w:rsidP="00C139E7">
      <w:pPr>
        <w:tabs>
          <w:tab w:val="left" w:pos="6578"/>
        </w:tabs>
        <w:spacing w:line="240" w:lineRule="auto"/>
        <w:rPr>
          <w:rFonts w:eastAsiaTheme="minorEastAsia" w:cs="Arial"/>
        </w:rPr>
      </w:pPr>
      <w:r>
        <w:rPr>
          <w:rFonts w:eastAsiaTheme="minorEastAsia" w:cs="Arial"/>
        </w:rPr>
        <w:t xml:space="preserve">Posteriormente a la recopilación de datos, sigue el planteamiento teórico-matemático de los modelos de </w:t>
      </w:r>
      <w:r w:rsidR="00CC66D8">
        <w:rPr>
          <w:rFonts w:eastAsiaTheme="minorEastAsia" w:cs="Arial"/>
        </w:rPr>
        <w:t>e</w:t>
      </w:r>
      <w:r>
        <w:rPr>
          <w:rFonts w:eastAsiaTheme="minorEastAsia" w:cs="Arial"/>
        </w:rPr>
        <w:t xml:space="preserve">quilibrio general, los cuales se pueden definir como un conjunto de ecuaciones que tratan de simular el flujo circular de una economía, asumiendo </w:t>
      </w:r>
      <w:r w:rsidR="00F9499C">
        <w:rPr>
          <w:rFonts w:eastAsiaTheme="minorEastAsia" w:cs="Arial"/>
        </w:rPr>
        <w:t>los</w:t>
      </w:r>
      <w:r>
        <w:rPr>
          <w:rFonts w:eastAsiaTheme="minorEastAsia" w:cs="Arial"/>
        </w:rPr>
        <w:t xml:space="preserve"> supuesto</w:t>
      </w:r>
      <w:r w:rsidR="00F9499C">
        <w:rPr>
          <w:rFonts w:eastAsiaTheme="minorEastAsia" w:cs="Arial"/>
        </w:rPr>
        <w:t>s</w:t>
      </w:r>
      <w:r>
        <w:rPr>
          <w:rFonts w:eastAsiaTheme="minorEastAsia" w:cs="Arial"/>
        </w:rPr>
        <w:t xml:space="preserve"> de Walras</w:t>
      </w:r>
      <w:r w:rsidR="00F9499C">
        <w:rPr>
          <w:rFonts w:eastAsiaTheme="minorEastAsia" w:cs="Arial"/>
        </w:rPr>
        <w:t xml:space="preserve">, donde si hay n-1 mercados en equilibrio, el número n también estará en equilibrio y si </w:t>
      </w:r>
      <w:r w:rsidR="0039421C">
        <w:rPr>
          <w:rFonts w:eastAsiaTheme="minorEastAsia" w:cs="Arial"/>
        </w:rPr>
        <w:t>existe un ex</w:t>
      </w:r>
      <w:r w:rsidR="006F28D6">
        <w:rPr>
          <w:rFonts w:eastAsiaTheme="minorEastAsia" w:cs="Arial"/>
        </w:rPr>
        <w:t xml:space="preserve">ceso de demanda, </w:t>
      </w:r>
      <w:r w:rsidR="00F85C54">
        <w:rPr>
          <w:rFonts w:eastAsiaTheme="minorEastAsia" w:cs="Arial"/>
        </w:rPr>
        <w:t>existirá</w:t>
      </w:r>
      <w:r w:rsidR="006F28D6">
        <w:rPr>
          <w:rFonts w:eastAsiaTheme="minorEastAsia" w:cs="Arial"/>
        </w:rPr>
        <w:t xml:space="preserve"> al menos otro</w:t>
      </w:r>
      <w:r w:rsidR="00F85C54">
        <w:rPr>
          <w:rFonts w:eastAsiaTheme="minorEastAsia" w:cs="Arial"/>
        </w:rPr>
        <w:t xml:space="preserve"> con escasez de demanda</w:t>
      </w:r>
      <w:r>
        <w:rPr>
          <w:rFonts w:eastAsiaTheme="minorEastAsia" w:cs="Arial"/>
        </w:rPr>
        <w:t xml:space="preserve">. </w:t>
      </w:r>
    </w:p>
    <w:p w14:paraId="0E49C68F" w14:textId="74381F66" w:rsidR="00E21110" w:rsidRDefault="00E21110" w:rsidP="00E21110">
      <w:pPr>
        <w:pStyle w:val="Heading2"/>
      </w:pPr>
      <w:bookmarkStart w:id="28" w:name="_Toc2853753"/>
      <w:r>
        <w:t>2.</w:t>
      </w:r>
      <w:r w:rsidR="001F1581">
        <w:t>3</w:t>
      </w:r>
      <w:r>
        <w:t xml:space="preserve"> Equilibrio General</w:t>
      </w:r>
      <w:bookmarkEnd w:id="28"/>
    </w:p>
    <w:p w14:paraId="7386788E" w14:textId="67F4B731" w:rsidR="000F7620" w:rsidRDefault="000F7620" w:rsidP="00C139E7">
      <w:pPr>
        <w:tabs>
          <w:tab w:val="left" w:pos="6578"/>
        </w:tabs>
        <w:spacing w:line="240" w:lineRule="auto"/>
        <w:rPr>
          <w:rFonts w:eastAsiaTheme="minorEastAsia" w:cs="Arial"/>
        </w:rPr>
      </w:pPr>
      <w:r>
        <w:rPr>
          <w:rFonts w:eastAsiaTheme="minorEastAsia" w:cs="Arial"/>
        </w:rPr>
        <w:t>Los MEG</w:t>
      </w:r>
      <w:r w:rsidR="002512E5">
        <w:rPr>
          <w:rFonts w:eastAsiaTheme="minorEastAsia" w:cs="Arial"/>
        </w:rPr>
        <w:t>C</w:t>
      </w:r>
      <w:r>
        <w:rPr>
          <w:rFonts w:eastAsiaTheme="minorEastAsia" w:cs="Arial"/>
        </w:rPr>
        <w:t xml:space="preserve"> nacieron de la teoría de equilibrio general, la cual es perteneciente a la corriente macroeconómica llamada la Nueva Macroeconomía (NM), donde se planteaba los nuevos modelos de la macroeconomía debían de tener fuente sustento microeconómico: </w:t>
      </w:r>
    </w:p>
    <w:p w14:paraId="08CBD24E" w14:textId="118180A1" w:rsidR="000F7620" w:rsidRDefault="000F7620" w:rsidP="00C139E7">
      <w:pPr>
        <w:tabs>
          <w:tab w:val="left" w:pos="6578"/>
        </w:tabs>
        <w:spacing w:line="240" w:lineRule="auto"/>
        <w:ind w:left="708"/>
        <w:rPr>
          <w:rFonts w:eastAsiaTheme="minorEastAsia" w:cs="Arial"/>
        </w:rPr>
      </w:pPr>
      <w:r w:rsidRPr="0022250A">
        <w:rPr>
          <w:rFonts w:eastAsiaTheme="minorEastAsia" w:cs="Arial"/>
        </w:rPr>
        <w:t>La NM sugería que la teoría macroeconómica debería ser construida a</w:t>
      </w:r>
      <w:r w:rsidRPr="0022250A">
        <w:rPr>
          <w:rFonts w:eastAsiaTheme="minorEastAsia" w:cs="Arial"/>
        </w:rPr>
        <w:br/>
        <w:t>partir de modelos de comportamiento de cada uno</w:t>
      </w:r>
      <w:r>
        <w:rPr>
          <w:rFonts w:eastAsiaTheme="minorEastAsia" w:cs="Arial"/>
        </w:rPr>
        <w:t xml:space="preserve"> de los agentes, y criticaba el </w:t>
      </w:r>
      <w:r w:rsidRPr="0022250A">
        <w:rPr>
          <w:rFonts w:eastAsiaTheme="minorEastAsia" w:cs="Arial"/>
        </w:rPr>
        <w:t>estudio de modelos ad hoc de los grandes agregados, q</w:t>
      </w:r>
      <w:r>
        <w:rPr>
          <w:rFonts w:eastAsiaTheme="minorEastAsia" w:cs="Arial"/>
        </w:rPr>
        <w:t xml:space="preserve">ue sólo explicaban parcialmente el </w:t>
      </w:r>
      <w:r w:rsidRPr="0022250A">
        <w:rPr>
          <w:rFonts w:eastAsiaTheme="minorEastAsia" w:cs="Arial"/>
        </w:rPr>
        <w:t xml:space="preserve">funcionamiento </w:t>
      </w:r>
      <w:r>
        <w:rPr>
          <w:rFonts w:eastAsiaTheme="minorEastAsia" w:cs="Arial"/>
        </w:rPr>
        <w:t xml:space="preserve">de algunas variables económicas fundamentales como </w:t>
      </w:r>
      <w:r w:rsidRPr="0022250A">
        <w:rPr>
          <w:rFonts w:eastAsiaTheme="minorEastAsia" w:cs="Arial"/>
        </w:rPr>
        <w:t xml:space="preserve">por ejemplo el </w:t>
      </w:r>
      <w:r>
        <w:rPr>
          <w:rFonts w:eastAsiaTheme="minorEastAsia" w:cs="Arial"/>
        </w:rPr>
        <w:t>consumo</w:t>
      </w:r>
      <w:r w:rsidRPr="0022250A">
        <w:rPr>
          <w:rFonts w:eastAsiaTheme="minorEastAsia" w:cs="Arial"/>
        </w:rPr>
        <w:t xml:space="preserve"> y</w:t>
      </w:r>
      <w:r>
        <w:rPr>
          <w:rFonts w:eastAsiaTheme="minorEastAsia" w:cs="Arial"/>
        </w:rPr>
        <w:t xml:space="preserve"> </w:t>
      </w:r>
      <w:r w:rsidRPr="0022250A">
        <w:rPr>
          <w:rFonts w:eastAsiaTheme="minorEastAsia" w:cs="Arial"/>
        </w:rPr>
        <w:t>la inversión</w:t>
      </w:r>
      <w:r>
        <w:rPr>
          <w:rFonts w:eastAsiaTheme="minorEastAsia" w:cs="Arial"/>
        </w:rPr>
        <w:t xml:space="preserve">. </w:t>
      </w:r>
      <w:r>
        <w:rPr>
          <w:rFonts w:eastAsiaTheme="minorEastAsia" w:cs="Arial"/>
        </w:rPr>
        <w:fldChar w:fldCharType="begin" w:fldLock="1"/>
      </w:r>
      <w:r w:rsidR="00475856">
        <w:rPr>
          <w:rFonts w:eastAsiaTheme="minorEastAsia" w:cs="Arial"/>
        </w:rPr>
        <w:instrText>ADDIN CSL_CITATION {"citationItems":[{"id":"ITEM-1","itemData":{"author":[{"dropping-particle":"","family":"Romero","given":"Carlos A","non-dropping-particle":"","parse-names":false,"suffix":""}],"container-title":"MPRA paper","id":"ITEM-1","issued":{"date-parts":[["2009"]]},"title":"Calibración de modelos de equilibrio general computado: métodos y práctica usual","type":"article-journal"},"uris":["http://www.mendeley.com/documents/?uuid=62a20448-0281-47a5-a53c-7c84479d732e"]}],"mendeley":{"formattedCitation":"(Romero, 2009)","plainTextFormattedCitation":"(Romero, 2009)","previouslyFormattedCitation":"(Romero, 2009)"},"properties":{"noteIndex":0},"schema":"https://github.com/citation-style-language/schema/raw/master/csl-citation.json"}</w:instrText>
      </w:r>
      <w:r>
        <w:rPr>
          <w:rFonts w:eastAsiaTheme="minorEastAsia" w:cs="Arial"/>
        </w:rPr>
        <w:fldChar w:fldCharType="separate"/>
      </w:r>
      <w:r w:rsidRPr="00E658CF">
        <w:rPr>
          <w:rFonts w:eastAsiaTheme="minorEastAsia" w:cs="Arial"/>
          <w:noProof/>
        </w:rPr>
        <w:t>(Romero, 2009)</w:t>
      </w:r>
      <w:r>
        <w:rPr>
          <w:rFonts w:eastAsiaTheme="minorEastAsia" w:cs="Arial"/>
        </w:rPr>
        <w:fldChar w:fldCharType="end"/>
      </w:r>
      <w:r>
        <w:rPr>
          <w:rFonts w:eastAsiaTheme="minorEastAsia" w:cs="Arial"/>
        </w:rPr>
        <w:t>.</w:t>
      </w:r>
    </w:p>
    <w:p w14:paraId="2255D007" w14:textId="70316F2C" w:rsidR="000F7620" w:rsidRDefault="000F7620" w:rsidP="00C139E7">
      <w:pPr>
        <w:tabs>
          <w:tab w:val="left" w:pos="6578"/>
        </w:tabs>
        <w:spacing w:line="240" w:lineRule="auto"/>
        <w:rPr>
          <w:rFonts w:eastAsiaTheme="minorEastAsia" w:cs="Arial"/>
        </w:rPr>
      </w:pPr>
      <w:r>
        <w:rPr>
          <w:rFonts w:eastAsiaTheme="minorEastAsia" w:cs="Arial"/>
        </w:rPr>
        <w:t xml:space="preserve">Por otro lado, la teoría del equilibrio </w:t>
      </w:r>
      <w:r w:rsidR="00706E12">
        <w:rPr>
          <w:rFonts w:eastAsiaTheme="minorEastAsia" w:cs="Arial"/>
        </w:rPr>
        <w:t>general</w:t>
      </w:r>
      <w:r>
        <w:rPr>
          <w:rFonts w:eastAsiaTheme="minorEastAsia" w:cs="Arial"/>
        </w:rPr>
        <w:t xml:space="preserve"> planteaba las condiciones necesarias</w:t>
      </w:r>
      <w:r w:rsidR="00706E12">
        <w:rPr>
          <w:rFonts w:eastAsiaTheme="minorEastAsia" w:cs="Arial"/>
        </w:rPr>
        <w:t xml:space="preserve"> </w:t>
      </w:r>
      <w:r>
        <w:rPr>
          <w:rFonts w:eastAsiaTheme="minorEastAsia" w:cs="Arial"/>
        </w:rPr>
        <w:t xml:space="preserve">en una economía con múltiples mercados, los cuales son completos, donde el beneficio de las firmas es nulo, porque se encuentra en un contexto de competencia perfecta. </w:t>
      </w:r>
    </w:p>
    <w:p w14:paraId="511A6FF0" w14:textId="677C18C0" w:rsidR="000F7620" w:rsidRDefault="000F7620" w:rsidP="00C139E7">
      <w:pPr>
        <w:tabs>
          <w:tab w:val="left" w:pos="6578"/>
        </w:tabs>
        <w:spacing w:line="240" w:lineRule="auto"/>
        <w:rPr>
          <w:rFonts w:eastAsiaTheme="minorEastAsia" w:cs="Arial"/>
        </w:rPr>
      </w:pPr>
      <w:r>
        <w:rPr>
          <w:rFonts w:eastAsiaTheme="minorEastAsia" w:cs="Arial"/>
        </w:rPr>
        <w:t xml:space="preserve">Es así como la </w:t>
      </w:r>
      <w:r w:rsidR="00CA6DC1">
        <w:rPr>
          <w:rFonts w:eastAsiaTheme="minorEastAsia" w:cs="Arial"/>
        </w:rPr>
        <w:t>T</w:t>
      </w:r>
      <w:r>
        <w:rPr>
          <w:rFonts w:eastAsiaTheme="minorEastAsia" w:cs="Arial"/>
        </w:rPr>
        <w:t xml:space="preserve">eoría de </w:t>
      </w:r>
      <w:r w:rsidR="00CA6DC1">
        <w:rPr>
          <w:rFonts w:eastAsiaTheme="minorEastAsia" w:cs="Arial"/>
        </w:rPr>
        <w:t>E</w:t>
      </w:r>
      <w:r>
        <w:rPr>
          <w:rFonts w:eastAsiaTheme="minorEastAsia" w:cs="Arial"/>
        </w:rPr>
        <w:t xml:space="preserve">quilibrio </w:t>
      </w:r>
      <w:r w:rsidR="00CA6DC1">
        <w:rPr>
          <w:rFonts w:eastAsiaTheme="minorEastAsia" w:cs="Arial"/>
        </w:rPr>
        <w:t>G</w:t>
      </w:r>
      <w:r>
        <w:rPr>
          <w:rFonts w:eastAsiaTheme="minorEastAsia" w:cs="Arial"/>
        </w:rPr>
        <w:t>eneral (TEG) establece las condiciones</w:t>
      </w:r>
      <w:r w:rsidR="008E039C">
        <w:rPr>
          <w:rFonts w:eastAsiaTheme="minorEastAsia" w:cs="Arial"/>
        </w:rPr>
        <w:t xml:space="preserve"> </w:t>
      </w:r>
      <w:r>
        <w:rPr>
          <w:rFonts w:eastAsiaTheme="minorEastAsia" w:cs="Arial"/>
        </w:rPr>
        <w:t>de equilibrio, mostrando como puente los principios microeconómicos; “</w:t>
      </w:r>
      <w:r w:rsidRPr="00685415">
        <w:rPr>
          <w:rFonts w:eastAsiaTheme="minorEastAsia" w:cs="Arial"/>
        </w:rPr>
        <w:t>En otras palabr</w:t>
      </w:r>
      <w:r>
        <w:rPr>
          <w:rFonts w:eastAsiaTheme="minorEastAsia" w:cs="Arial"/>
        </w:rPr>
        <w:t xml:space="preserve">as, la TEG se ocupa de analizar </w:t>
      </w:r>
      <w:r w:rsidRPr="00685415">
        <w:rPr>
          <w:rFonts w:eastAsiaTheme="minorEastAsia" w:cs="Arial"/>
        </w:rPr>
        <w:t>las interrelaciones entre los mercados de bienes y servicios (como en la macroeconomía) a través de agentes económicos que tom</w:t>
      </w:r>
      <w:r>
        <w:rPr>
          <w:rFonts w:eastAsiaTheme="minorEastAsia" w:cs="Arial"/>
        </w:rPr>
        <w:t>an sus propias decisiones (como en la microeconomía)”.</w:t>
      </w:r>
      <w:r w:rsidR="00F94F32">
        <w:rPr>
          <w:rFonts w:eastAsiaTheme="minorEastAsia" w:cs="Arial"/>
        </w:rPr>
        <w:t xml:space="preserve"> </w:t>
      </w:r>
      <w:r>
        <w:rPr>
          <w:rFonts w:eastAsiaTheme="minorEastAsia" w:cs="Arial"/>
        </w:rPr>
        <w:fldChar w:fldCharType="begin" w:fldLock="1"/>
      </w:r>
      <w:r w:rsidR="00475856">
        <w:rPr>
          <w:rFonts w:eastAsiaTheme="minorEastAsia" w:cs="Arial"/>
        </w:rPr>
        <w:instrText>ADDIN CSL_CITATION {"citationItems":[{"id":"ITEM-1","itemData":{"author":[{"dropping-particle":"","family":"Romero","given":"Carlos A","non-dropping-particle":"","parse-names":false,"suffix":""}],"container-title":"MPRA paper","id":"ITEM-1","issued":{"date-parts":[["2009"]]},"title":"Calibración de modelos de equilibrio general computado: métodos y práctica usual","type":"article-journal"},"uris":["http://www.mendeley.com/documents/?uuid=62a20448-0281-47a5-a53c-7c84479d732e"]}],"mendeley":{"formattedCitation":"(Romero, 2009)","plainTextFormattedCitation":"(Romero, 2009)","previouslyFormattedCitation":"(Romero, 2009)"},"properties":{"noteIndex":0},"schema":"https://github.com/citation-style-language/schema/raw/master/csl-citation.json"}</w:instrText>
      </w:r>
      <w:r>
        <w:rPr>
          <w:rFonts w:eastAsiaTheme="minorEastAsia" w:cs="Arial"/>
        </w:rPr>
        <w:fldChar w:fldCharType="separate"/>
      </w:r>
      <w:r w:rsidRPr="00E658CF">
        <w:rPr>
          <w:rFonts w:eastAsiaTheme="minorEastAsia" w:cs="Arial"/>
          <w:noProof/>
        </w:rPr>
        <w:t>(Romero, 2009)</w:t>
      </w:r>
      <w:r>
        <w:rPr>
          <w:rFonts w:eastAsiaTheme="minorEastAsia" w:cs="Arial"/>
        </w:rPr>
        <w:fldChar w:fldCharType="end"/>
      </w:r>
      <w:r>
        <w:rPr>
          <w:rFonts w:eastAsiaTheme="minorEastAsia" w:cs="Arial"/>
        </w:rPr>
        <w:t>.</w:t>
      </w:r>
    </w:p>
    <w:p w14:paraId="3E784739" w14:textId="77777777" w:rsidR="000F7620" w:rsidRDefault="000F7620" w:rsidP="00C139E7">
      <w:pPr>
        <w:tabs>
          <w:tab w:val="left" w:pos="6578"/>
        </w:tabs>
        <w:spacing w:line="240" w:lineRule="auto"/>
        <w:rPr>
          <w:rFonts w:eastAsiaTheme="minorEastAsia" w:cs="Arial"/>
        </w:rPr>
      </w:pPr>
      <w:r>
        <w:rPr>
          <w:rFonts w:eastAsiaTheme="minorEastAsia" w:cs="Arial"/>
        </w:rPr>
        <w:t>El nacimiento de los MEGC se da con el aumento en la tecnología para poder resolver los modelos propuestos bajo la corriente de la TEG, dando así representaciones numéricas de la realidad, la complejidad expuesta en este tipo de modelos hace casi imposible llegar a soluciones sin la herramienta computacional disponible actualmente.</w:t>
      </w:r>
    </w:p>
    <w:p w14:paraId="6FCAE8D7" w14:textId="35D3FF92" w:rsidR="000F7620" w:rsidRDefault="000F7620" w:rsidP="00C139E7">
      <w:pPr>
        <w:tabs>
          <w:tab w:val="left" w:pos="6578"/>
        </w:tabs>
        <w:spacing w:line="240" w:lineRule="auto"/>
        <w:rPr>
          <w:rFonts w:eastAsiaTheme="minorEastAsia" w:cs="Arial"/>
        </w:rPr>
      </w:pPr>
      <w:r>
        <w:rPr>
          <w:rFonts w:eastAsiaTheme="minorEastAsia" w:cs="Arial"/>
        </w:rPr>
        <w:lastRenderedPageBreak/>
        <w:t xml:space="preserve">La cantidad de supuestos que se establecen en estos </w:t>
      </w:r>
      <w:r w:rsidR="00C274CE">
        <w:rPr>
          <w:rFonts w:eastAsiaTheme="minorEastAsia" w:cs="Arial"/>
        </w:rPr>
        <w:t>modelos</w:t>
      </w:r>
      <w:r>
        <w:rPr>
          <w:rFonts w:eastAsiaTheme="minorEastAsia" w:cs="Arial"/>
        </w:rPr>
        <w:t xml:space="preserve"> plantea la necesidad de tener consistencia con lo tratado de exponer, es decir, el análisis de una política económica, mediante un MEGC debe contener los supuestos necesarios para ser una simplificación y no para facilitar la modelación.</w:t>
      </w:r>
    </w:p>
    <w:p w14:paraId="5AD5FACF" w14:textId="1F8E3C77" w:rsidR="000F7620" w:rsidRDefault="000F7620" w:rsidP="00C139E7">
      <w:pPr>
        <w:tabs>
          <w:tab w:val="left" w:pos="6578"/>
        </w:tabs>
        <w:spacing w:line="240" w:lineRule="auto"/>
        <w:rPr>
          <w:rFonts w:eastAsiaTheme="minorEastAsia" w:cs="Arial"/>
        </w:rPr>
      </w:pPr>
      <w:r>
        <w:rPr>
          <w:rFonts w:eastAsiaTheme="minorEastAsia" w:cs="Arial"/>
        </w:rPr>
        <w:t xml:space="preserve">La capacidad de los MEGC recae en los aspectos de su solidez teórica y su capacidad descriptiva. El primer aspecto parece ser superado con la solidez la TEG, ya sea un enfoque dinámico o estático, o en modelación micro o macro. Mientras la capacidad descriptiva recae en la escogencia de las ecuaciones que permitan asemejar a la economía en estudio, y sobre la fuente de información en la parametrización. </w:t>
      </w:r>
      <w:r>
        <w:rPr>
          <w:rFonts w:eastAsiaTheme="minorEastAsia" w:cs="Arial"/>
        </w:rPr>
        <w:fldChar w:fldCharType="begin" w:fldLock="1"/>
      </w:r>
      <w:r w:rsidR="00475856">
        <w:rPr>
          <w:rFonts w:eastAsiaTheme="minorEastAsia" w:cs="Arial"/>
        </w:rPr>
        <w:instrText>ADDIN CSL_CITATION {"citationItems":[{"id":"ITEM-1","itemData":{"author":[{"dropping-particle":"","family":"Polo","given":"Clemente","non-dropping-particle":"","parse-names":false,"suffix":""},{"dropping-particle":"","family":"Sancho","given":"Ferran","non-dropping-particle":"","parse-names":false,"suffix":""}],"container-title":"Cuadernos Económicos de ICE","id":"ITEM-1","issue":"48","issued":{"date-parts":[["1991"]]},"page":"239-252","title":"Equivalencia recaudatoria y asignación de recursos: Un análisis de simulación","type":"article-journal","volume":"2"},"uris":["http://www.mendeley.com/documents/?uuid=da0e148f-da55-4954-8253-b8938ec44c9d"]}],"mendeley":{"formattedCitation":"(Polo &amp; Sancho, 1991)","plainTextFormattedCitation":"(Polo &amp; Sancho, 1991)","previouslyFormattedCitation":"(Polo &amp; Sancho, 1991)"},"properties":{"noteIndex":0},"schema":"https://github.com/citation-style-language/schema/raw/master/csl-citation.json"}</w:instrText>
      </w:r>
      <w:r>
        <w:rPr>
          <w:rFonts w:eastAsiaTheme="minorEastAsia" w:cs="Arial"/>
        </w:rPr>
        <w:fldChar w:fldCharType="separate"/>
      </w:r>
      <w:r w:rsidRPr="00E658CF">
        <w:rPr>
          <w:rFonts w:eastAsiaTheme="minorEastAsia" w:cs="Arial"/>
          <w:noProof/>
        </w:rPr>
        <w:t>(Polo &amp; Sancho, 1991)</w:t>
      </w:r>
      <w:r>
        <w:rPr>
          <w:rFonts w:eastAsiaTheme="minorEastAsia" w:cs="Arial"/>
        </w:rPr>
        <w:fldChar w:fldCharType="end"/>
      </w:r>
      <w:r>
        <w:rPr>
          <w:rFonts w:eastAsiaTheme="minorEastAsia" w:cs="Arial"/>
        </w:rPr>
        <w:t>.</w:t>
      </w:r>
    </w:p>
    <w:p w14:paraId="511B623D" w14:textId="46FC8A50" w:rsidR="000F7620" w:rsidRDefault="000F7620" w:rsidP="00C139E7">
      <w:pPr>
        <w:tabs>
          <w:tab w:val="left" w:pos="6578"/>
        </w:tabs>
        <w:spacing w:line="240" w:lineRule="auto"/>
        <w:rPr>
          <w:rFonts w:eastAsiaTheme="minorEastAsia" w:cs="Arial"/>
        </w:rPr>
      </w:pPr>
      <w:r>
        <w:rPr>
          <w:rFonts w:eastAsiaTheme="minorEastAsia" w:cs="Arial"/>
        </w:rPr>
        <w:t>El caso de la incidencia fiscal mediante los MEG</w:t>
      </w:r>
      <w:r w:rsidR="002512E5">
        <w:rPr>
          <w:rFonts w:eastAsiaTheme="minorEastAsia" w:cs="Arial"/>
        </w:rPr>
        <w:t>C</w:t>
      </w:r>
      <w:r>
        <w:rPr>
          <w:rFonts w:eastAsiaTheme="minorEastAsia" w:cs="Arial"/>
        </w:rPr>
        <w:t>, los pioneros fueron Shoven y Walley (1894), donde analizaron la modelización de los impuestos en un contexto de equilibrio general y con comercio internacional. Asimismo, p</w:t>
      </w:r>
      <w:r w:rsidR="00AF6966">
        <w:rPr>
          <w:rFonts w:eastAsiaTheme="minorEastAsia" w:cs="Arial"/>
        </w:rPr>
        <w:t>resentan la necesidad de la separa</w:t>
      </w:r>
      <w:r>
        <w:rPr>
          <w:rFonts w:eastAsiaTheme="minorEastAsia" w:cs="Arial"/>
        </w:rPr>
        <w:t>ción de los grupos de análisis de incidencia, en este caso los trabajadores por habilidades y los hogares por ingreso, sino también la forma de financiamiento del gasto público mediante impuestos.</w:t>
      </w:r>
    </w:p>
    <w:p w14:paraId="0DFB0489" w14:textId="553EF83A" w:rsidR="006E0A40" w:rsidRDefault="000F7620" w:rsidP="00C139E7">
      <w:pPr>
        <w:tabs>
          <w:tab w:val="left" w:pos="6578"/>
        </w:tabs>
        <w:spacing w:line="240" w:lineRule="auto"/>
        <w:rPr>
          <w:rFonts w:eastAsiaTheme="minorEastAsia" w:cs="Arial"/>
        </w:rPr>
      </w:pPr>
      <w:r>
        <w:rPr>
          <w:rFonts w:eastAsiaTheme="minorEastAsia" w:cs="Arial"/>
        </w:rPr>
        <w:t>El esquema de diagrama de flujo presentado por el modelo Shoven y Walley se muestra en la</w:t>
      </w:r>
      <w:r w:rsidR="00F24AEA">
        <w:rPr>
          <w:rFonts w:eastAsiaTheme="minorEastAsia" w:cs="Arial"/>
        </w:rPr>
        <w:t xml:space="preserve"> </w:t>
      </w:r>
      <w:r w:rsidR="00F24AEA">
        <w:rPr>
          <w:rFonts w:eastAsiaTheme="minorEastAsia" w:cs="Arial"/>
        </w:rPr>
        <w:fldChar w:fldCharType="begin"/>
      </w:r>
      <w:r w:rsidR="00F24AEA">
        <w:rPr>
          <w:rFonts w:eastAsiaTheme="minorEastAsia" w:cs="Arial"/>
        </w:rPr>
        <w:instrText xml:space="preserve"> REF _Ref524865561 \h \* lower </w:instrText>
      </w:r>
      <w:r w:rsidR="00F24AEA">
        <w:rPr>
          <w:rFonts w:eastAsiaTheme="minorEastAsia" w:cs="Arial"/>
        </w:rPr>
      </w:r>
      <w:r w:rsidR="00F24AEA">
        <w:rPr>
          <w:rFonts w:eastAsiaTheme="minorEastAsia" w:cs="Arial"/>
        </w:rPr>
        <w:fldChar w:fldCharType="separate"/>
      </w:r>
      <w:r w:rsidR="00A95E32">
        <w:t xml:space="preserve">figura </w:t>
      </w:r>
      <w:r w:rsidR="00A95E32">
        <w:rPr>
          <w:noProof/>
        </w:rPr>
        <w:t>5</w:t>
      </w:r>
      <w:r w:rsidR="00F24AEA">
        <w:rPr>
          <w:rFonts w:eastAsiaTheme="minorEastAsia" w:cs="Arial"/>
        </w:rPr>
        <w:fldChar w:fldCharType="end"/>
      </w:r>
      <w:r>
        <w:rPr>
          <w:rFonts w:eastAsiaTheme="minorEastAsia" w:cs="Arial"/>
        </w:rPr>
        <w:t xml:space="preserve">, donde se puede observar los pasos en la modelización de un MEGC, primeramente, contar con una fuente de información para los parámetros, la escogencia de </w:t>
      </w:r>
      <w:r w:rsidR="00AF6966">
        <w:rPr>
          <w:rFonts w:eastAsiaTheme="minorEastAsia" w:cs="Arial"/>
        </w:rPr>
        <w:t>la</w:t>
      </w:r>
      <w:r>
        <w:rPr>
          <w:rFonts w:eastAsiaTheme="minorEastAsia" w:cs="Arial"/>
        </w:rPr>
        <w:t xml:space="preserve"> forma</w:t>
      </w:r>
      <w:r w:rsidR="00AF6966">
        <w:rPr>
          <w:rFonts w:eastAsiaTheme="minorEastAsia" w:cs="Arial"/>
        </w:rPr>
        <w:t xml:space="preserve"> </w:t>
      </w:r>
      <w:r>
        <w:rPr>
          <w:rFonts w:eastAsiaTheme="minorEastAsia" w:cs="Arial"/>
        </w:rPr>
        <w:t>funcional, la especificación de las variables exógenas y el cambio propuesto mediante la política económica.</w:t>
      </w:r>
    </w:p>
    <w:p w14:paraId="2B3189DD" w14:textId="77777777" w:rsidR="006E0A40" w:rsidRDefault="006E0A40" w:rsidP="00C139E7">
      <w:pPr>
        <w:tabs>
          <w:tab w:val="left" w:pos="6578"/>
        </w:tabs>
        <w:spacing w:line="240" w:lineRule="auto"/>
        <w:rPr>
          <w:rFonts w:eastAsiaTheme="minorEastAsia" w:cs="Arial"/>
        </w:rPr>
      </w:pPr>
    </w:p>
    <w:p w14:paraId="3D7D7CCC" w14:textId="48515A03" w:rsidR="000F7620" w:rsidRPr="00D15062" w:rsidRDefault="00B276BF" w:rsidP="00B276BF">
      <w:pPr>
        <w:pStyle w:val="Caption"/>
        <w:rPr>
          <w:rFonts w:eastAsiaTheme="minorHAnsi" w:cstheme="minorBidi"/>
          <w:b w:val="0"/>
          <w:szCs w:val="22"/>
        </w:rPr>
      </w:pPr>
      <w:bookmarkStart w:id="29" w:name="_Ref524865561"/>
      <w:bookmarkStart w:id="30" w:name="_Toc2853722"/>
      <w:bookmarkStart w:id="31" w:name="_Toc497215009"/>
      <w:r>
        <w:t xml:space="preserve">Figura </w:t>
      </w:r>
      <w:r w:rsidR="006560F4">
        <w:rPr>
          <w:noProof/>
        </w:rPr>
        <w:fldChar w:fldCharType="begin"/>
      </w:r>
      <w:r w:rsidR="006560F4">
        <w:rPr>
          <w:noProof/>
        </w:rPr>
        <w:instrText xml:space="preserve"> SEQ Figura \* ARABIC </w:instrText>
      </w:r>
      <w:r w:rsidR="006560F4">
        <w:rPr>
          <w:noProof/>
        </w:rPr>
        <w:fldChar w:fldCharType="separate"/>
      </w:r>
      <w:r w:rsidR="00A95E32">
        <w:rPr>
          <w:noProof/>
        </w:rPr>
        <w:t>5</w:t>
      </w:r>
      <w:r w:rsidR="006560F4">
        <w:rPr>
          <w:noProof/>
        </w:rPr>
        <w:fldChar w:fldCharType="end"/>
      </w:r>
      <w:bookmarkEnd w:id="29"/>
      <w:r>
        <w:t xml:space="preserve"> </w:t>
      </w:r>
      <w:r>
        <w:br/>
      </w:r>
      <w:r w:rsidRPr="00A90801">
        <w:t>Diagrama de flujo para MEG</w:t>
      </w:r>
      <w:r w:rsidR="002512E5">
        <w:t>C</w:t>
      </w:r>
      <w:bookmarkEnd w:id="30"/>
      <w:r w:rsidR="00D15062">
        <w:rPr>
          <w:b w:val="0"/>
          <w:szCs w:val="22"/>
        </w:rPr>
        <w:br/>
      </w:r>
      <w:bookmarkEnd w:id="31"/>
    </w:p>
    <w:p w14:paraId="5A44E9F5" w14:textId="77777777" w:rsidR="000F7620" w:rsidRDefault="000F7620" w:rsidP="00C139E7">
      <w:pPr>
        <w:tabs>
          <w:tab w:val="left" w:pos="6578"/>
        </w:tabs>
        <w:spacing w:line="240" w:lineRule="auto"/>
        <w:jc w:val="center"/>
        <w:rPr>
          <w:rFonts w:eastAsiaTheme="minorEastAsia" w:cs="Arial"/>
        </w:rPr>
      </w:pPr>
      <w:r w:rsidRPr="00CB1286">
        <w:rPr>
          <w:noProof/>
        </w:rPr>
        <w:drawing>
          <wp:inline distT="0" distB="0" distL="0" distR="0" wp14:anchorId="24426B17" wp14:editId="7B96E358">
            <wp:extent cx="5645727" cy="3019985"/>
            <wp:effectExtent l="0" t="0" r="0" b="9525"/>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5680008" cy="3038322"/>
                    </a:xfrm>
                    <a:prstGeom prst="rect">
                      <a:avLst/>
                    </a:prstGeom>
                    <a:noFill/>
                    <a:ln>
                      <a:noFill/>
                    </a:ln>
                  </pic:spPr>
                </pic:pic>
              </a:graphicData>
            </a:graphic>
          </wp:inline>
        </w:drawing>
      </w:r>
    </w:p>
    <w:p w14:paraId="73295D89" w14:textId="60FCF169" w:rsidR="000F7620" w:rsidRPr="006E0A40" w:rsidRDefault="000F7620" w:rsidP="00C139E7">
      <w:pPr>
        <w:tabs>
          <w:tab w:val="left" w:pos="6578"/>
        </w:tabs>
        <w:spacing w:line="240" w:lineRule="auto"/>
        <w:rPr>
          <w:rFonts w:eastAsiaTheme="minorEastAsia" w:cs="Arial"/>
          <w:sz w:val="18"/>
          <w:szCs w:val="20"/>
        </w:rPr>
      </w:pPr>
      <w:r w:rsidRPr="006E0A40">
        <w:rPr>
          <w:rFonts w:eastAsiaTheme="minorEastAsia" w:cs="Arial"/>
          <w:sz w:val="18"/>
          <w:szCs w:val="20"/>
        </w:rPr>
        <w:t xml:space="preserve">Fuente: </w:t>
      </w:r>
      <w:r w:rsidRPr="006E0A40">
        <w:rPr>
          <w:rFonts w:eastAsiaTheme="minorEastAsia" w:cs="Arial"/>
          <w:sz w:val="18"/>
          <w:szCs w:val="20"/>
        </w:rPr>
        <w:fldChar w:fldCharType="begin" w:fldLock="1"/>
      </w:r>
      <w:r w:rsidR="00475856">
        <w:rPr>
          <w:rFonts w:eastAsiaTheme="minorEastAsia" w:cs="Arial"/>
          <w:sz w:val="18"/>
          <w:szCs w:val="20"/>
        </w:rPr>
        <w:instrText>ADDIN CSL_CITATION {"citationItems":[{"id":"ITEM-1","itemData":{"DOI":"10.2307/2725306","ISBN":"00220515","ISSN":"00220515","abstract":"We wish to acknowledge the help of three referees and of John Pencavel on several earlier drafts, as well as the assistance of the modelers, whose work is referred to in the paper. They corrected our lack of understanding of their work and provided many other helpful comments. Excellent research and bibliographical assistance have been provided by Debbie Fretz, Radwan Shaban, and Janet Stotsky. Helpful comments have been made by Charles Ballard, Michael Boskin, Lans Bovenberg, Sylvester Damus, Harvey Galper, Glenn Harrison, Gordon Lenjosek, Jack Mutti, Serena Ng, T. N. Srinivasan, Charles Stuart, and Eric Toder. The authors also acknowledgefinancial support from the National Bureau of Economic Research, the National Science Foundation, International Business Machines, and the Social Sciences and Humanities Research Council: Ottawa, Canada.","author":[{"dropping-particle":"","family":"Shoven","given":"John","non-dropping-particle":"","parse-names":false,"suffix":""},{"dropping-particle":"","family":"Whalley","given":"John","non-dropping-particle":"","parse-names":false,"suffix":""}],"container-title":"Journal of Economic Literature","id":"ITEM-1","issue":"3","issued":{"date-parts":[["1984"]]},"page":"1007-1051","title":"Applied General-Equilibrium Models of Taxation and International Trade: An Introduction and Survey","type":"article-journal","volume":"22"},"uris":["http://www.mendeley.com/documents/?uuid=37cfaf82-3d25-4b11-8277-909dcc9dde0a"]}],"mendeley":{"formattedCitation":"(Shoven &amp; Whalley, 1984)","manualFormatting":"Shoven &amp; Whalley (1984)","plainTextFormattedCitation":"(Shoven &amp; Whalley, 1984)","previouslyFormattedCitation":"(Shoven &amp; Whalley, 1984)"},"properties":{"noteIndex":0},"schema":"https://github.com/citation-style-language/schema/raw/master/csl-citation.json"}</w:instrText>
      </w:r>
      <w:r w:rsidRPr="006E0A40">
        <w:rPr>
          <w:rFonts w:eastAsiaTheme="minorEastAsia" w:cs="Arial"/>
          <w:sz w:val="18"/>
          <w:szCs w:val="20"/>
        </w:rPr>
        <w:fldChar w:fldCharType="separate"/>
      </w:r>
      <w:r w:rsidRPr="006E0A40">
        <w:rPr>
          <w:rFonts w:eastAsiaTheme="minorEastAsia" w:cs="Arial"/>
          <w:noProof/>
          <w:sz w:val="18"/>
          <w:szCs w:val="20"/>
        </w:rPr>
        <w:t>Shoven &amp; Whalley (1984)</w:t>
      </w:r>
      <w:r w:rsidRPr="006E0A40">
        <w:rPr>
          <w:rFonts w:eastAsiaTheme="minorEastAsia" w:cs="Arial"/>
          <w:sz w:val="18"/>
          <w:szCs w:val="20"/>
        </w:rPr>
        <w:fldChar w:fldCharType="end"/>
      </w:r>
      <w:r w:rsidRPr="006E0A40">
        <w:rPr>
          <w:rFonts w:eastAsiaTheme="minorEastAsia" w:cs="Arial"/>
          <w:sz w:val="18"/>
          <w:szCs w:val="20"/>
        </w:rPr>
        <w:t xml:space="preserve">, con modificaciones. </w:t>
      </w:r>
    </w:p>
    <w:p w14:paraId="73492E48" w14:textId="77777777" w:rsidR="00C5574E" w:rsidRPr="00FA5E7B" w:rsidRDefault="00C5574E" w:rsidP="00C139E7">
      <w:pPr>
        <w:tabs>
          <w:tab w:val="left" w:pos="6578"/>
        </w:tabs>
        <w:spacing w:line="240" w:lineRule="auto"/>
        <w:rPr>
          <w:rFonts w:eastAsiaTheme="minorEastAsia" w:cs="Arial"/>
          <w:sz w:val="20"/>
          <w:szCs w:val="20"/>
        </w:rPr>
      </w:pPr>
    </w:p>
    <w:p w14:paraId="494809B9" w14:textId="63D8808F" w:rsidR="000F7620" w:rsidRDefault="000F7620" w:rsidP="00826B26">
      <w:pPr>
        <w:tabs>
          <w:tab w:val="left" w:pos="6578"/>
        </w:tabs>
        <w:spacing w:line="240" w:lineRule="auto"/>
        <w:rPr>
          <w:rFonts w:eastAsiaTheme="minorEastAsia" w:cs="Arial"/>
        </w:rPr>
      </w:pPr>
      <w:r w:rsidRPr="00826B26">
        <w:rPr>
          <w:rFonts w:eastAsiaTheme="minorEastAsia" w:cs="Arial"/>
        </w:rPr>
        <w:lastRenderedPageBreak/>
        <w:t xml:space="preserve">La escogencia de la forma funcional del </w:t>
      </w:r>
      <w:r w:rsidR="00FF1CC5" w:rsidRPr="00826B26">
        <w:rPr>
          <w:rFonts w:eastAsiaTheme="minorEastAsia" w:cs="Arial"/>
        </w:rPr>
        <w:t>modelo</w:t>
      </w:r>
      <w:r w:rsidRPr="00826B26">
        <w:rPr>
          <w:rFonts w:eastAsiaTheme="minorEastAsia" w:cs="Arial"/>
        </w:rPr>
        <w:t xml:space="preserve"> conlleva a representar a los agentes y sectores de interés para el análisis de incidencia fiscal. Cada agente contiene diferentes funciones matemáticas, que tratan de emular el comportamiento racional: </w:t>
      </w:r>
      <w:r w:rsidR="00C42B1E">
        <w:rPr>
          <w:rFonts w:eastAsiaTheme="minorEastAsia" w:cs="Arial"/>
        </w:rPr>
        <w:t>Un</w:t>
      </w:r>
      <w:r w:rsidRPr="00826B26">
        <w:rPr>
          <w:rFonts w:eastAsiaTheme="minorEastAsia" w:cs="Arial"/>
        </w:rPr>
        <w:t xml:space="preserve"> modelo de CGE identifica los siguientes componentes: actividades productivas,</w:t>
      </w:r>
      <w:r w:rsidR="00826B26" w:rsidRPr="00826B26">
        <w:rPr>
          <w:rFonts w:eastAsiaTheme="minorEastAsia" w:cs="Arial"/>
        </w:rPr>
        <w:t xml:space="preserve"> </w:t>
      </w:r>
      <w:r w:rsidRPr="00826B26">
        <w:rPr>
          <w:rFonts w:eastAsiaTheme="minorEastAsia" w:cs="Arial"/>
        </w:rPr>
        <w:t>bienes</w:t>
      </w:r>
      <w:r w:rsidR="00826B26" w:rsidRPr="00826B26">
        <w:rPr>
          <w:rFonts w:eastAsiaTheme="minorEastAsia" w:cs="Arial"/>
        </w:rPr>
        <w:t xml:space="preserve"> </w:t>
      </w:r>
      <w:r w:rsidRPr="00826B26">
        <w:rPr>
          <w:rFonts w:eastAsiaTheme="minorEastAsia" w:cs="Arial"/>
        </w:rPr>
        <w:t>y</w:t>
      </w:r>
      <w:r w:rsidR="00826B26" w:rsidRPr="00826B26">
        <w:rPr>
          <w:rFonts w:eastAsiaTheme="minorEastAsia" w:cs="Arial"/>
        </w:rPr>
        <w:t xml:space="preserve"> </w:t>
      </w:r>
      <w:r w:rsidRPr="00826B26">
        <w:rPr>
          <w:rFonts w:eastAsiaTheme="minorEastAsia" w:cs="Arial"/>
        </w:rPr>
        <w:t xml:space="preserve">servicios, instituciones </w:t>
      </w:r>
      <w:r w:rsidR="009F65E2">
        <w:rPr>
          <w:rFonts w:eastAsiaTheme="minorEastAsia" w:cs="Arial"/>
        </w:rPr>
        <w:t>y los mercados de factores, bienes y servicios domésticos</w:t>
      </w:r>
      <w:r w:rsidRPr="00826B26">
        <w:rPr>
          <w:rFonts w:eastAsiaTheme="minorEastAsia" w:cs="Arial"/>
        </w:rPr>
        <w:t xml:space="preserve">. </w:t>
      </w:r>
      <w:r w:rsidRPr="00826B26">
        <w:rPr>
          <w:rFonts w:eastAsiaTheme="minorEastAsia" w:cs="Arial"/>
        </w:rPr>
        <w:fldChar w:fldCharType="begin" w:fldLock="1"/>
      </w:r>
      <w:r w:rsidR="00475856">
        <w:rPr>
          <w:rFonts w:eastAsiaTheme="minorEastAsia" w:cs="Arial"/>
        </w:rPr>
        <w:instrText>ADDIN CSL_CITATION {"citationItems":[{"id":"ITEM-1","itemData":{"author":[{"dropping-particle":"","family":"Cicowiez","given":"Martín","non-dropping-particle":"","parse-names":false,"suffix":""}],"chapter-number":"3","container-title":"Progresos en Economía Computacional","id":"ITEM-1","issued":{"date-parts":[["2009"]]},"publisher":"Temas Grupo Editorial","publisher-place":"Buenos Aires","title":"La evaluación cuantitativa de Políticas Económicas: El enfoque Macro-Micro","type":"chapter"},"uris":["http://www.mendeley.com/documents/?uuid=4ec1a906-b1e0-4979-8850-fef87cc348e4"]}],"mendeley":{"formattedCitation":"(Cicowiez, 2009)","plainTextFormattedCitation":"(Cicowiez, 2009)","previouslyFormattedCitation":"(Cicowiez, 2009)"},"properties":{"noteIndex":0},"schema":"https://github.com/citation-style-language/schema/raw/master/csl-citation.json"}</w:instrText>
      </w:r>
      <w:r w:rsidRPr="00826B26">
        <w:rPr>
          <w:rFonts w:eastAsiaTheme="minorEastAsia" w:cs="Arial"/>
        </w:rPr>
        <w:fldChar w:fldCharType="separate"/>
      </w:r>
      <w:r w:rsidRPr="00826B26">
        <w:rPr>
          <w:rFonts w:eastAsiaTheme="minorEastAsia" w:cs="Arial"/>
          <w:noProof/>
        </w:rPr>
        <w:t>(Cicowiez, 2009)</w:t>
      </w:r>
      <w:r w:rsidRPr="00826B26">
        <w:rPr>
          <w:rFonts w:eastAsiaTheme="minorEastAsia" w:cs="Arial"/>
        </w:rPr>
        <w:fldChar w:fldCharType="end"/>
      </w:r>
      <w:r w:rsidRPr="00826B26">
        <w:rPr>
          <w:rFonts w:eastAsiaTheme="minorEastAsia" w:cs="Arial"/>
        </w:rPr>
        <w:t xml:space="preserve">. </w:t>
      </w:r>
    </w:p>
    <w:p w14:paraId="2E5D8F74" w14:textId="6C915D72" w:rsidR="00963A46" w:rsidRPr="00790FAC" w:rsidRDefault="008105DD" w:rsidP="00826B26">
      <w:pPr>
        <w:tabs>
          <w:tab w:val="left" w:pos="6578"/>
        </w:tabs>
        <w:spacing w:line="240" w:lineRule="auto"/>
        <w:rPr>
          <w:rFonts w:eastAsiaTheme="minorEastAsia" w:cs="Arial"/>
        </w:rPr>
      </w:pPr>
      <w:r>
        <w:rPr>
          <w:rFonts w:eastAsiaTheme="minorEastAsia" w:cs="Arial"/>
        </w:rPr>
        <w:t>Las actividades son</w:t>
      </w:r>
      <w:r w:rsidR="004016E2">
        <w:rPr>
          <w:rFonts w:eastAsiaTheme="minorEastAsia" w:cs="Arial"/>
        </w:rPr>
        <w:t xml:space="preserve"> donde se realiza la producción en economía, a partir de la combinación de factores que se combinan mediante alguna tecnología, puede analizarse en distintas etapas</w:t>
      </w:r>
      <w:r w:rsidR="009768D4">
        <w:rPr>
          <w:rFonts w:eastAsiaTheme="minorEastAsia" w:cs="Arial"/>
        </w:rPr>
        <w:t xml:space="preserve"> y cada etapa puede ser modelada con una función de producción Leontief, la cual asume bienes complementarios</w:t>
      </w:r>
      <w:r w:rsidR="00131436">
        <w:rPr>
          <w:rFonts w:eastAsiaTheme="minorEastAsia" w:cs="Arial"/>
        </w:rPr>
        <w:t xml:space="preserve"> y no sustituyente</w:t>
      </w:r>
      <w:r w:rsidR="00106C92">
        <w:rPr>
          <w:rFonts w:eastAsiaTheme="minorEastAsia" w:cs="Arial"/>
        </w:rPr>
        <w:t xml:space="preserve">s, permitiendo hallar una solución que maximice la producción para un nivel de factores </w:t>
      </w:r>
      <w:r w:rsidR="00790FAC">
        <w:rPr>
          <w:rFonts w:eastAsiaTheme="minorEastAsia" w:cs="Arial"/>
        </w:rPr>
        <w:t>determinados. También es posible modelar la producción mediante las funciones Cobb Douglas (C</w:t>
      </w:r>
      <w:r w:rsidR="00790FAC" w:rsidRPr="00790FAC">
        <w:rPr>
          <w:rFonts w:eastAsiaTheme="minorEastAsia" w:cs="Arial"/>
        </w:rPr>
        <w:t>-</w:t>
      </w:r>
      <w:r w:rsidR="00790FAC">
        <w:rPr>
          <w:rFonts w:eastAsiaTheme="minorEastAsia" w:cs="Arial"/>
        </w:rPr>
        <w:t>D) o elasticidades de sustitución constante (CES).</w:t>
      </w:r>
    </w:p>
    <w:p w14:paraId="6DDAB5A4" w14:textId="62DF9489" w:rsidR="000F7620" w:rsidRDefault="005C7F70" w:rsidP="00C139E7">
      <w:pPr>
        <w:tabs>
          <w:tab w:val="left" w:pos="6578"/>
        </w:tabs>
        <w:spacing w:line="240" w:lineRule="auto"/>
        <w:rPr>
          <w:rFonts w:eastAsiaTheme="minorEastAsia" w:cs="Arial"/>
        </w:rPr>
      </w:pPr>
      <w:r>
        <w:rPr>
          <w:rFonts w:eastAsiaTheme="minorEastAsia" w:cs="Arial"/>
        </w:rPr>
        <w:t xml:space="preserve">La primera institución </w:t>
      </w:r>
      <w:r w:rsidR="000F7620">
        <w:rPr>
          <w:rFonts w:eastAsiaTheme="minorEastAsia" w:cs="Arial"/>
        </w:rPr>
        <w:t xml:space="preserve">y en el </w:t>
      </w:r>
      <w:r>
        <w:rPr>
          <w:rFonts w:eastAsiaTheme="minorEastAsia" w:cs="Arial"/>
        </w:rPr>
        <w:t>cual</w:t>
      </w:r>
      <w:r w:rsidR="000F7620">
        <w:rPr>
          <w:rFonts w:eastAsiaTheme="minorEastAsia" w:cs="Arial"/>
        </w:rPr>
        <w:t xml:space="preserve"> se suele centrar el análisis de incidencia, es el de los hogares, donde se busca maximizar una función de utilidad, la cual contiene la escogencia de </w:t>
      </w:r>
      <w:r w:rsidR="000F7620" w:rsidRPr="00AF6966">
        <w:rPr>
          <w:rFonts w:eastAsiaTheme="minorEastAsia" w:cs="Arial"/>
          <w:i/>
        </w:rPr>
        <w:t>n</w:t>
      </w:r>
      <w:r w:rsidR="000F7620">
        <w:rPr>
          <w:rFonts w:eastAsiaTheme="minorEastAsia" w:cs="Arial"/>
        </w:rPr>
        <w:t xml:space="preserve"> productos, algunos gravados y otros no. Además, se encuentran con una restricción presupuestaria, que muestra la cantidad y los precios</w:t>
      </w:r>
      <w:r w:rsidR="00E102B2">
        <w:rPr>
          <w:rFonts w:eastAsiaTheme="minorEastAsia" w:cs="Arial"/>
        </w:rPr>
        <w:t xml:space="preserve"> de los productos</w:t>
      </w:r>
      <w:r w:rsidR="000F7620">
        <w:rPr>
          <w:rFonts w:eastAsiaTheme="minorEastAsia" w:cs="Arial"/>
        </w:rPr>
        <w:t xml:space="preserve"> que se pueden consumir a un nivel determinado de ingreso. </w:t>
      </w:r>
    </w:p>
    <w:p w14:paraId="4D13A463" w14:textId="35520EAF" w:rsidR="000F7620" w:rsidRDefault="000F7620" w:rsidP="00C139E7">
      <w:pPr>
        <w:tabs>
          <w:tab w:val="left" w:pos="6578"/>
        </w:tabs>
        <w:spacing w:line="240" w:lineRule="auto"/>
        <w:rPr>
          <w:rFonts w:eastAsiaTheme="minorEastAsia" w:cs="Arial"/>
        </w:rPr>
      </w:pPr>
      <w:r>
        <w:rPr>
          <w:rFonts w:eastAsiaTheme="minorEastAsia" w:cs="Arial"/>
        </w:rPr>
        <w:t>Las formas funcionales de los hogares incluyen una función de utilidad, la cual puede ser una función C-D o</w:t>
      </w:r>
      <w:r w:rsidR="00790FAC">
        <w:rPr>
          <w:rFonts w:eastAsiaTheme="minorEastAsia" w:cs="Arial"/>
        </w:rPr>
        <w:t xml:space="preserve"> CES</w:t>
      </w:r>
      <w:r>
        <w:rPr>
          <w:rFonts w:eastAsiaTheme="minorEastAsia" w:cs="Arial"/>
        </w:rPr>
        <w:t xml:space="preserve"> donde en ambos casos se posee una elasticidad demanda-renta unitarias</w:t>
      </w:r>
      <w:r w:rsidR="00D37954">
        <w:rPr>
          <w:rFonts w:eastAsiaTheme="minorEastAsia" w:cs="Arial"/>
        </w:rPr>
        <w:t>, es decir permiten la sustitución imperfecta de bienes y servicios</w:t>
      </w:r>
      <w:r w:rsidR="002E6C66">
        <w:rPr>
          <w:rFonts w:eastAsiaTheme="minorEastAsia" w:cs="Arial"/>
        </w:rPr>
        <w:t xml:space="preserve"> a consumir</w:t>
      </w:r>
      <w:r>
        <w:rPr>
          <w:rFonts w:eastAsiaTheme="minorEastAsia" w:cs="Arial"/>
        </w:rPr>
        <w:t>. Existe también la forma funcional de un Sistema de Gasto Lineal (LES), la cual no se basa en elasticidades de rentas unitarias</w:t>
      </w:r>
      <w:r w:rsidR="002E6C66">
        <w:rPr>
          <w:rFonts w:eastAsiaTheme="minorEastAsia" w:cs="Arial"/>
        </w:rPr>
        <w:t xml:space="preserve"> y permite tener un consumo de subsistencia fijo</w:t>
      </w:r>
      <w:r>
        <w:rPr>
          <w:rFonts w:eastAsiaTheme="minorEastAsia" w:cs="Arial"/>
        </w:rPr>
        <w:t xml:space="preserve">. </w:t>
      </w:r>
      <w:r>
        <w:rPr>
          <w:rFonts w:eastAsiaTheme="minorEastAsia" w:cs="Arial"/>
        </w:rPr>
        <w:fldChar w:fldCharType="begin" w:fldLock="1"/>
      </w:r>
      <w:r w:rsidR="00475856">
        <w:rPr>
          <w:rFonts w:eastAsiaTheme="minorEastAsia" w:cs="Arial"/>
        </w:rPr>
        <w:instrText>ADDIN CSL_CITATION {"citationItems":[{"id":"ITEM-1","itemData":{"author":[{"dropping-particle":"","family":"Borrajo","given":"Javier","non-dropping-particle":"","parse-names":false,"suffix":""},{"dropping-particle":"","family":"Bussolo","given":"Mauricio","non-dropping-particle":"","parse-names":false,"suffix":""},{"dropping-particle":"","family":"Collado","given":"J","non-dropping-particle":"","parse-names":false,"suffix":""},{"dropping-particle":"","family":"Roland-Host","given":"David","non-dropping-particle":"","parse-names":false,"suffix":""},{"dropping-particle":"","family":"Mensbrugghe","given":"Dominique","non-dropping-particle":"van der","parse-names":false,"suffix":""}],"id":"ITEM-1","issued":{"date-parts":[["1994"]]},"publisher-place":"San José","title":"Un manual de instrumentos económicos para la modelización del equilibrio general en Costa Rica. MIMEGA-COSTA RICA","type":"report"},"uris":["http://www.mendeley.com/documents/?uuid=34c1b9c6-235d-4489-8eb1-a69af2489761"]}],"mendeley":{"formattedCitation":"(Borrajo et al., 1994)","plainTextFormattedCitation":"(Borrajo et al., 1994)","previouslyFormattedCitation":"(Borrajo et al., 1994)"},"properties":{"noteIndex":0},"schema":"https://github.com/citation-style-language/schema/raw/master/csl-citation.json"}</w:instrText>
      </w:r>
      <w:r>
        <w:rPr>
          <w:rFonts w:eastAsiaTheme="minorEastAsia" w:cs="Arial"/>
        </w:rPr>
        <w:fldChar w:fldCharType="separate"/>
      </w:r>
      <w:r w:rsidR="00801FC7" w:rsidRPr="00801FC7">
        <w:rPr>
          <w:rFonts w:eastAsiaTheme="minorEastAsia" w:cs="Arial"/>
          <w:noProof/>
        </w:rPr>
        <w:t>(Borrajo et al., 1994)</w:t>
      </w:r>
      <w:r>
        <w:rPr>
          <w:rFonts w:eastAsiaTheme="minorEastAsia" w:cs="Arial"/>
        </w:rPr>
        <w:fldChar w:fldCharType="end"/>
      </w:r>
      <w:r>
        <w:rPr>
          <w:rFonts w:eastAsiaTheme="minorEastAsia" w:cs="Arial"/>
        </w:rPr>
        <w:t>.</w:t>
      </w:r>
    </w:p>
    <w:p w14:paraId="66A0B357" w14:textId="2D89B6AC" w:rsidR="000F7620" w:rsidRDefault="002E6C66" w:rsidP="00C139E7">
      <w:pPr>
        <w:tabs>
          <w:tab w:val="left" w:pos="6578"/>
        </w:tabs>
        <w:spacing w:line="240" w:lineRule="auto"/>
        <w:rPr>
          <w:rFonts w:eastAsiaTheme="minorEastAsia" w:cs="Arial"/>
        </w:rPr>
      </w:pPr>
      <w:r>
        <w:rPr>
          <w:rFonts w:eastAsiaTheme="minorEastAsia" w:cs="Arial"/>
        </w:rPr>
        <w:t>En el caso de las empresas, como se expuso anteriormente, funcionan con beneficio cero, obtienen trabajo y capital, con un salario y una tasa de interés definidos en el modelo</w:t>
      </w:r>
      <w:r w:rsidR="000F7620">
        <w:rPr>
          <w:rFonts w:eastAsiaTheme="minorEastAsia" w:cs="Arial"/>
        </w:rPr>
        <w:t>.</w:t>
      </w:r>
      <w:r>
        <w:rPr>
          <w:rFonts w:eastAsiaTheme="minorEastAsia" w:cs="Arial"/>
        </w:rPr>
        <w:t xml:space="preserve"> </w:t>
      </w:r>
      <w:r w:rsidR="000F7620">
        <w:rPr>
          <w:rFonts w:eastAsiaTheme="minorEastAsia" w:cs="Arial"/>
        </w:rPr>
        <w:t>El gobierno, el cual es la otra institución necesaria para el análisis de incidencia, se emular como un ente que recibe ingresos de los impuestos y tiene un gasto definido, ya que también participa en el mercado de bienes y servicios, tenie</w:t>
      </w:r>
      <w:r w:rsidR="00621DE3">
        <w:rPr>
          <w:rFonts w:eastAsiaTheme="minorEastAsia" w:cs="Arial"/>
        </w:rPr>
        <w:t>ndo así en la relación contable y una restricción presupuestaria. E</w:t>
      </w:r>
      <w:r w:rsidR="000F7620">
        <w:rPr>
          <w:rFonts w:eastAsiaTheme="minorEastAsia" w:cs="Arial"/>
        </w:rPr>
        <w:t>n algunos casos el gobierno también puede emitir bonos.</w:t>
      </w:r>
    </w:p>
    <w:p w14:paraId="15872FAB" w14:textId="586DCB2F" w:rsidR="000F7620" w:rsidRDefault="000F7620" w:rsidP="00C139E7">
      <w:pPr>
        <w:tabs>
          <w:tab w:val="left" w:pos="6578"/>
        </w:tabs>
        <w:spacing w:line="240" w:lineRule="auto"/>
        <w:rPr>
          <w:rFonts w:eastAsiaTheme="minorEastAsia" w:cs="Arial"/>
        </w:rPr>
      </w:pPr>
      <w:r>
        <w:rPr>
          <w:rFonts w:eastAsiaTheme="minorEastAsia" w:cs="Arial"/>
        </w:rPr>
        <w:t xml:space="preserve">De igual manera, </w:t>
      </w:r>
      <w:r w:rsidR="002E6C66">
        <w:rPr>
          <w:rFonts w:eastAsiaTheme="minorEastAsia" w:cs="Arial"/>
        </w:rPr>
        <w:t xml:space="preserve">el gobierno puede </w:t>
      </w:r>
      <w:r>
        <w:rPr>
          <w:rFonts w:eastAsiaTheme="minorEastAsia" w:cs="Arial"/>
        </w:rPr>
        <w:t>posee</w:t>
      </w:r>
      <w:r w:rsidR="002E6C66">
        <w:rPr>
          <w:rFonts w:eastAsiaTheme="minorEastAsia" w:cs="Arial"/>
        </w:rPr>
        <w:t>r</w:t>
      </w:r>
      <w:r>
        <w:rPr>
          <w:rFonts w:eastAsiaTheme="minorEastAsia" w:cs="Arial"/>
        </w:rPr>
        <w:t xml:space="preserve"> una función de utilidad, que suele ser representada por la función C-D, donde al igual que las familias se puede medir su variación equivalente: “</w:t>
      </w:r>
      <w:r w:rsidRPr="00F53A8B">
        <w:rPr>
          <w:rFonts w:eastAsiaTheme="minorEastAsia" w:cs="Arial"/>
        </w:rPr>
        <w:t xml:space="preserve">Tiene </w:t>
      </w:r>
      <w:r>
        <w:rPr>
          <w:rFonts w:eastAsiaTheme="minorEastAsia" w:cs="Arial"/>
        </w:rPr>
        <w:t xml:space="preserve">una función de utilidad UG, con </w:t>
      </w:r>
      <w:r w:rsidRPr="00F53A8B">
        <w:rPr>
          <w:rFonts w:eastAsiaTheme="minorEastAsia" w:cs="Arial"/>
        </w:rPr>
        <w:t>la cual se estiman entonces cambios en su nivel de bienestar med</w:t>
      </w:r>
      <w:r>
        <w:rPr>
          <w:rFonts w:eastAsiaTheme="minorEastAsia" w:cs="Arial"/>
        </w:rPr>
        <w:t>iante la variación equivalente, c</w:t>
      </w:r>
      <w:r w:rsidRPr="00F53A8B">
        <w:rPr>
          <w:rFonts w:eastAsiaTheme="minorEastAsia" w:cs="Arial"/>
        </w:rPr>
        <w:t>omo ocurriría con una familia</w:t>
      </w:r>
      <w:r>
        <w:rPr>
          <w:rFonts w:eastAsiaTheme="minorEastAsia" w:cs="Arial"/>
        </w:rPr>
        <w:t xml:space="preserve">”. </w:t>
      </w:r>
      <w:r>
        <w:rPr>
          <w:rFonts w:eastAsiaTheme="minorEastAsia" w:cs="Arial"/>
        </w:rPr>
        <w:fldChar w:fldCharType="begin" w:fldLock="1"/>
      </w:r>
      <w:r w:rsidR="00475856">
        <w:rPr>
          <w:rFonts w:eastAsiaTheme="minorEastAsia" w:cs="Arial"/>
        </w:rPr>
        <w:instrText>ADDIN CSL_CITATION {"citationItems":[{"id":"ITEM-1","itemData":{"author":[{"dropping-particle":"","family":"Chisari","given":"Omar O","non-dropping-particle":"","parse-names":false,"suffix":""},{"dropping-particle":"","family":"Romero","given":"Carlos Adrián","non-dropping-particle":"","parse-names":false,"suffix":""}],"container-title":"Serie Política Fiscal","id":"ITEM-1","issued":{"date-parts":[["1996"]]},"publisher":"Cepal","title":"Distribución del ingreso, asignación de recursos y shocks macroeconómicos: un modelo de equilibrio general computado para la Argentina en 1993","type":"article-journal"},"uris":["http://www.mendeley.com/documents/?uuid=2d0c78fb-eadf-422d-b3bb-b10c545dc867"]}],"mendeley":{"formattedCitation":"(O. O. Chisari &amp; Romero, 1996)","plainTextFormattedCitation":"(O. O. Chisari &amp; Romero, 1996)","previouslyFormattedCitation":"(O. O. Chisari &amp; Romero, 1996)"},"properties":{"noteIndex":0},"schema":"https://github.com/citation-style-language/schema/raw/master/csl-citation.json"}</w:instrText>
      </w:r>
      <w:r>
        <w:rPr>
          <w:rFonts w:eastAsiaTheme="minorEastAsia" w:cs="Arial"/>
        </w:rPr>
        <w:fldChar w:fldCharType="separate"/>
      </w:r>
      <w:r w:rsidRPr="000F7620">
        <w:rPr>
          <w:rFonts w:eastAsiaTheme="minorEastAsia" w:cs="Arial"/>
          <w:noProof/>
        </w:rPr>
        <w:t>(O. O. Chisari &amp; Romero, 1996)</w:t>
      </w:r>
      <w:r>
        <w:rPr>
          <w:rFonts w:eastAsiaTheme="minorEastAsia" w:cs="Arial"/>
        </w:rPr>
        <w:fldChar w:fldCharType="end"/>
      </w:r>
      <w:r>
        <w:rPr>
          <w:rFonts w:eastAsiaTheme="minorEastAsia" w:cs="Arial"/>
        </w:rPr>
        <w:t>.</w:t>
      </w:r>
      <w:r w:rsidR="00ED0BF9">
        <w:rPr>
          <w:rFonts w:eastAsiaTheme="minorEastAsia" w:cs="Arial"/>
        </w:rPr>
        <w:t xml:space="preserve"> También</w:t>
      </w:r>
      <w:r w:rsidR="002E6C66">
        <w:rPr>
          <w:rFonts w:eastAsiaTheme="minorEastAsia" w:cs="Arial"/>
        </w:rPr>
        <w:t xml:space="preserve"> es posible representar </w:t>
      </w:r>
      <w:r w:rsidR="00ED0BF9">
        <w:rPr>
          <w:rFonts w:eastAsiaTheme="minorEastAsia" w:cs="Arial"/>
        </w:rPr>
        <w:t xml:space="preserve">el gobierno con </w:t>
      </w:r>
      <w:r w:rsidR="002E6C66">
        <w:rPr>
          <w:rFonts w:eastAsiaTheme="minorEastAsia" w:cs="Arial"/>
        </w:rPr>
        <w:t>una relación contable.</w:t>
      </w:r>
    </w:p>
    <w:p w14:paraId="6FE7F9DA" w14:textId="2258CE13" w:rsidR="000F7620" w:rsidRDefault="008E4DC6" w:rsidP="00C139E7">
      <w:pPr>
        <w:tabs>
          <w:tab w:val="left" w:pos="6578"/>
        </w:tabs>
        <w:spacing w:line="240" w:lineRule="auto"/>
        <w:rPr>
          <w:rFonts w:eastAsiaTheme="minorEastAsia" w:cs="Arial"/>
        </w:rPr>
      </w:pPr>
      <w:r>
        <w:rPr>
          <w:rFonts w:eastAsiaTheme="minorEastAsia" w:cs="Arial"/>
        </w:rPr>
        <w:t>Finalmente el equilibrio se origina en involucrar a los agentes en los mercados de tal manera que la variable que vacía el sistema es el precio, esto sucede en mercado de factores y el mercado de bienes y servicios.</w:t>
      </w:r>
      <w:r w:rsidR="007E20A8">
        <w:rPr>
          <w:rFonts w:eastAsiaTheme="minorEastAsia" w:cs="Arial"/>
        </w:rPr>
        <w:t xml:space="preserve"> </w:t>
      </w:r>
      <w:r w:rsidR="00621DE3">
        <w:rPr>
          <w:rFonts w:eastAsiaTheme="minorEastAsia" w:cs="Arial"/>
        </w:rPr>
        <w:t>Para el caso de la simulación del</w:t>
      </w:r>
      <w:r w:rsidR="000F7620">
        <w:rPr>
          <w:rFonts w:eastAsiaTheme="minorEastAsia" w:cs="Arial"/>
        </w:rPr>
        <w:t xml:space="preserve"> IVA, se hace notable en los bienes</w:t>
      </w:r>
      <w:r w:rsidR="004D21A5">
        <w:rPr>
          <w:rFonts w:eastAsiaTheme="minorEastAsia" w:cs="Arial"/>
        </w:rPr>
        <w:t xml:space="preserve"> y servicios</w:t>
      </w:r>
      <w:r w:rsidR="000F7620">
        <w:rPr>
          <w:rFonts w:eastAsiaTheme="minorEastAsia" w:cs="Arial"/>
        </w:rPr>
        <w:t xml:space="preserve"> cuales deben detallarse cuale</w:t>
      </w:r>
      <w:r w:rsidR="00621DE3">
        <w:rPr>
          <w:rFonts w:eastAsiaTheme="minorEastAsia" w:cs="Arial"/>
        </w:rPr>
        <w:t>s deben estar exentos. También</w:t>
      </w:r>
      <w:r w:rsidR="000F7620">
        <w:rPr>
          <w:rFonts w:eastAsiaTheme="minorEastAsia" w:cs="Arial"/>
        </w:rPr>
        <w:t xml:space="preserve"> </w:t>
      </w:r>
      <w:r w:rsidR="00621DE3">
        <w:rPr>
          <w:rFonts w:eastAsiaTheme="minorEastAsia" w:cs="Arial"/>
        </w:rPr>
        <w:t xml:space="preserve">se suele incluir </w:t>
      </w:r>
      <w:r w:rsidR="000F7620">
        <w:rPr>
          <w:rFonts w:eastAsiaTheme="minorEastAsia" w:cs="Arial"/>
        </w:rPr>
        <w:t xml:space="preserve">otro tipo de impuestos destinados a las ganancias </w:t>
      </w:r>
      <w:r w:rsidR="00621DE3">
        <w:rPr>
          <w:rFonts w:eastAsiaTheme="minorEastAsia" w:cs="Arial"/>
        </w:rPr>
        <w:t xml:space="preserve">de las </w:t>
      </w:r>
      <w:r w:rsidR="00F342AA">
        <w:rPr>
          <w:rFonts w:eastAsiaTheme="minorEastAsia" w:cs="Arial"/>
        </w:rPr>
        <w:t>empresas</w:t>
      </w:r>
      <w:r w:rsidR="00621DE3">
        <w:rPr>
          <w:rFonts w:eastAsiaTheme="minorEastAsia" w:cs="Arial"/>
        </w:rPr>
        <w:t xml:space="preserve"> y de las familias. </w:t>
      </w:r>
      <w:r w:rsidR="00FF1CC5">
        <w:rPr>
          <w:rFonts w:eastAsiaTheme="minorEastAsia" w:cs="Arial"/>
        </w:rPr>
        <w:t>Además,</w:t>
      </w:r>
      <w:r w:rsidR="00621DE3">
        <w:rPr>
          <w:rFonts w:eastAsiaTheme="minorEastAsia" w:cs="Arial"/>
        </w:rPr>
        <w:t xml:space="preserve"> el gobierno </w:t>
      </w:r>
      <w:r w:rsidR="000F7620">
        <w:rPr>
          <w:rFonts w:eastAsiaTheme="minorEastAsia" w:cs="Arial"/>
        </w:rPr>
        <w:t>tiene un papel redistribuidor, otorgando transferencias a las familias.</w:t>
      </w:r>
    </w:p>
    <w:p w14:paraId="2854C315" w14:textId="1384BCF2" w:rsidR="000F7620" w:rsidRDefault="000F7620" w:rsidP="00C139E7">
      <w:pPr>
        <w:tabs>
          <w:tab w:val="left" w:pos="6578"/>
        </w:tabs>
        <w:spacing w:line="240" w:lineRule="auto"/>
        <w:rPr>
          <w:rFonts w:eastAsiaTheme="minorEastAsia" w:cs="Arial"/>
        </w:rPr>
      </w:pPr>
      <w:r>
        <w:rPr>
          <w:rFonts w:eastAsiaTheme="minorEastAsia" w:cs="Arial"/>
        </w:rPr>
        <w:t xml:space="preserve">Cuando se decide realizar la simulación del aumento en la alícuota del </w:t>
      </w:r>
      <w:r w:rsidR="002967B9">
        <w:rPr>
          <w:rFonts w:eastAsiaTheme="minorEastAsia" w:cs="Arial"/>
        </w:rPr>
        <w:t>imp</w:t>
      </w:r>
      <w:r w:rsidR="001A47A5">
        <w:rPr>
          <w:rFonts w:eastAsiaTheme="minorEastAsia" w:cs="Arial"/>
        </w:rPr>
        <w:t xml:space="preserve">uesto </w:t>
      </w:r>
      <w:r>
        <w:rPr>
          <w:rFonts w:eastAsiaTheme="minorEastAsia" w:cs="Arial"/>
        </w:rPr>
        <w:t xml:space="preserve">o una disminución de los </w:t>
      </w:r>
      <w:r w:rsidR="001A47A5">
        <w:rPr>
          <w:rFonts w:eastAsiaTheme="minorEastAsia" w:cs="Arial"/>
        </w:rPr>
        <w:t xml:space="preserve">productos </w:t>
      </w:r>
      <w:r>
        <w:rPr>
          <w:rFonts w:eastAsiaTheme="minorEastAsia" w:cs="Arial"/>
        </w:rPr>
        <w:t xml:space="preserve">exentos, se trata de comparar los resultados con el </w:t>
      </w:r>
      <w:r>
        <w:rPr>
          <w:rFonts w:eastAsiaTheme="minorEastAsia" w:cs="Arial"/>
        </w:rPr>
        <w:lastRenderedPageBreak/>
        <w:t xml:space="preserve">escenario base, es decir, sin </w:t>
      </w:r>
      <w:r w:rsidR="001A47A5">
        <w:rPr>
          <w:rFonts w:eastAsiaTheme="minorEastAsia" w:cs="Arial"/>
        </w:rPr>
        <w:t>el choque</w:t>
      </w:r>
      <w:r>
        <w:rPr>
          <w:rFonts w:eastAsiaTheme="minorEastAsia" w:cs="Arial"/>
        </w:rPr>
        <w:t xml:space="preserve"> exógeno de los impuestos. De esta manera, se puede diferenciar el impacto en las distintas instituciones de la política pública.</w:t>
      </w:r>
    </w:p>
    <w:p w14:paraId="05CEEA83" w14:textId="1E54DFB7" w:rsidR="000F7620" w:rsidRDefault="000F7620" w:rsidP="00C139E7">
      <w:pPr>
        <w:tabs>
          <w:tab w:val="left" w:pos="6578"/>
        </w:tabs>
        <w:spacing w:line="240" w:lineRule="auto"/>
        <w:rPr>
          <w:rFonts w:eastAsiaTheme="minorEastAsia" w:cs="Arial"/>
        </w:rPr>
      </w:pPr>
      <w:r>
        <w:rPr>
          <w:rFonts w:eastAsiaTheme="minorEastAsia" w:cs="Arial"/>
        </w:rPr>
        <w:t xml:space="preserve">Para medir el impacto de incidencia se usa la variación compensada de Hicks, donde: “Este método tiene la ventaja de que permite ver cómo se distribuye el costo muerto o perdida de bienestar total entre los grupos considerados, ya que la suma de las variaciones equivalentes o compensadas corresponde a dicho costo muerto”. </w:t>
      </w:r>
      <w:r>
        <w:rPr>
          <w:rFonts w:eastAsiaTheme="minorEastAsia" w:cs="Arial"/>
        </w:rPr>
        <w:fldChar w:fldCharType="begin" w:fldLock="1"/>
      </w:r>
      <w:r w:rsidR="00475856">
        <w:rPr>
          <w:rFonts w:eastAsiaTheme="minorEastAsia" w:cs="Arial"/>
        </w:rPr>
        <w:instrText>ADDIN CSL_CITATION {"citationItems":[{"id":"ITEM-1","itemData":{"author":[{"dropping-particle":"","family":"Lora","given":"E","non-dropping-particle":"","parse-names":false,"suffix":""}],"container-title":"El Trimestre Económico","id":"ITEM-1","issued":{"date-parts":[["1995"]]},"page":"21-78","publisher":"JSTOR","title":"Los modelos de equilibrio general computable en análisis de incidencia fiscal","type":"article-journal"},"uris":["http://www.mendeley.com/documents/?uuid=c2424cd3-924f-4a16-bbe9-f48837230f28"]}],"mendeley":{"formattedCitation":"(Lora, 1995)","plainTextFormattedCitation":"(Lora, 1995)","previouslyFormattedCitation":"(Lora, 1995)"},"properties":{"noteIndex":0},"schema":"https://github.com/citation-style-language/schema/raw/master/csl-citation.json"}</w:instrText>
      </w:r>
      <w:r>
        <w:rPr>
          <w:rFonts w:eastAsiaTheme="minorEastAsia" w:cs="Arial"/>
        </w:rPr>
        <w:fldChar w:fldCharType="separate"/>
      </w:r>
      <w:r w:rsidRPr="00DE3E6A">
        <w:rPr>
          <w:rFonts w:eastAsiaTheme="minorEastAsia" w:cs="Arial"/>
          <w:noProof/>
        </w:rPr>
        <w:t>(Lora, 1995)</w:t>
      </w:r>
      <w:r>
        <w:rPr>
          <w:rFonts w:eastAsiaTheme="minorEastAsia" w:cs="Arial"/>
        </w:rPr>
        <w:fldChar w:fldCharType="end"/>
      </w:r>
      <w:r>
        <w:rPr>
          <w:rFonts w:eastAsiaTheme="minorEastAsia" w:cs="Arial"/>
        </w:rPr>
        <w:t>.</w:t>
      </w:r>
    </w:p>
    <w:p w14:paraId="27DDF8CB" w14:textId="77777777" w:rsidR="000F7620" w:rsidRDefault="000F7620" w:rsidP="00C139E7">
      <w:pPr>
        <w:spacing w:line="240" w:lineRule="auto"/>
        <w:rPr>
          <w:rFonts w:cs="Arial"/>
        </w:rPr>
      </w:pPr>
      <w:r w:rsidRPr="00BC647A">
        <w:rPr>
          <w:rFonts w:cs="Arial"/>
        </w:rPr>
        <w:t>Posteriormente al planteamiento matemático-teórico</w:t>
      </w:r>
      <w:r>
        <w:rPr>
          <w:rFonts w:cs="Arial"/>
        </w:rPr>
        <w:t>,</w:t>
      </w:r>
      <w:r w:rsidRPr="00BC647A">
        <w:rPr>
          <w:rFonts w:cs="Arial"/>
        </w:rPr>
        <w:t xml:space="preserve"> sigue </w:t>
      </w:r>
      <w:r>
        <w:rPr>
          <w:rFonts w:cs="Arial"/>
        </w:rPr>
        <w:t>el análisis de la política fiscal, donde se debe analizar los resultados y tomar recomendaciones, observar el comportamiento de las variables relevantes,</w:t>
      </w:r>
      <w:r w:rsidRPr="00BC647A">
        <w:rPr>
          <w:rFonts w:cs="Arial"/>
        </w:rPr>
        <w:t xml:space="preserve"> así como </w:t>
      </w:r>
      <w:r>
        <w:rPr>
          <w:rFonts w:cs="Arial"/>
        </w:rPr>
        <w:t xml:space="preserve">los demás </w:t>
      </w:r>
      <w:r w:rsidRPr="00BC647A">
        <w:rPr>
          <w:rFonts w:cs="Arial"/>
        </w:rPr>
        <w:t>valores generales estableci</w:t>
      </w:r>
      <w:r>
        <w:rPr>
          <w:rFonts w:cs="Arial"/>
        </w:rPr>
        <w:t>dos a criterio por el investigador.</w:t>
      </w:r>
    </w:p>
    <w:p w14:paraId="18BBB4B9" w14:textId="77777777" w:rsidR="000F7620" w:rsidRDefault="000F7620" w:rsidP="00C139E7">
      <w:pPr>
        <w:tabs>
          <w:tab w:val="left" w:pos="6578"/>
        </w:tabs>
        <w:spacing w:line="240" w:lineRule="auto"/>
        <w:rPr>
          <w:rFonts w:eastAsiaTheme="minorEastAsia" w:cs="Arial"/>
        </w:rPr>
      </w:pPr>
      <w:r w:rsidRPr="003B42E3">
        <w:rPr>
          <w:rFonts w:eastAsiaTheme="minorEastAsia" w:cs="Arial"/>
        </w:rPr>
        <w:t>La política fiscal debe de preocuparse por el buen desempeño en materia recaudatoria, de la sostenibilidad del gasto, de manera que el balance entre ingresos y gastos no conlleve a una desestabilización macroeconómica que ponga en riesgo el crecimiento económico, la distribución del ingreso y la estabilidad.</w:t>
      </w:r>
    </w:p>
    <w:p w14:paraId="4547CE0E" w14:textId="77777777" w:rsidR="000F7620" w:rsidRDefault="000F7620" w:rsidP="00C139E7">
      <w:pPr>
        <w:tabs>
          <w:tab w:val="left" w:pos="6578"/>
        </w:tabs>
        <w:spacing w:line="240" w:lineRule="auto"/>
        <w:rPr>
          <w:rFonts w:eastAsiaTheme="minorEastAsia" w:cs="Arial"/>
        </w:rPr>
      </w:pPr>
      <w:r w:rsidRPr="003B42E3">
        <w:rPr>
          <w:rFonts w:eastAsiaTheme="minorEastAsia" w:cs="Arial"/>
        </w:rPr>
        <w:t xml:space="preserve">Como parte del accionar de la política fiscal, se encuentra la tributación, </w:t>
      </w:r>
      <w:r>
        <w:rPr>
          <w:rFonts w:eastAsiaTheme="minorEastAsia" w:cs="Arial"/>
        </w:rPr>
        <w:t>el cual incluye el análisis de incidencia, la capacidad</w:t>
      </w:r>
      <w:r w:rsidRPr="003B42E3">
        <w:rPr>
          <w:rFonts w:eastAsiaTheme="minorEastAsia" w:cs="Arial"/>
        </w:rPr>
        <w:t xml:space="preserve"> de recaudar ingresos para sufragar o financiar el gasto público en bienes y servicios demandados por los habitantes de un determinado país</w:t>
      </w:r>
      <w:r>
        <w:rPr>
          <w:rFonts w:eastAsiaTheme="minorEastAsia" w:cs="Arial"/>
        </w:rPr>
        <w:t>, sin tener un impacto negativo en la economía</w:t>
      </w:r>
      <w:r w:rsidRPr="003B42E3">
        <w:rPr>
          <w:rFonts w:eastAsiaTheme="minorEastAsia" w:cs="Arial"/>
        </w:rPr>
        <w:t xml:space="preserve">. </w:t>
      </w:r>
    </w:p>
    <w:p w14:paraId="422EFBB3" w14:textId="63F27567" w:rsidR="000F7620" w:rsidRDefault="000F7620" w:rsidP="00C139E7">
      <w:pPr>
        <w:tabs>
          <w:tab w:val="left" w:pos="6578"/>
        </w:tabs>
        <w:spacing w:line="240" w:lineRule="auto"/>
        <w:rPr>
          <w:rFonts w:eastAsiaTheme="minorEastAsia" w:cs="Arial"/>
        </w:rPr>
      </w:pPr>
      <w:r>
        <w:rPr>
          <w:rFonts w:eastAsiaTheme="minorEastAsia" w:cs="Arial"/>
        </w:rPr>
        <w:t>Es necesario aclarar, que los MEG</w:t>
      </w:r>
      <w:r w:rsidR="00185B11">
        <w:rPr>
          <w:rFonts w:eastAsiaTheme="minorEastAsia" w:cs="Arial"/>
        </w:rPr>
        <w:t>C</w:t>
      </w:r>
      <w:r>
        <w:rPr>
          <w:rFonts w:eastAsiaTheme="minorEastAsia" w:cs="Arial"/>
        </w:rPr>
        <w:t xml:space="preserve"> se usan para la evaluación de una política económica fiscal, sin llegar a ser </w:t>
      </w:r>
      <w:r w:rsidR="00621DE3">
        <w:rPr>
          <w:rFonts w:eastAsiaTheme="minorEastAsia" w:cs="Arial"/>
        </w:rPr>
        <w:t>método</w:t>
      </w:r>
      <w:r>
        <w:rPr>
          <w:rFonts w:eastAsiaTheme="minorEastAsia" w:cs="Arial"/>
        </w:rPr>
        <w:t xml:space="preserve"> normativo, “Un MEGC no tiene por ejemplo que suponer que todos los bienes se producen en forma competitiva o que no ha externalidades o que no hay precios fijos, como típicamente se presume en los modelos sencillos de tributación óptima. En la medida en que un MEG</w:t>
      </w:r>
      <w:r w:rsidR="002512E5">
        <w:rPr>
          <w:rFonts w:eastAsiaTheme="minorEastAsia" w:cs="Arial"/>
        </w:rPr>
        <w:t>C</w:t>
      </w:r>
      <w:r>
        <w:rPr>
          <w:rFonts w:eastAsiaTheme="minorEastAsia" w:cs="Arial"/>
        </w:rPr>
        <w:t xml:space="preserve"> se aleja de estos supuestos puede ser más realista, pero pierde en la practica la posibilidad de ser utilizado como instrumento normativo.” (Lora, 1996)</w:t>
      </w:r>
    </w:p>
    <w:p w14:paraId="48E41337" w14:textId="23659DCF" w:rsidR="000F7620" w:rsidRDefault="000F7620" w:rsidP="00C139E7">
      <w:pPr>
        <w:tabs>
          <w:tab w:val="left" w:pos="6578"/>
        </w:tabs>
        <w:spacing w:line="240" w:lineRule="auto"/>
        <w:rPr>
          <w:rFonts w:eastAsiaTheme="minorEastAsia" w:cs="Arial"/>
        </w:rPr>
      </w:pPr>
      <w:r w:rsidRPr="003B42E3">
        <w:rPr>
          <w:rFonts w:eastAsiaTheme="minorEastAsia" w:cs="Arial"/>
        </w:rPr>
        <w:t xml:space="preserve">En el caso específico de los países en vías de desarrollo, donde las fuerzas de mercado han adquirido en los últimos años un importante papel en la asignación de recursos, el sistema tributario debe ser neutral para minimizar la interferencia de este en el proceso de asignación; debido a esto, el sistema debe presentar procedimientos simples y transparentes; de modo tal, que sea obvio cuando este último no esté funcionando de forma adecuada. </w:t>
      </w:r>
      <w:r>
        <w:rPr>
          <w:rFonts w:eastAsiaTheme="minorEastAsia" w:cs="Arial"/>
        </w:rPr>
        <w:fldChar w:fldCharType="begin" w:fldLock="1"/>
      </w:r>
      <w:r w:rsidR="00475856">
        <w:rPr>
          <w:rFonts w:eastAsiaTheme="minorEastAsia" w:cs="Arial"/>
        </w:rPr>
        <w:instrText>ADDIN CSL_CITATION {"citationItems":[{"id":"ITEM-1","itemData":{"author":[{"dropping-particle":"","family":"Tanzi","given":"Vito","non-dropping-particle":"","parse-names":false,"suffix":""},{"dropping-particle":"","family":"Zee","given":"Howell H","non-dropping-particle":"","parse-names":false,"suffix":""}],"id":"ITEM-1","issued":{"date-parts":[["2001"]]},"publisher":"International Monetary Fund","title":"Tax policy for developing countries","type":"book","volume":"27"},"uris":["http://www.mendeley.com/documents/?uuid=0f85085f-d744-41f0-a074-76645c5bd57e"]}],"mendeley":{"formattedCitation":"(Tanzi &amp; Zee, 2001)","plainTextFormattedCitation":"(Tanzi &amp; Zee, 2001)","previouslyFormattedCitation":"(Tanzi &amp; Zee, 2001)"},"properties":{"noteIndex":0},"schema":"https://github.com/citation-style-language/schema/raw/master/csl-citation.json"}</w:instrText>
      </w:r>
      <w:r>
        <w:rPr>
          <w:rFonts w:eastAsiaTheme="minorEastAsia" w:cs="Arial"/>
        </w:rPr>
        <w:fldChar w:fldCharType="separate"/>
      </w:r>
      <w:r w:rsidRPr="00FD70AE">
        <w:rPr>
          <w:rFonts w:eastAsiaTheme="minorEastAsia" w:cs="Arial"/>
          <w:noProof/>
        </w:rPr>
        <w:t>(Tanzi &amp; Zee, 2001)</w:t>
      </w:r>
      <w:r>
        <w:rPr>
          <w:rFonts w:eastAsiaTheme="minorEastAsia" w:cs="Arial"/>
        </w:rPr>
        <w:fldChar w:fldCharType="end"/>
      </w:r>
      <w:r>
        <w:rPr>
          <w:rFonts w:eastAsiaTheme="minorEastAsia" w:cs="Arial"/>
        </w:rPr>
        <w:t>.</w:t>
      </w:r>
    </w:p>
    <w:p w14:paraId="0D2AD73B" w14:textId="337693EE" w:rsidR="00CA1068" w:rsidRDefault="00E02892" w:rsidP="00C139E7">
      <w:pPr>
        <w:tabs>
          <w:tab w:val="left" w:pos="6578"/>
        </w:tabs>
        <w:spacing w:line="240" w:lineRule="auto"/>
        <w:rPr>
          <w:rFonts w:eastAsiaTheme="minorEastAsia" w:cs="Arial"/>
        </w:rPr>
      </w:pPr>
      <w:r>
        <w:rPr>
          <w:rFonts w:eastAsiaTheme="minorEastAsia" w:cs="Arial"/>
        </w:rPr>
        <w:t xml:space="preserve">La eficacia de las Políticas Económicas depende de la calidad de las instituciones, reconociendo la reforma fiscal del IVA como una institución fiscal, el cual representa un porcentaje importante de la recaudación en los países latinoamericanos, </w:t>
      </w:r>
      <w:r w:rsidR="0007718C">
        <w:rPr>
          <w:rFonts w:eastAsiaTheme="minorEastAsia" w:cs="Arial"/>
        </w:rPr>
        <w:t xml:space="preserve">esta </w:t>
      </w:r>
      <w:r>
        <w:rPr>
          <w:rFonts w:eastAsiaTheme="minorEastAsia" w:cs="Arial"/>
        </w:rPr>
        <w:t xml:space="preserve">debe ser diseñada de forma conjunta con herramientas cuantitativas para la eficacia de la </w:t>
      </w:r>
      <w:r w:rsidR="002C0A88">
        <w:rPr>
          <w:rFonts w:eastAsiaTheme="minorEastAsia" w:cs="Arial"/>
        </w:rPr>
        <w:t>p</w:t>
      </w:r>
      <w:r w:rsidR="0007718C">
        <w:rPr>
          <w:rFonts w:eastAsiaTheme="minorEastAsia" w:cs="Arial"/>
        </w:rPr>
        <w:t>olítica</w:t>
      </w:r>
      <w:r>
        <w:rPr>
          <w:rFonts w:eastAsiaTheme="minorEastAsia" w:cs="Arial"/>
        </w:rPr>
        <w:t xml:space="preserve"> </w:t>
      </w:r>
      <w:r w:rsidR="002C0A88">
        <w:rPr>
          <w:rFonts w:eastAsiaTheme="minorEastAsia" w:cs="Arial"/>
        </w:rPr>
        <w:t>p</w:t>
      </w:r>
      <w:r>
        <w:rPr>
          <w:rFonts w:eastAsiaTheme="minorEastAsia" w:cs="Arial"/>
        </w:rPr>
        <w:t xml:space="preserve">ública. </w:t>
      </w:r>
    </w:p>
    <w:p w14:paraId="17138674" w14:textId="77777777" w:rsidR="00700471" w:rsidRDefault="00700471" w:rsidP="00C139E7">
      <w:pPr>
        <w:tabs>
          <w:tab w:val="left" w:pos="6578"/>
        </w:tabs>
        <w:spacing w:line="240" w:lineRule="auto"/>
        <w:rPr>
          <w:rFonts w:eastAsiaTheme="minorEastAsia" w:cs="Arial"/>
        </w:rPr>
      </w:pPr>
    </w:p>
    <w:p w14:paraId="083B0686" w14:textId="75FB9F2C" w:rsidR="00CA1068" w:rsidRDefault="002758BF" w:rsidP="00700471">
      <w:pPr>
        <w:pStyle w:val="Heading2"/>
        <w:spacing w:line="240" w:lineRule="auto"/>
      </w:pPr>
      <w:bookmarkStart w:id="32" w:name="_Toc2853754"/>
      <w:r>
        <w:t>2.</w:t>
      </w:r>
      <w:r w:rsidR="001F1581">
        <w:t>4</w:t>
      </w:r>
      <w:r>
        <w:t xml:space="preserve"> </w:t>
      </w:r>
      <w:r w:rsidR="00A35980">
        <w:t>Relaciones</w:t>
      </w:r>
      <w:r>
        <w:t xml:space="preserve"> del </w:t>
      </w:r>
      <w:r w:rsidR="00D460CD">
        <w:t>M</w:t>
      </w:r>
      <w:r>
        <w:t>odelo</w:t>
      </w:r>
      <w:bookmarkEnd w:id="32"/>
    </w:p>
    <w:p w14:paraId="4249AE07" w14:textId="0AFEDFD0" w:rsidR="000F7773" w:rsidRDefault="000F7773" w:rsidP="00700471">
      <w:pPr>
        <w:spacing w:line="240" w:lineRule="auto"/>
        <w:rPr>
          <w:rFonts w:cs="Arial"/>
        </w:rPr>
      </w:pPr>
      <w:r w:rsidRPr="008D7E5E">
        <w:rPr>
          <w:rFonts w:cs="Arial"/>
        </w:rPr>
        <w:t>El MEGC que se utiliza en este proyecto es llamado STAGE</w:t>
      </w:r>
      <w:r w:rsidR="00F52A14">
        <w:rPr>
          <w:rFonts w:cs="Arial"/>
        </w:rPr>
        <w:t xml:space="preserve"> (</w:t>
      </w:r>
      <w:r w:rsidR="00F52A14" w:rsidRPr="00F52A14">
        <w:rPr>
          <w:rFonts w:cs="Arial"/>
        </w:rPr>
        <w:t>S</w:t>
      </w:r>
      <w:r w:rsidR="00F52A14">
        <w:rPr>
          <w:rFonts w:cs="Arial"/>
        </w:rPr>
        <w:t>t</w:t>
      </w:r>
      <w:r w:rsidR="00F52A14" w:rsidRPr="00F52A14">
        <w:rPr>
          <w:rFonts w:cs="Arial"/>
        </w:rPr>
        <w:t>atic</w:t>
      </w:r>
      <w:r w:rsidR="00F52A14">
        <w:rPr>
          <w:rFonts w:cs="Arial"/>
        </w:rPr>
        <w:t xml:space="preserve"> </w:t>
      </w:r>
      <w:r w:rsidR="00F52A14" w:rsidRPr="00F52A14">
        <w:rPr>
          <w:rFonts w:cs="Arial"/>
        </w:rPr>
        <w:t>Applied Computable</w:t>
      </w:r>
      <w:r w:rsidR="00F52A14">
        <w:rPr>
          <w:rFonts w:cs="Arial"/>
        </w:rPr>
        <w:t xml:space="preserve"> </w:t>
      </w:r>
      <w:r w:rsidR="00F52A14" w:rsidRPr="00F52A14">
        <w:rPr>
          <w:rFonts w:cs="Arial"/>
        </w:rPr>
        <w:t>General  Equilibrium model</w:t>
      </w:r>
      <w:r w:rsidR="00F52A14">
        <w:rPr>
          <w:rFonts w:cs="Arial"/>
        </w:rPr>
        <w:t>)</w:t>
      </w:r>
      <w:r w:rsidRPr="008D7E5E">
        <w:rPr>
          <w:rFonts w:cs="Arial"/>
        </w:rPr>
        <w:t xml:space="preserve">, el cual nace como descendiente </w:t>
      </w:r>
      <w:r>
        <w:rPr>
          <w:rFonts w:cs="Arial"/>
        </w:rPr>
        <w:t xml:space="preserve">de modelos </w:t>
      </w:r>
      <w:r w:rsidRPr="008D7E5E">
        <w:rPr>
          <w:rFonts w:cs="Arial"/>
        </w:rPr>
        <w:t xml:space="preserve">descritos por </w:t>
      </w:r>
      <w:r>
        <w:rPr>
          <w:rFonts w:cs="Arial"/>
        </w:rPr>
        <w:fldChar w:fldCharType="begin" w:fldLock="1"/>
      </w:r>
      <w:r>
        <w:rPr>
          <w:rFonts w:cs="Arial"/>
        </w:rPr>
        <w:instrText>ADDIN CSL_CITATION {"citationItems":[{"id":"ITEM-1","itemData":{"author":[{"dropping-particle":"","family":"Dervis","given":"K","non-dropping-particle":"","parse-names":false,"suffix":""},{"dropping-particle":"","family":"Melo","given":"J","non-dropping-particle":"de","parse-names":false,"suffix":""},{"dropping-particle":"","family":"Robinson","given":"S","non-dropping-particle":"","parse-names":false,"suffix":""}],"id":"ITEM-1","issued":{"date-parts":[["1982"]]},"publisher":"Cambridge (UK) Cambridge University Press","title":"General equilibrium models for development policy","type":"article-journal"},"uris":["http://www.mendeley.com/documents/?uuid=5a102a87-0730-49bb-90db-3922f05dfaeb"]}],"mendeley":{"formattedCitation":"(Dervis, de Melo, &amp; Robinson, 1982)","manualFormatting":"Dervis, de Melo y Robinson (1982)","plainTextFormattedCitation":"(Dervis, de Melo, &amp; Robinson, 1982)","previouslyFormattedCitation":"(Dervis, de Melo, &amp; Robinson, 1982)"},"properties":{"noteIndex":0},"schema":"https://github.com/citation-style-language/schema/raw/master/csl-citation.json"}</w:instrText>
      </w:r>
      <w:r>
        <w:rPr>
          <w:rFonts w:cs="Arial"/>
        </w:rPr>
        <w:fldChar w:fldCharType="separate"/>
      </w:r>
      <w:r w:rsidRPr="00503719">
        <w:rPr>
          <w:rFonts w:cs="Arial"/>
          <w:noProof/>
        </w:rPr>
        <w:t>Dervis, de Melo</w:t>
      </w:r>
      <w:r>
        <w:rPr>
          <w:rFonts w:cs="Arial"/>
          <w:noProof/>
        </w:rPr>
        <w:t xml:space="preserve"> y</w:t>
      </w:r>
      <w:r w:rsidRPr="00503719">
        <w:rPr>
          <w:rFonts w:cs="Arial"/>
          <w:noProof/>
        </w:rPr>
        <w:t xml:space="preserve"> Robinson</w:t>
      </w:r>
      <w:r>
        <w:rPr>
          <w:rFonts w:cs="Arial"/>
          <w:noProof/>
        </w:rPr>
        <w:t xml:space="preserve"> (</w:t>
      </w:r>
      <w:r w:rsidRPr="00503719">
        <w:rPr>
          <w:rFonts w:cs="Arial"/>
          <w:noProof/>
        </w:rPr>
        <w:t>1982)</w:t>
      </w:r>
      <w:r>
        <w:rPr>
          <w:rFonts w:cs="Arial"/>
        </w:rPr>
        <w:fldChar w:fldCharType="end"/>
      </w:r>
      <w:r>
        <w:rPr>
          <w:rFonts w:cs="Arial"/>
        </w:rPr>
        <w:t>. Su</w:t>
      </w:r>
      <w:r w:rsidRPr="008D7E5E">
        <w:rPr>
          <w:rFonts w:cs="Arial"/>
        </w:rPr>
        <w:t xml:space="preserve"> programa</w:t>
      </w:r>
      <w:r>
        <w:rPr>
          <w:rFonts w:cs="Arial"/>
        </w:rPr>
        <w:t>ción es</w:t>
      </w:r>
      <w:r w:rsidRPr="008D7E5E">
        <w:rPr>
          <w:rFonts w:cs="Arial"/>
        </w:rPr>
        <w:t xml:space="preserve"> con el software GAMS y su uso se basa en</w:t>
      </w:r>
      <w:r>
        <w:rPr>
          <w:rFonts w:cs="Arial"/>
        </w:rPr>
        <w:t xml:space="preserve"> </w:t>
      </w:r>
      <w:r w:rsidRPr="008D7E5E">
        <w:rPr>
          <w:rFonts w:cs="Arial"/>
        </w:rPr>
        <w:t xml:space="preserve">una </w:t>
      </w:r>
      <w:r w:rsidR="00021B0D">
        <w:rPr>
          <w:rFonts w:cs="Arial"/>
        </w:rPr>
        <w:t>MCS</w:t>
      </w:r>
      <w:r w:rsidRPr="008D7E5E">
        <w:rPr>
          <w:rFonts w:cs="Arial"/>
        </w:rPr>
        <w:t xml:space="preserve">, </w:t>
      </w:r>
      <w:r>
        <w:rPr>
          <w:rFonts w:cs="Arial"/>
        </w:rPr>
        <w:t xml:space="preserve">para </w:t>
      </w:r>
      <w:r w:rsidRPr="008D7E5E">
        <w:rPr>
          <w:rFonts w:cs="Arial"/>
        </w:rPr>
        <w:t xml:space="preserve">este caso </w:t>
      </w:r>
      <w:r>
        <w:rPr>
          <w:rFonts w:cs="Arial"/>
        </w:rPr>
        <w:t xml:space="preserve">específico seria </w:t>
      </w:r>
      <w:r w:rsidRPr="008D7E5E">
        <w:rPr>
          <w:rFonts w:cs="Arial"/>
        </w:rPr>
        <w:t>la matriz elaborada por el Banco Central de Costa Rica de</w:t>
      </w:r>
      <w:r>
        <w:rPr>
          <w:rFonts w:cs="Arial"/>
        </w:rPr>
        <w:t>l</w:t>
      </w:r>
      <w:r w:rsidRPr="008D7E5E">
        <w:rPr>
          <w:rFonts w:cs="Arial"/>
        </w:rPr>
        <w:t xml:space="preserve"> año 2012. El modelo asume los </w:t>
      </w:r>
      <w:r w:rsidRPr="008D7E5E">
        <w:rPr>
          <w:rFonts w:cs="Arial"/>
        </w:rPr>
        <w:lastRenderedPageBreak/>
        <w:t>principios básicos de los MEG</w:t>
      </w:r>
      <w:r w:rsidR="001D3BFC">
        <w:rPr>
          <w:rFonts w:cs="Arial"/>
        </w:rPr>
        <w:t>C</w:t>
      </w:r>
      <w:r w:rsidRPr="008D7E5E">
        <w:rPr>
          <w:rFonts w:cs="Arial"/>
        </w:rPr>
        <w:t>, como la Ley de único precio y el equilibrio walrasiano.</w:t>
      </w:r>
      <w:r>
        <w:rPr>
          <w:rFonts w:cs="Arial"/>
        </w:rPr>
        <w:t xml:space="preserve"> </w:t>
      </w:r>
      <w:r>
        <w:rPr>
          <w:rFonts w:cs="Arial"/>
        </w:rPr>
        <w:fldChar w:fldCharType="begin" w:fldLock="1"/>
      </w:r>
      <w:r>
        <w:rPr>
          <w:rFonts w:cs="Arial"/>
        </w:rPr>
        <w:instrText>ADDIN CSL_CITATION {"citationItems":[{"id":"ITEM-1","itemData":{"author":[{"dropping-particle":"","family":"McDonald","given":"Scott","non-dropping-particle":"","parse-names":false,"suffix":""},{"dropping-particle":"","family":"Thierfelder","given":"Karen","non-dropping-particle":"","parse-names":false,"suffix":""}],"id":"ITEM-1","issue":"January","issued":{"date-parts":[["2017"]]},"number-of-pages":"1-89","title":"A Static Applied General Equilibrium Model: Technical Documentation - STAGE_int Version","type":"report"},"uris":["http://www.mendeley.com/documents/?uuid=83316eb5-e8df-4029-aa83-a2c1fd511a0d"]}],"mendeley":{"formattedCitation":"(McDonald &amp; Thierfelder, 2017)","plainTextFormattedCitation":"(McDonald &amp; Thierfelder, 2017)","previouslyFormattedCitation":"(McDonald &amp; Thierfelder, 2017)"},"properties":{"noteIndex":0},"schema":"https://github.com/citation-style-language/schema/raw/master/csl-citation.json"}</w:instrText>
      </w:r>
      <w:r>
        <w:rPr>
          <w:rFonts w:cs="Arial"/>
        </w:rPr>
        <w:fldChar w:fldCharType="separate"/>
      </w:r>
      <w:r w:rsidRPr="005269EE">
        <w:rPr>
          <w:rFonts w:cs="Arial"/>
          <w:noProof/>
        </w:rPr>
        <w:t>(McDonald &amp; Thierfelder, 2017)</w:t>
      </w:r>
      <w:r>
        <w:rPr>
          <w:rFonts w:cs="Arial"/>
        </w:rPr>
        <w:fldChar w:fldCharType="end"/>
      </w:r>
      <w:r>
        <w:rPr>
          <w:rFonts w:cs="Arial"/>
        </w:rPr>
        <w:t>.</w:t>
      </w:r>
      <w:r w:rsidRPr="008D7E5E">
        <w:rPr>
          <w:rFonts w:cs="Arial"/>
        </w:rPr>
        <w:t xml:space="preserve">  </w:t>
      </w:r>
    </w:p>
    <w:p w14:paraId="1FA622E7" w14:textId="04D14FFA" w:rsidR="000F7773" w:rsidRDefault="000F7773" w:rsidP="00700471">
      <w:pPr>
        <w:spacing w:line="240" w:lineRule="auto"/>
        <w:rPr>
          <w:rFonts w:cs="Arial"/>
        </w:rPr>
      </w:pPr>
      <w:r>
        <w:rPr>
          <w:rFonts w:cs="Arial"/>
        </w:rPr>
        <w:t>El modelo se compone de ecuaciones de comportamiento las cuales se van a exponer por bloques y por ecuaciones contables. Como el marco de todo MEG</w:t>
      </w:r>
      <w:r w:rsidR="00BD4530">
        <w:rPr>
          <w:rFonts w:cs="Arial"/>
        </w:rPr>
        <w:t>C</w:t>
      </w:r>
      <w:r>
        <w:rPr>
          <w:rFonts w:cs="Arial"/>
        </w:rPr>
        <w:t xml:space="preserve"> esté definido por la MCS, con el modelo STAGE sucede exactamente lo mismo, pero las relaciones de comportamiento son definidas según la teoría económica. Por ejemplo, los hogares escogen la cantidad de bienes y servicios que maximicen su utilidad, en este caso la función de utilidad es la Stone-Geary, la cual tiene la particularidad de contemplar el consumo de subsistencia.</w:t>
      </w:r>
    </w:p>
    <w:p w14:paraId="4395C206" w14:textId="7B3FD356" w:rsidR="000F7773" w:rsidRDefault="000F7773" w:rsidP="00700471">
      <w:pPr>
        <w:spacing w:line="240" w:lineRule="auto"/>
        <w:rPr>
          <w:rFonts w:cs="Arial"/>
        </w:rPr>
      </w:pPr>
      <w:r>
        <w:rPr>
          <w:rFonts w:cs="Arial"/>
        </w:rPr>
        <w:t xml:space="preserve">Los bienes </w:t>
      </w:r>
      <w:r w:rsidR="00BD4530">
        <w:rPr>
          <w:rFonts w:cs="Arial"/>
        </w:rPr>
        <w:t xml:space="preserve">y servicios </w:t>
      </w:r>
      <w:r>
        <w:rPr>
          <w:rFonts w:cs="Arial"/>
        </w:rPr>
        <w:t xml:space="preserve">que tienen a disposición los consumidores son bienes compuestos por una función de elasticidad de sustitución constante (CES), los cuales contemplan bienes domésticos e importados. La razón </w:t>
      </w:r>
      <w:r w:rsidR="00BD4530">
        <w:rPr>
          <w:rFonts w:cs="Arial"/>
        </w:rPr>
        <w:t>ó</w:t>
      </w:r>
      <w:r>
        <w:rPr>
          <w:rFonts w:cs="Arial"/>
        </w:rPr>
        <w:t>ptima de ambos tipos de bienes se obtiene a partir de la función de Armington. La producción se genera en tres etapas, la primera consiste en la composición de valor agregado y bienes intermedios mediante una función del tipo tecnología CES o Leontief. Los bienes intermedios son combinados con los insumos para generar la producción de la actividad. En el segundo nivel los bienes intermedios son generados por proporciones fijas (Leontief) de los usados en cada actividad.  En el mismo nivel los bienes intermedios y materias primas se combina</w:t>
      </w:r>
      <w:r w:rsidR="00AC2F36">
        <w:rPr>
          <w:rFonts w:cs="Arial"/>
        </w:rPr>
        <w:t>n</w:t>
      </w:r>
      <w:r>
        <w:rPr>
          <w:rFonts w:cs="Arial"/>
        </w:rPr>
        <w:t xml:space="preserve"> con la tecnología CES para generar el valor agregado. En el tercer nivel se genera las materias primas </w:t>
      </w:r>
      <w:r w:rsidR="00AF5E54">
        <w:rPr>
          <w:rFonts w:cs="Arial"/>
        </w:rPr>
        <w:t xml:space="preserve">agregadas </w:t>
      </w:r>
      <w:r>
        <w:rPr>
          <w:rFonts w:cs="Arial"/>
        </w:rPr>
        <w:t>mediante una función CES, en este nivel se incluye los distintos tipos de trabajo que se utilizan en el segundo nivel. (ídem).</w:t>
      </w:r>
    </w:p>
    <w:p w14:paraId="63412C4E" w14:textId="253B56B2" w:rsidR="000F7773" w:rsidRDefault="000F7773" w:rsidP="00700471">
      <w:pPr>
        <w:spacing w:line="240" w:lineRule="auto"/>
        <w:rPr>
          <w:rFonts w:cs="Arial"/>
        </w:rPr>
      </w:pPr>
      <w:r>
        <w:rPr>
          <w:rFonts w:cs="Arial"/>
        </w:rPr>
        <w:t>Las actividades son definidas con capacidad de producir múltiples bienes, o también el modelo permite</w:t>
      </w:r>
      <w:r w:rsidR="00AF5E54">
        <w:rPr>
          <w:rFonts w:cs="Arial"/>
        </w:rPr>
        <w:t xml:space="preserve"> </w:t>
      </w:r>
      <w:r>
        <w:rPr>
          <w:rFonts w:cs="Arial"/>
        </w:rPr>
        <w:t xml:space="preserve">definir el nivel producción. La primera opción es mantener constante las proporciones de los bienes de cada actividad, la segunda opción es que las actividades pueden definir las combinaciones de productos en respuesta a cambios relativos mediante la función de </w:t>
      </w:r>
      <w:r w:rsidR="00AF5E54">
        <w:rPr>
          <w:rFonts w:cs="Arial"/>
        </w:rPr>
        <w:t>e</w:t>
      </w:r>
      <w:r>
        <w:rPr>
          <w:rFonts w:cs="Arial"/>
        </w:rPr>
        <w:t xml:space="preserve">lasticidad de transformación constante (CET). De igual manera, la oferta total puede plantearse como </w:t>
      </w:r>
      <w:r w:rsidR="00AF5E54">
        <w:rPr>
          <w:rFonts w:cs="Arial"/>
        </w:rPr>
        <w:t xml:space="preserve">si </w:t>
      </w:r>
      <w:r>
        <w:rPr>
          <w:rFonts w:cs="Arial"/>
        </w:rPr>
        <w:t>los bienes fueran homogéneos, o que los productos puedan diferenciarse por actividad interna y agregarse mediante una CES.</w:t>
      </w:r>
    </w:p>
    <w:p w14:paraId="564D9B27" w14:textId="77777777" w:rsidR="000F7773" w:rsidRDefault="000F7773" w:rsidP="00700471">
      <w:pPr>
        <w:spacing w:line="240" w:lineRule="auto"/>
        <w:rPr>
          <w:rFonts w:cs="Arial"/>
        </w:rPr>
      </w:pPr>
      <w:r>
        <w:rPr>
          <w:rFonts w:cs="Arial"/>
        </w:rPr>
        <w:t>Otra relación de comportamiento es definida mediante el supuesto de transformación imperfecta entre la demanda bienes domésticos y la demanda de exportación, esto se realiza mediante la CET, donde la distribución de estas demandas depende de los precios relativos de los mercados. El modelo permite también usar el supuesto de economía pequeña, es decir tomadora de precios, simplemente esto se puede definir como una regla de cierre donde se mantienen los precios internacionales como fijos.</w:t>
      </w:r>
    </w:p>
    <w:p w14:paraId="7A4619CE" w14:textId="1214284B" w:rsidR="000F7773" w:rsidRDefault="000F7773" w:rsidP="00700471">
      <w:pPr>
        <w:spacing w:line="240" w:lineRule="auto"/>
        <w:rPr>
          <w:rFonts w:cs="Arial"/>
        </w:rPr>
      </w:pPr>
      <w:r>
        <w:rPr>
          <w:rFonts w:cs="Arial"/>
        </w:rPr>
        <w:t>Con los impuestos, cada tipo de tasa es definida como variables con ajustes o factores de escala. Si una política fiscal restrictiva es impuesta en el modelo, un</w:t>
      </w:r>
      <w:r w:rsidR="00032FD1">
        <w:rPr>
          <w:rFonts w:cs="Arial"/>
        </w:rPr>
        <w:t>a</w:t>
      </w:r>
      <w:r>
        <w:rPr>
          <w:rFonts w:cs="Arial"/>
        </w:rPr>
        <w:t xml:space="preserve"> o más variables pueden ser ajustadas de manera aditiva o proporcional para definir un nuevo vector de impuestos. De manera similar ocurren con las variables que afectan a los hogares y empresas como: la propensión al ahorro y las transferencias entre instituciones. </w:t>
      </w:r>
    </w:p>
    <w:p w14:paraId="6E58F097" w14:textId="77777777" w:rsidR="000F7773" w:rsidRDefault="000F7773" w:rsidP="00700471">
      <w:pPr>
        <w:spacing w:line="240" w:lineRule="auto"/>
        <w:rPr>
          <w:rFonts w:cs="Arial"/>
        </w:rPr>
      </w:pPr>
      <w:r>
        <w:rPr>
          <w:rFonts w:cs="Arial"/>
        </w:rPr>
        <w:t xml:space="preserve">También se pueden hacer variaciones en el nivel de tecnología utilizado en cada actividad. Las proporciones del gasto corriente en bienes definido como de subsistencia también es modificable. El modelo permite cambiar su comportamiento mediante distintas reglas de cierre, determinar el comportamiento de corto o largo </w:t>
      </w:r>
      <w:r>
        <w:rPr>
          <w:rFonts w:cs="Arial"/>
        </w:rPr>
        <w:lastRenderedPageBreak/>
        <w:t>plazo, por ejemplo: el corto plazo un cierre donde existe inflexibilidad laboral, desempleo y el largo plazo definida como los factores en pleno empleo y flexibilidad laboral.</w:t>
      </w:r>
    </w:p>
    <w:p w14:paraId="6512BB54" w14:textId="3A3B238D" w:rsidR="000F7773" w:rsidRDefault="000F7773" w:rsidP="00700471">
      <w:pPr>
        <w:spacing w:line="240" w:lineRule="auto"/>
        <w:rPr>
          <w:rFonts w:eastAsiaTheme="minorEastAsia" w:cs="Arial"/>
        </w:rPr>
      </w:pPr>
      <w:r>
        <w:rPr>
          <w:rFonts w:cs="Arial"/>
        </w:rPr>
        <w:t xml:space="preserve">Las transacciones del modelo pueden observarse en la </w:t>
      </w:r>
      <w:r w:rsidR="00DB4BBE">
        <w:rPr>
          <w:rFonts w:cs="Arial"/>
        </w:rPr>
        <w:fldChar w:fldCharType="begin"/>
      </w:r>
      <w:r w:rsidR="00DB4BBE">
        <w:rPr>
          <w:rFonts w:cs="Arial"/>
        </w:rPr>
        <w:instrText xml:space="preserve"> REF _Ref525021990 \h</w:instrText>
      </w:r>
      <w:r w:rsidR="00C71046">
        <w:rPr>
          <w:rFonts w:cs="Arial"/>
        </w:rPr>
        <w:instrText xml:space="preserve"> </w:instrText>
      </w:r>
      <w:r w:rsidR="00C71046" w:rsidRPr="00C71046">
        <w:rPr>
          <w:rFonts w:cs="Arial"/>
        </w:rPr>
        <w:instrText>\*lo</w:instrText>
      </w:r>
      <w:r w:rsidR="00C71046">
        <w:rPr>
          <w:rFonts w:cs="Arial"/>
        </w:rPr>
        <w:instrText>wer</w:instrText>
      </w:r>
      <w:r w:rsidR="00DB4BBE">
        <w:rPr>
          <w:rFonts w:cs="Arial"/>
        </w:rPr>
        <w:instrText xml:space="preserve"> </w:instrText>
      </w:r>
      <w:r w:rsidR="00DB4BBE">
        <w:rPr>
          <w:rFonts w:cs="Arial"/>
        </w:rPr>
      </w:r>
      <w:r w:rsidR="00DB4BBE">
        <w:rPr>
          <w:rFonts w:cs="Arial"/>
        </w:rPr>
        <w:fldChar w:fldCharType="separate"/>
      </w:r>
      <w:r w:rsidR="00A95E32" w:rsidRPr="00AE4E76">
        <w:t xml:space="preserve">tabla </w:t>
      </w:r>
      <w:r w:rsidR="00A95E32">
        <w:rPr>
          <w:noProof/>
        </w:rPr>
        <w:t>1</w:t>
      </w:r>
      <w:r w:rsidR="00DB4BBE">
        <w:rPr>
          <w:rFonts w:cs="Arial"/>
        </w:rPr>
        <w:fldChar w:fldCharType="end"/>
      </w:r>
      <w:r>
        <w:rPr>
          <w:rFonts w:cs="Arial"/>
        </w:rPr>
        <w:t xml:space="preserve">, los precios de los productos consumidos internamente están definidos como </w:t>
      </w:r>
      <m:oMath>
        <m:sSub>
          <m:sSubPr>
            <m:ctrlPr>
              <w:rPr>
                <w:rFonts w:ascii="Cambria Math" w:hAnsi="Cambria Math" w:cs="Arial"/>
                <w:i/>
              </w:rPr>
            </m:ctrlPr>
          </m:sSubPr>
          <m:e>
            <m:r>
              <w:rPr>
                <w:rFonts w:ascii="Cambria Math" w:hAnsi="Cambria Math" w:cs="Arial"/>
              </w:rPr>
              <m:t>PQD</m:t>
            </m:r>
          </m:e>
          <m:sub>
            <m:r>
              <w:rPr>
                <w:rFonts w:ascii="Cambria Math" w:hAnsi="Cambria Math" w:cs="Arial"/>
              </w:rPr>
              <m:t>c</m:t>
            </m:r>
          </m:sub>
        </m:sSub>
      </m:oMath>
      <w:r>
        <w:rPr>
          <w:rFonts w:eastAsiaTheme="minorEastAsia" w:cs="Arial"/>
        </w:rPr>
        <w:t xml:space="preserve">, y son los mismos para todas las demandas domésticas, </w:t>
      </w:r>
      <w:r w:rsidR="00B07E42">
        <w:rPr>
          <w:rFonts w:eastAsiaTheme="minorEastAsia" w:cs="Arial"/>
        </w:rPr>
        <w:t>excepto</w:t>
      </w:r>
      <w:r>
        <w:rPr>
          <w:rFonts w:eastAsiaTheme="minorEastAsia" w:cs="Arial"/>
        </w:rPr>
        <w:t xml:space="preserve"> para hogares que están definidos </w:t>
      </w:r>
      <m:oMath>
        <m:sSub>
          <m:sSubPr>
            <m:ctrlPr>
              <w:rPr>
                <w:rFonts w:ascii="Cambria Math" w:hAnsi="Cambria Math" w:cs="Arial"/>
                <w:i/>
              </w:rPr>
            </m:ctrlPr>
          </m:sSubPr>
          <m:e>
            <m:r>
              <w:rPr>
                <w:rFonts w:ascii="Cambria Math" w:hAnsi="Cambria Math" w:cs="Arial"/>
              </w:rPr>
              <m:t>PQCD</m:t>
            </m:r>
          </m:e>
          <m:sub>
            <m:r>
              <w:rPr>
                <w:rFonts w:ascii="Cambria Math" w:hAnsi="Cambria Math" w:cs="Arial"/>
              </w:rPr>
              <m:t>c</m:t>
            </m:r>
          </m:sub>
        </m:sSub>
      </m:oMath>
      <w:r>
        <w:rPr>
          <w:rFonts w:eastAsiaTheme="minorEastAsia" w:cs="Arial"/>
        </w:rPr>
        <w:t xml:space="preserve">, que incluye el impuesto de ventas. Los productos locales están divididos entre los intermedios: </w:t>
      </w:r>
      <m:oMath>
        <m:sSub>
          <m:sSubPr>
            <m:ctrlPr>
              <w:rPr>
                <w:rFonts w:ascii="Cambria Math" w:hAnsi="Cambria Math" w:cs="Arial"/>
                <w:i/>
              </w:rPr>
            </m:ctrlPr>
          </m:sSubPr>
          <m:e>
            <m:r>
              <w:rPr>
                <w:rFonts w:ascii="Cambria Math" w:hAnsi="Cambria Math" w:cs="Arial"/>
              </w:rPr>
              <m:t>QINTD</m:t>
            </m:r>
          </m:e>
          <m:sub>
            <m:r>
              <w:rPr>
                <w:rFonts w:ascii="Cambria Math" w:hAnsi="Cambria Math" w:cs="Arial"/>
              </w:rPr>
              <m:t>c,a</m:t>
            </m:r>
          </m:sub>
        </m:sSub>
      </m:oMath>
      <w:r>
        <w:rPr>
          <w:rFonts w:eastAsiaTheme="minorEastAsia" w:cs="Arial"/>
        </w:rPr>
        <w:t xml:space="preserve"> y los finales que a su vez están divididos en la demanda de los hogares, empresas, gobierno, </w:t>
      </w:r>
      <w:r w:rsidR="00B07E42">
        <w:rPr>
          <w:rFonts w:eastAsiaTheme="minorEastAsia" w:cs="Arial"/>
        </w:rPr>
        <w:t>inversión</w:t>
      </w:r>
      <w:r>
        <w:rPr>
          <w:rFonts w:eastAsiaTheme="minorEastAsia" w:cs="Arial"/>
        </w:rPr>
        <w:t xml:space="preserve"> y cambios en existencias (</w:t>
      </w:r>
      <m:oMath>
        <m:sSub>
          <m:sSubPr>
            <m:ctrlPr>
              <w:rPr>
                <w:rFonts w:ascii="Cambria Math" w:hAnsi="Cambria Math" w:cs="Arial"/>
                <w:i/>
              </w:rPr>
            </m:ctrlPr>
          </m:sSubPr>
          <m:e>
            <m:r>
              <w:rPr>
                <w:rFonts w:ascii="Cambria Math" w:hAnsi="Cambria Math" w:cs="Arial"/>
              </w:rPr>
              <m:t>QCD</m:t>
            </m:r>
          </m:e>
          <m:sub>
            <m:r>
              <w:rPr>
                <w:rFonts w:ascii="Cambria Math" w:hAnsi="Cambria Math" w:cs="Arial"/>
              </w:rPr>
              <m:t>c,h</m:t>
            </m:r>
          </m:sub>
        </m:sSub>
      </m:oMath>
      <w:r>
        <w:rPr>
          <w:rFonts w:eastAsiaTheme="minorEastAsia" w:cs="Arial"/>
        </w:rPr>
        <w:t xml:space="preserve">, </w:t>
      </w:r>
      <m:oMath>
        <m:sSub>
          <m:sSubPr>
            <m:ctrlPr>
              <w:rPr>
                <w:rFonts w:ascii="Cambria Math" w:hAnsi="Cambria Math" w:cs="Arial"/>
                <w:i/>
              </w:rPr>
            </m:ctrlPr>
          </m:sSubPr>
          <m:e>
            <m:r>
              <w:rPr>
                <w:rFonts w:ascii="Cambria Math" w:hAnsi="Cambria Math" w:cs="Arial"/>
              </w:rPr>
              <m:t>QENTD</m:t>
            </m:r>
          </m:e>
          <m:sub>
            <m:r>
              <w:rPr>
                <w:rFonts w:ascii="Cambria Math" w:hAnsi="Cambria Math" w:cs="Arial"/>
              </w:rPr>
              <m:t>c,e</m:t>
            </m:r>
          </m:sub>
        </m:sSub>
      </m:oMath>
      <w:r>
        <w:rPr>
          <w:rFonts w:eastAsiaTheme="minorEastAsia" w:cs="Arial"/>
        </w:rPr>
        <w:t xml:space="preserve">, </w:t>
      </w:r>
      <m:oMath>
        <m:sSub>
          <m:sSubPr>
            <m:ctrlPr>
              <w:rPr>
                <w:rFonts w:ascii="Cambria Math" w:hAnsi="Cambria Math" w:cs="Arial"/>
                <w:i/>
              </w:rPr>
            </m:ctrlPr>
          </m:sSubPr>
          <m:e>
            <m:r>
              <w:rPr>
                <w:rFonts w:ascii="Cambria Math" w:hAnsi="Cambria Math" w:cs="Arial"/>
              </w:rPr>
              <m:t>QGD</m:t>
            </m:r>
          </m:e>
          <m:sub>
            <m:r>
              <w:rPr>
                <w:rFonts w:ascii="Cambria Math" w:hAnsi="Cambria Math" w:cs="Arial"/>
              </w:rPr>
              <m:t>c</m:t>
            </m:r>
          </m:sub>
        </m:sSub>
      </m:oMath>
      <w:r>
        <w:rPr>
          <w:rFonts w:eastAsiaTheme="minorEastAsia" w:cs="Arial"/>
        </w:rPr>
        <w:t xml:space="preserve">, </w:t>
      </w:r>
      <m:oMath>
        <m:sSub>
          <m:sSubPr>
            <m:ctrlPr>
              <w:rPr>
                <w:rFonts w:ascii="Cambria Math" w:hAnsi="Cambria Math" w:cs="Arial"/>
                <w:i/>
              </w:rPr>
            </m:ctrlPr>
          </m:sSubPr>
          <m:e>
            <m:r>
              <w:rPr>
                <w:rFonts w:ascii="Cambria Math" w:hAnsi="Cambria Math" w:cs="Arial"/>
              </w:rPr>
              <m:t>QINVD</m:t>
            </m:r>
          </m:e>
          <m:sub>
            <m:r>
              <w:rPr>
                <w:rFonts w:ascii="Cambria Math" w:hAnsi="Cambria Math" w:cs="Arial"/>
              </w:rPr>
              <m:t xml:space="preserve">c </m:t>
            </m:r>
          </m:sub>
        </m:sSub>
        <m:r>
          <w:rPr>
            <w:rFonts w:ascii="Cambria Math" w:hAnsi="Cambria Math" w:cs="Arial"/>
          </w:rPr>
          <m:t xml:space="preserve">y </m:t>
        </m:r>
        <m:sSub>
          <m:sSubPr>
            <m:ctrlPr>
              <w:rPr>
                <w:rFonts w:ascii="Cambria Math" w:hAnsi="Cambria Math" w:cs="Arial"/>
                <w:i/>
              </w:rPr>
            </m:ctrlPr>
          </m:sSubPr>
          <m:e>
            <m:r>
              <w:rPr>
                <w:rFonts w:ascii="Cambria Math" w:hAnsi="Cambria Math" w:cs="Arial"/>
              </w:rPr>
              <m:t>dstocconst</m:t>
            </m:r>
          </m:e>
          <m:sub>
            <m:r>
              <w:rPr>
                <w:rFonts w:ascii="Cambria Math" w:hAnsi="Cambria Math" w:cs="Arial"/>
              </w:rPr>
              <m:t>c</m:t>
            </m:r>
          </m:sub>
        </m:sSub>
      </m:oMath>
      <w:r>
        <w:rPr>
          <w:rFonts w:eastAsiaTheme="minorEastAsia" w:cs="Arial"/>
        </w:rPr>
        <w:t xml:space="preserve">. </w:t>
      </w:r>
      <w:r>
        <w:rPr>
          <w:rFonts w:cs="Arial"/>
        </w:rPr>
        <w:fldChar w:fldCharType="begin" w:fldLock="1"/>
      </w:r>
      <w:r>
        <w:rPr>
          <w:rFonts w:cs="Arial"/>
        </w:rPr>
        <w:instrText>ADDIN CSL_CITATION {"citationItems":[{"id":"ITEM-1","itemData":{"author":[{"dropping-particle":"","family":"McDonald","given":"Scott","non-dropping-particle":"","parse-names":false,"suffix":""},{"dropping-particle":"","family":"Thierfelder","given":"Karen","non-dropping-particle":"","parse-names":false,"suffix":""}],"id":"ITEM-1","issue":"January","issued":{"date-parts":[["2017"]]},"number-of-pages":"1-89","title":"A Static Applied General Equilibrium Model: Technical Documentation - STAGE_int Version","type":"report"},"uris":["http://www.mendeley.com/documents/?uuid=83316eb5-e8df-4029-aa83-a2c1fd511a0d"]}],"mendeley":{"formattedCitation":"(McDonald &amp; Thierfelder, 2017)","plainTextFormattedCitation":"(McDonald &amp; Thierfelder, 2017)","previouslyFormattedCitation":"(McDonald &amp; Thierfelder, 2017)"},"properties":{"noteIndex":0},"schema":"https://github.com/citation-style-language/schema/raw/master/csl-citation.json"}</w:instrText>
      </w:r>
      <w:r>
        <w:rPr>
          <w:rFonts w:cs="Arial"/>
        </w:rPr>
        <w:fldChar w:fldCharType="separate"/>
      </w:r>
      <w:r w:rsidRPr="005269EE">
        <w:rPr>
          <w:rFonts w:cs="Arial"/>
          <w:noProof/>
        </w:rPr>
        <w:t>(McDonald &amp; Thierfelder, 2017)</w:t>
      </w:r>
      <w:r>
        <w:rPr>
          <w:rFonts w:cs="Arial"/>
        </w:rPr>
        <w:fldChar w:fldCharType="end"/>
      </w:r>
      <w:r>
        <w:rPr>
          <w:rFonts w:cs="Arial"/>
        </w:rPr>
        <w:t>.</w:t>
      </w:r>
      <w:r w:rsidRPr="008D7E5E">
        <w:rPr>
          <w:rFonts w:cs="Arial"/>
        </w:rPr>
        <w:t xml:space="preserve">  </w:t>
      </w:r>
    </w:p>
    <w:p w14:paraId="1AA963B4" w14:textId="7F176096" w:rsidR="000F7773" w:rsidRDefault="000F7773" w:rsidP="00700471">
      <w:pPr>
        <w:spacing w:line="240" w:lineRule="auto"/>
        <w:rPr>
          <w:rFonts w:eastAsiaTheme="minorEastAsia" w:cs="Arial"/>
        </w:rPr>
      </w:pPr>
      <w:r>
        <w:rPr>
          <w:rFonts w:eastAsiaTheme="minorEastAsia" w:cs="Arial"/>
        </w:rPr>
        <w:t xml:space="preserve">Los bienes exportados son representados como </w:t>
      </w:r>
      <m:oMath>
        <m:sSub>
          <m:sSubPr>
            <m:ctrlPr>
              <w:rPr>
                <w:rFonts w:ascii="Cambria Math" w:hAnsi="Cambria Math" w:cs="Arial"/>
                <w:i/>
              </w:rPr>
            </m:ctrlPr>
          </m:sSubPr>
          <m:e>
            <m:r>
              <w:rPr>
                <w:rFonts w:ascii="Cambria Math" w:hAnsi="Cambria Math" w:cs="Arial"/>
              </w:rPr>
              <m:t>QE</m:t>
            </m:r>
          </m:e>
          <m:sub>
            <m:r>
              <w:rPr>
                <w:rFonts w:ascii="Cambria Math" w:hAnsi="Cambria Math" w:cs="Arial"/>
              </w:rPr>
              <m:t>c</m:t>
            </m:r>
          </m:sub>
        </m:sSub>
      </m:oMath>
      <w:r>
        <w:rPr>
          <w:rFonts w:eastAsiaTheme="minorEastAsia" w:cs="Arial"/>
        </w:rPr>
        <w:t xml:space="preserve"> y el precio domestico de los bienes exportados son:  </w:t>
      </w:r>
      <m:oMath>
        <m:sSub>
          <m:sSubPr>
            <m:ctrlPr>
              <w:rPr>
                <w:rFonts w:ascii="Cambria Math" w:eastAsiaTheme="minorEastAsia" w:hAnsi="Cambria Math" w:cs="Arial"/>
                <w:i/>
              </w:rPr>
            </m:ctrlPr>
          </m:sSubPr>
          <m:e>
            <m:r>
              <w:rPr>
                <w:rFonts w:ascii="Cambria Math" w:eastAsiaTheme="minorEastAsia" w:hAnsi="Cambria Math" w:cs="Arial"/>
              </w:rPr>
              <m:t>PE</m:t>
            </m:r>
          </m:e>
          <m:sub>
            <m:r>
              <w:rPr>
                <w:rFonts w:ascii="Cambria Math" w:eastAsiaTheme="minorEastAsia" w:hAnsi="Cambria Math" w:cs="Arial"/>
              </w:rPr>
              <m:t>c</m:t>
            </m:r>
          </m:sub>
        </m:sSub>
        <m:r>
          <w:rPr>
            <w:rFonts w:ascii="Cambria Math" w:eastAsiaTheme="minorEastAsia" w:hAnsi="Cambria Math" w:cs="Arial"/>
          </w:rPr>
          <m:t>=</m:t>
        </m:r>
        <m:sSub>
          <m:sSubPr>
            <m:ctrlPr>
              <w:rPr>
                <w:rFonts w:ascii="Cambria Math" w:eastAsiaTheme="minorEastAsia" w:hAnsi="Cambria Math" w:cs="Arial"/>
                <w:i/>
              </w:rPr>
            </m:ctrlPr>
          </m:sSubPr>
          <m:e>
            <m:r>
              <w:rPr>
                <w:rFonts w:ascii="Cambria Math" w:eastAsiaTheme="minorEastAsia" w:hAnsi="Cambria Math" w:cs="Arial"/>
              </w:rPr>
              <m:t>PWE</m:t>
            </m:r>
          </m:e>
          <m:sub>
            <m:r>
              <w:rPr>
                <w:rFonts w:ascii="Cambria Math" w:eastAsiaTheme="minorEastAsia" w:hAnsi="Cambria Math" w:cs="Arial"/>
              </w:rPr>
              <m:t>c</m:t>
            </m:r>
          </m:sub>
        </m:sSub>
        <m:r>
          <w:rPr>
            <w:rFonts w:ascii="Cambria Math" w:eastAsiaTheme="minorEastAsia" w:hAnsi="Cambria Math" w:cs="Arial"/>
          </w:rPr>
          <m:t>*ER</m:t>
        </m:r>
      </m:oMath>
      <w:r>
        <w:rPr>
          <w:rFonts w:eastAsiaTheme="minorEastAsia" w:cs="Arial"/>
        </w:rPr>
        <w:t xml:space="preserve">. La diferencia entre los precios domésticos y exportados viene dada por el impuesto a las exportaciones </w:t>
      </w:r>
      <m:oMath>
        <m:sSub>
          <m:sSubPr>
            <m:ctrlPr>
              <w:rPr>
                <w:rFonts w:ascii="Cambria Math" w:eastAsiaTheme="minorEastAsia" w:hAnsi="Cambria Math" w:cs="Arial"/>
                <w:i/>
              </w:rPr>
            </m:ctrlPr>
          </m:sSubPr>
          <m:e>
            <m:r>
              <w:rPr>
                <w:rFonts w:ascii="Cambria Math" w:eastAsiaTheme="minorEastAsia" w:hAnsi="Cambria Math" w:cs="Arial"/>
              </w:rPr>
              <m:t>TE</m:t>
            </m:r>
          </m:e>
          <m:sub>
            <m:r>
              <w:rPr>
                <w:rFonts w:ascii="Cambria Math" w:eastAsiaTheme="minorEastAsia" w:hAnsi="Cambria Math" w:cs="Arial"/>
              </w:rPr>
              <m:t>c</m:t>
            </m:r>
          </m:sub>
        </m:sSub>
      </m:oMath>
      <w:r>
        <w:rPr>
          <w:rFonts w:eastAsiaTheme="minorEastAsia" w:cs="Arial"/>
        </w:rPr>
        <w:t xml:space="preserve">. La oferta de bienes proviene de los productores locales que reciben precios </w:t>
      </w:r>
      <w:r w:rsidR="00CB2DD3">
        <w:rPr>
          <w:rFonts w:eastAsiaTheme="minorEastAsia" w:cs="Arial"/>
        </w:rPr>
        <w:t>corri</w:t>
      </w:r>
      <w:r>
        <w:rPr>
          <w:rFonts w:eastAsiaTheme="minorEastAsia" w:cs="Arial"/>
        </w:rPr>
        <w:t xml:space="preserve">entes, </w:t>
      </w:r>
      <m:oMath>
        <m:sSub>
          <m:sSubPr>
            <m:ctrlPr>
              <w:rPr>
                <w:rFonts w:ascii="Cambria Math" w:hAnsi="Cambria Math" w:cs="Arial"/>
                <w:i/>
              </w:rPr>
            </m:ctrlPr>
          </m:sSubPr>
          <m:e>
            <m:r>
              <w:rPr>
                <w:rFonts w:ascii="Cambria Math" w:hAnsi="Cambria Math" w:cs="Arial"/>
              </w:rPr>
              <m:t>PXC</m:t>
            </m:r>
          </m:e>
          <m:sub>
            <m:r>
              <w:rPr>
                <w:rFonts w:ascii="Cambria Math" w:hAnsi="Cambria Math" w:cs="Arial"/>
              </w:rPr>
              <m:t>c</m:t>
            </m:r>
          </m:sub>
        </m:sSub>
      </m:oMath>
      <w:r>
        <w:rPr>
          <w:rFonts w:eastAsiaTheme="minorEastAsia" w:cs="Arial"/>
        </w:rPr>
        <w:t>,y para estos productos la oferta total</w:t>
      </w:r>
      <w:r>
        <w:rPr>
          <w:rFonts w:cs="Arial"/>
          <w:i/>
          <w:vertAlign w:val="subscript"/>
        </w:rPr>
        <w:t xml:space="preserve"> </w:t>
      </w:r>
      <w:r>
        <w:rPr>
          <w:rFonts w:cs="Arial"/>
        </w:rPr>
        <w:t xml:space="preserve">local se denota </w:t>
      </w:r>
      <m:oMath>
        <m:sSub>
          <m:sSubPr>
            <m:ctrlPr>
              <w:rPr>
                <w:rFonts w:ascii="Cambria Math" w:hAnsi="Cambria Math" w:cs="Arial"/>
                <w:i/>
              </w:rPr>
            </m:ctrlPr>
          </m:sSubPr>
          <m:e>
            <m:r>
              <w:rPr>
                <w:rFonts w:ascii="Cambria Math" w:hAnsi="Cambria Math" w:cs="Arial"/>
              </w:rPr>
              <m:t>QXC</m:t>
            </m:r>
          </m:e>
          <m:sub>
            <m:r>
              <w:rPr>
                <w:rFonts w:ascii="Cambria Math" w:hAnsi="Cambria Math" w:cs="Arial"/>
              </w:rPr>
              <m:t>c</m:t>
            </m:r>
          </m:sub>
        </m:sSub>
      </m:oMath>
      <w:r>
        <w:rPr>
          <w:rFonts w:eastAsiaTheme="minorEastAsia" w:cs="Arial"/>
        </w:rPr>
        <w:t>. (ídem)</w:t>
      </w:r>
    </w:p>
    <w:p w14:paraId="6F62B03A" w14:textId="171B5807" w:rsidR="000F7773" w:rsidRDefault="000F7773" w:rsidP="00700471">
      <w:pPr>
        <w:spacing w:line="240" w:lineRule="auto"/>
        <w:rPr>
          <w:rFonts w:eastAsiaTheme="minorEastAsia" w:cs="Arial"/>
        </w:rPr>
      </w:pPr>
      <w:r>
        <w:rPr>
          <w:rFonts w:eastAsiaTheme="minorEastAsia" w:cs="Arial"/>
        </w:rPr>
        <w:t xml:space="preserve">En el caso de los bienes importados, </w:t>
      </w:r>
      <m:oMath>
        <m:sSub>
          <m:sSubPr>
            <m:ctrlPr>
              <w:rPr>
                <w:rFonts w:ascii="Cambria Math" w:hAnsi="Cambria Math" w:cs="Arial"/>
                <w:i/>
              </w:rPr>
            </m:ctrlPr>
          </m:sSubPr>
          <m:e>
            <m:r>
              <w:rPr>
                <w:rFonts w:ascii="Cambria Math" w:hAnsi="Cambria Math" w:cs="Arial"/>
              </w:rPr>
              <m:t>QM</m:t>
            </m:r>
          </m:e>
          <m:sub>
            <m:r>
              <w:rPr>
                <w:rFonts w:ascii="Cambria Math" w:hAnsi="Cambria Math" w:cs="Arial"/>
              </w:rPr>
              <m:t>c</m:t>
            </m:r>
          </m:sub>
        </m:sSub>
      </m:oMath>
      <w:r>
        <w:rPr>
          <w:rFonts w:eastAsiaTheme="minorEastAsia" w:cs="Arial"/>
        </w:rPr>
        <w:t>, se valoran con CIF (</w:t>
      </w:r>
      <w:r w:rsidR="00032FD1">
        <w:rPr>
          <w:rFonts w:eastAsiaTheme="minorEastAsia" w:cs="Arial"/>
        </w:rPr>
        <w:t>c</w:t>
      </w:r>
      <w:r>
        <w:rPr>
          <w:rFonts w:eastAsiaTheme="minorEastAsia" w:cs="Arial"/>
        </w:rPr>
        <w:t xml:space="preserve">osto, seguro y </w:t>
      </w:r>
      <w:r w:rsidR="00032FD1">
        <w:rPr>
          <w:rFonts w:eastAsiaTheme="minorEastAsia" w:cs="Arial"/>
        </w:rPr>
        <w:t>f</w:t>
      </w:r>
      <w:r>
        <w:rPr>
          <w:rFonts w:eastAsiaTheme="minorEastAsia" w:cs="Arial"/>
        </w:rPr>
        <w:t xml:space="preserve">lete), de forma que los precios de importación </w:t>
      </w:r>
      <m:oMath>
        <m:sSub>
          <m:sSubPr>
            <m:ctrlPr>
              <w:rPr>
                <w:rFonts w:ascii="Cambria Math" w:hAnsi="Cambria Math" w:cs="Arial"/>
                <w:i/>
              </w:rPr>
            </m:ctrlPr>
          </m:sSubPr>
          <m:e>
            <m:r>
              <w:rPr>
                <w:rFonts w:ascii="Cambria Math" w:hAnsi="Cambria Math" w:cs="Arial"/>
              </w:rPr>
              <m:t>PWM</m:t>
            </m:r>
          </m:e>
          <m:sub>
            <m:r>
              <w:rPr>
                <w:rFonts w:ascii="Cambria Math" w:hAnsi="Cambria Math" w:cs="Arial"/>
              </w:rPr>
              <m:t>c</m:t>
            </m:r>
          </m:sub>
        </m:sSub>
      </m:oMath>
      <w:r>
        <w:rPr>
          <w:rFonts w:eastAsiaTheme="minorEastAsia" w:cs="Arial"/>
        </w:rPr>
        <w:t xml:space="preserve"> son los precios internacionales, multiplicado por el tipo de cambio, </w:t>
      </w:r>
      <m:oMath>
        <m:r>
          <w:rPr>
            <w:rFonts w:ascii="Cambria Math" w:eastAsiaTheme="minorEastAsia" w:hAnsi="Cambria Math" w:cs="Arial"/>
          </w:rPr>
          <m:t>ER</m:t>
        </m:r>
      </m:oMath>
      <w:r>
        <w:rPr>
          <w:rFonts w:eastAsiaTheme="minorEastAsia" w:cs="Arial"/>
        </w:rPr>
        <w:t xml:space="preserve">, más un ajuste del impuesto de importaciones </w:t>
      </w:r>
      <m:oMath>
        <m:sSub>
          <m:sSubPr>
            <m:ctrlPr>
              <w:rPr>
                <w:rFonts w:ascii="Cambria Math" w:hAnsi="Cambria Math" w:cs="Arial"/>
                <w:i/>
              </w:rPr>
            </m:ctrlPr>
          </m:sSubPr>
          <m:e>
            <m:r>
              <w:rPr>
                <w:rFonts w:ascii="Cambria Math" w:hAnsi="Cambria Math" w:cs="Arial"/>
              </w:rPr>
              <m:t>TM</m:t>
            </m:r>
          </m:e>
          <m:sub>
            <m:r>
              <w:rPr>
                <w:rFonts w:ascii="Cambria Math" w:hAnsi="Cambria Math" w:cs="Arial"/>
              </w:rPr>
              <m:t>c</m:t>
            </m:r>
          </m:sub>
        </m:sSub>
      </m:oMath>
      <w:r>
        <w:rPr>
          <w:rFonts w:eastAsiaTheme="minorEastAsia" w:cs="Arial"/>
        </w:rPr>
        <w:t>. Los precios internamente están sujetos a varios tipos de impuestos, como dos tipos de impuesto de ventas (</w:t>
      </w:r>
      <m:oMath>
        <m:sSub>
          <m:sSubPr>
            <m:ctrlPr>
              <w:rPr>
                <w:rFonts w:ascii="Cambria Math" w:hAnsi="Cambria Math" w:cs="Arial"/>
                <w:i/>
              </w:rPr>
            </m:ctrlPr>
          </m:sSubPr>
          <m:e>
            <m:r>
              <w:rPr>
                <w:rFonts w:ascii="Cambria Math" w:hAnsi="Cambria Math" w:cs="Arial"/>
              </w:rPr>
              <m:t>TS</m:t>
            </m:r>
          </m:e>
          <m:sub>
            <m:r>
              <w:rPr>
                <w:rFonts w:ascii="Cambria Math" w:hAnsi="Cambria Math" w:cs="Arial"/>
              </w:rPr>
              <m:t>c</m:t>
            </m:r>
          </m:sub>
        </m:sSub>
      </m:oMath>
      <w:r>
        <w:rPr>
          <w:rFonts w:eastAsiaTheme="minorEastAsia" w:cs="Arial"/>
        </w:rPr>
        <w:t xml:space="preserve"> y </w:t>
      </w:r>
      <m:oMath>
        <m:sSub>
          <m:sSubPr>
            <m:ctrlPr>
              <w:rPr>
                <w:rFonts w:ascii="Cambria Math" w:hAnsi="Cambria Math" w:cs="Arial"/>
                <w:i/>
              </w:rPr>
            </m:ctrlPr>
          </m:sSubPr>
          <m:e>
            <m:r>
              <w:rPr>
                <w:rFonts w:ascii="Cambria Math" w:hAnsi="Cambria Math" w:cs="Arial"/>
              </w:rPr>
              <m:t>TSS</m:t>
            </m:r>
          </m:e>
          <m:sub>
            <m:r>
              <w:rPr>
                <w:rFonts w:ascii="Cambria Math" w:hAnsi="Cambria Math" w:cs="Arial"/>
              </w:rPr>
              <m:t>c</m:t>
            </m:r>
          </m:sub>
        </m:sSub>
      </m:oMath>
      <w:r>
        <w:rPr>
          <w:rFonts w:eastAsiaTheme="minorEastAsia" w:cs="Arial"/>
        </w:rPr>
        <w:t>), impuesto sobre cantidades (</w:t>
      </w:r>
      <m:oMath>
        <m:sSub>
          <m:sSubPr>
            <m:ctrlPr>
              <w:rPr>
                <w:rFonts w:ascii="Cambria Math" w:hAnsi="Cambria Math" w:cs="Arial"/>
                <w:i/>
              </w:rPr>
            </m:ctrlPr>
          </m:sSubPr>
          <m:e>
            <m:r>
              <w:rPr>
                <w:rFonts w:ascii="Cambria Math" w:hAnsi="Cambria Math" w:cs="Arial"/>
              </w:rPr>
              <m:t>TEX</m:t>
            </m:r>
          </m:e>
          <m:sub>
            <m:r>
              <w:rPr>
                <w:rFonts w:ascii="Cambria Math" w:hAnsi="Cambria Math" w:cs="Arial"/>
              </w:rPr>
              <m:t>c</m:t>
            </m:r>
          </m:sub>
        </m:sSub>
        <m:r>
          <w:rPr>
            <w:rFonts w:ascii="Cambria Math" w:hAnsi="Cambria Math" w:cs="Arial"/>
          </w:rPr>
          <m:t>)</m:t>
        </m:r>
      </m:oMath>
      <w:r>
        <w:rPr>
          <w:rFonts w:eastAsiaTheme="minorEastAsia" w:cs="Arial"/>
        </w:rPr>
        <w:t xml:space="preserve"> y el impuesto al valor agregado (</w:t>
      </w:r>
      <m:oMath>
        <m:sSub>
          <m:sSubPr>
            <m:ctrlPr>
              <w:rPr>
                <w:rFonts w:ascii="Cambria Math" w:hAnsi="Cambria Math" w:cs="Arial"/>
                <w:i/>
              </w:rPr>
            </m:ctrlPr>
          </m:sSubPr>
          <m:e>
            <m:r>
              <w:rPr>
                <w:rFonts w:ascii="Cambria Math" w:hAnsi="Cambria Math" w:cs="Arial"/>
              </w:rPr>
              <m:t>TV</m:t>
            </m:r>
          </m:e>
          <m:sub>
            <m:r>
              <w:rPr>
                <w:rFonts w:ascii="Cambria Math" w:hAnsi="Cambria Math" w:cs="Arial"/>
              </w:rPr>
              <m:t>c</m:t>
            </m:r>
          </m:sub>
        </m:sSub>
      </m:oMath>
      <w:r>
        <w:rPr>
          <w:rFonts w:eastAsiaTheme="minorEastAsia" w:cs="Arial"/>
        </w:rPr>
        <w:t>).</w:t>
      </w:r>
    </w:p>
    <w:p w14:paraId="49465C36" w14:textId="01D75A0F" w:rsidR="000F7773" w:rsidRPr="00AA185F" w:rsidRDefault="000F7773" w:rsidP="000F7773">
      <w:pPr>
        <w:pStyle w:val="Caption"/>
      </w:pPr>
      <w:bookmarkStart w:id="33" w:name="_Toc524787200"/>
      <w:bookmarkStart w:id="34" w:name="_Ref525021990"/>
      <w:bookmarkStart w:id="35" w:name="_Ref524789574"/>
      <w:bookmarkStart w:id="36" w:name="_Toc524946936"/>
      <w:bookmarkStart w:id="37" w:name="_Toc525033943"/>
      <w:bookmarkStart w:id="38" w:name="_Toc526175244"/>
      <w:bookmarkStart w:id="39" w:name="_Toc2853691"/>
      <w:r w:rsidRPr="00AE4E76">
        <w:t xml:space="preserve">Tabla </w:t>
      </w:r>
      <w:r w:rsidR="00F700CF">
        <w:rPr>
          <w:noProof/>
        </w:rPr>
        <w:fldChar w:fldCharType="begin"/>
      </w:r>
      <w:r w:rsidR="00F700CF">
        <w:rPr>
          <w:noProof/>
        </w:rPr>
        <w:instrText xml:space="preserve"> SEQ Tabla \* ARABIC </w:instrText>
      </w:r>
      <w:r w:rsidR="00F700CF">
        <w:rPr>
          <w:noProof/>
        </w:rPr>
        <w:fldChar w:fldCharType="separate"/>
      </w:r>
      <w:r w:rsidR="00A95E32">
        <w:rPr>
          <w:noProof/>
        </w:rPr>
        <w:t>1</w:t>
      </w:r>
      <w:bookmarkEnd w:id="33"/>
      <w:r w:rsidR="00F700CF">
        <w:rPr>
          <w:noProof/>
        </w:rPr>
        <w:fldChar w:fldCharType="end"/>
      </w:r>
      <w:bookmarkEnd w:id="34"/>
      <w:r>
        <w:t xml:space="preserve"> </w:t>
      </w:r>
      <w:r>
        <w:br/>
      </w:r>
      <w:r w:rsidRPr="001C336D">
        <w:t>Transacciones en el modelo STAGE</w:t>
      </w:r>
      <w:bookmarkEnd w:id="35"/>
      <w:bookmarkEnd w:id="36"/>
      <w:bookmarkEnd w:id="37"/>
      <w:bookmarkEnd w:id="38"/>
      <w:bookmarkEnd w:id="39"/>
    </w:p>
    <w:p w14:paraId="2B4C7044" w14:textId="77777777" w:rsidR="000F7773" w:rsidRDefault="000F7773" w:rsidP="000F7773">
      <w:pPr>
        <w:pStyle w:val="Caption"/>
      </w:pPr>
    </w:p>
    <w:tbl>
      <w:tblPr>
        <w:tblStyle w:val="TableGrid"/>
        <w:tblW w:w="8789" w:type="dxa"/>
        <w:jc w:val="center"/>
        <w:tblLook w:val="04A0" w:firstRow="1" w:lastRow="0" w:firstColumn="1" w:lastColumn="0" w:noHBand="0" w:noVBand="1"/>
      </w:tblPr>
      <w:tblGrid>
        <w:gridCol w:w="1774"/>
        <w:gridCol w:w="2322"/>
        <w:gridCol w:w="2748"/>
        <w:gridCol w:w="1945"/>
      </w:tblGrid>
      <w:tr w:rsidR="000F7773" w:rsidRPr="00C22533" w14:paraId="3E79FFD7" w14:textId="77777777" w:rsidTr="00700471">
        <w:trPr>
          <w:trHeight w:val="569"/>
          <w:jc w:val="center"/>
        </w:trPr>
        <w:tc>
          <w:tcPr>
            <w:tcW w:w="0" w:type="auto"/>
            <w:tcBorders>
              <w:top w:val="nil"/>
              <w:left w:val="nil"/>
              <w:bottom w:val="single" w:sz="4" w:space="0" w:color="auto"/>
              <w:right w:val="single" w:sz="4" w:space="0" w:color="auto"/>
            </w:tcBorders>
          </w:tcPr>
          <w:p w14:paraId="2E7BA2B7" w14:textId="77777777" w:rsidR="000F7773" w:rsidRPr="00C22533" w:rsidRDefault="000F7773" w:rsidP="00DB0816">
            <w:pPr>
              <w:rPr>
                <w:rFonts w:ascii="Arial" w:eastAsiaTheme="minorEastAsia" w:cs="Arial"/>
              </w:rPr>
            </w:pPr>
          </w:p>
        </w:tc>
        <w:tc>
          <w:tcPr>
            <w:tcW w:w="0" w:type="auto"/>
            <w:tcBorders>
              <w:top w:val="nil"/>
              <w:left w:val="single" w:sz="4" w:space="0" w:color="auto"/>
              <w:bottom w:val="single" w:sz="4" w:space="0" w:color="auto"/>
              <w:right w:val="nil"/>
            </w:tcBorders>
          </w:tcPr>
          <w:p w14:paraId="581E214B" w14:textId="77777777" w:rsidR="000F7773" w:rsidRPr="00C22533" w:rsidRDefault="000F7773" w:rsidP="00DB0816">
            <w:pPr>
              <w:jc w:val="center"/>
              <w:rPr>
                <w:rFonts w:ascii="Arial" w:eastAsiaTheme="minorEastAsia" w:cs="Arial"/>
              </w:rPr>
            </w:pPr>
            <w:r w:rsidRPr="00C22533">
              <w:rPr>
                <w:rFonts w:ascii="Arial" w:eastAsiaTheme="minorEastAsia" w:cs="Arial"/>
              </w:rPr>
              <w:t>Bienes</w:t>
            </w:r>
          </w:p>
        </w:tc>
        <w:tc>
          <w:tcPr>
            <w:tcW w:w="0" w:type="auto"/>
            <w:tcBorders>
              <w:top w:val="nil"/>
              <w:left w:val="nil"/>
              <w:bottom w:val="single" w:sz="4" w:space="0" w:color="auto"/>
              <w:right w:val="nil"/>
            </w:tcBorders>
          </w:tcPr>
          <w:p w14:paraId="16F019C8" w14:textId="77777777" w:rsidR="000F7773" w:rsidRPr="00C22533" w:rsidRDefault="000F7773" w:rsidP="00DB0816">
            <w:pPr>
              <w:jc w:val="center"/>
              <w:rPr>
                <w:rFonts w:ascii="Arial" w:eastAsiaTheme="minorEastAsia" w:cs="Arial"/>
              </w:rPr>
            </w:pPr>
            <w:r w:rsidRPr="00C22533">
              <w:rPr>
                <w:rFonts w:ascii="Arial" w:eastAsiaTheme="minorEastAsia" w:cs="Arial"/>
              </w:rPr>
              <w:t>Actividades</w:t>
            </w:r>
          </w:p>
        </w:tc>
        <w:tc>
          <w:tcPr>
            <w:tcW w:w="0" w:type="auto"/>
            <w:tcBorders>
              <w:top w:val="nil"/>
              <w:left w:val="nil"/>
              <w:bottom w:val="single" w:sz="4" w:space="0" w:color="auto"/>
              <w:right w:val="nil"/>
            </w:tcBorders>
          </w:tcPr>
          <w:p w14:paraId="1419D7D7" w14:textId="77777777" w:rsidR="000F7773" w:rsidRPr="00C22533" w:rsidRDefault="000F7773" w:rsidP="00DB0816">
            <w:pPr>
              <w:jc w:val="center"/>
              <w:rPr>
                <w:rFonts w:ascii="Arial" w:eastAsiaTheme="minorEastAsia" w:cs="Arial"/>
              </w:rPr>
            </w:pPr>
            <w:r w:rsidRPr="00C22533">
              <w:rPr>
                <w:rFonts w:ascii="Arial" w:eastAsiaTheme="minorEastAsia" w:cs="Arial"/>
              </w:rPr>
              <w:t>Factores</w:t>
            </w:r>
          </w:p>
        </w:tc>
      </w:tr>
      <w:tr w:rsidR="000F7773" w14:paraId="2B7BF35E" w14:textId="77777777" w:rsidTr="00700471">
        <w:trPr>
          <w:trHeight w:val="569"/>
          <w:jc w:val="center"/>
        </w:trPr>
        <w:tc>
          <w:tcPr>
            <w:tcW w:w="0" w:type="auto"/>
            <w:tcBorders>
              <w:top w:val="single" w:sz="4" w:space="0" w:color="auto"/>
              <w:left w:val="nil"/>
              <w:bottom w:val="nil"/>
              <w:right w:val="single" w:sz="4" w:space="0" w:color="auto"/>
            </w:tcBorders>
          </w:tcPr>
          <w:p w14:paraId="69589F70" w14:textId="77777777" w:rsidR="000F7773" w:rsidRPr="00C22533" w:rsidRDefault="000F7773" w:rsidP="00DB0816">
            <w:pPr>
              <w:rPr>
                <w:rFonts w:ascii="Arial" w:eastAsiaTheme="minorEastAsia" w:cs="Arial"/>
              </w:rPr>
            </w:pPr>
            <w:r w:rsidRPr="00C22533">
              <w:rPr>
                <w:rFonts w:ascii="Arial" w:eastAsiaTheme="minorEastAsia" w:cs="Arial"/>
              </w:rPr>
              <w:t>Bienes</w:t>
            </w:r>
          </w:p>
        </w:tc>
        <w:tc>
          <w:tcPr>
            <w:tcW w:w="0" w:type="auto"/>
            <w:tcBorders>
              <w:top w:val="single" w:sz="4" w:space="0" w:color="auto"/>
              <w:left w:val="single" w:sz="4" w:space="0" w:color="auto"/>
              <w:bottom w:val="nil"/>
              <w:right w:val="nil"/>
            </w:tcBorders>
          </w:tcPr>
          <w:p w14:paraId="07E97EB5" w14:textId="77777777" w:rsidR="000F7773" w:rsidRDefault="000F7773" w:rsidP="00DB0816">
            <w:pPr>
              <w:rPr>
                <w:rFonts w:eastAsiaTheme="minorEastAsia" w:cs="Arial"/>
              </w:rPr>
            </w:pPr>
          </w:p>
        </w:tc>
        <w:tc>
          <w:tcPr>
            <w:tcW w:w="0" w:type="auto"/>
            <w:tcBorders>
              <w:top w:val="single" w:sz="4" w:space="0" w:color="auto"/>
              <w:left w:val="nil"/>
              <w:bottom w:val="nil"/>
              <w:right w:val="nil"/>
            </w:tcBorders>
          </w:tcPr>
          <w:p w14:paraId="23AE9243" w14:textId="77777777" w:rsidR="000F7773" w:rsidRDefault="000F7773" w:rsidP="00DB0816">
            <w:pPr>
              <w:rPr>
                <w:rFonts w:eastAsiaTheme="minorEastAsia" w:cs="Arial"/>
              </w:rPr>
            </w:pPr>
            <m:oMathPara>
              <m:oMath>
                <m:r>
                  <w:rPr>
                    <w:rFonts w:ascii="Cambria Math" w:eastAsiaTheme="minorEastAsia" w:hAnsi="Cambria Math" w:cs="Arial"/>
                  </w:rPr>
                  <m:t>(</m:t>
                </m:r>
                <m:sSub>
                  <m:sSubPr>
                    <m:ctrlPr>
                      <w:rPr>
                        <w:rFonts w:ascii="Cambria Math" w:eastAsiaTheme="minorEastAsia" w:hAnsi="Cambria Math" w:cs="Arial"/>
                        <w:i/>
                      </w:rPr>
                    </m:ctrlPr>
                  </m:sSubPr>
                  <m:e>
                    <m:r>
                      <w:rPr>
                        <w:rFonts w:ascii="Cambria Math" w:eastAsiaTheme="minorEastAsia" w:hAnsi="Cambria Math" w:cs="Arial"/>
                      </w:rPr>
                      <m:t>PQD</m:t>
                    </m:r>
                  </m:e>
                  <m:sub>
                    <m:r>
                      <w:rPr>
                        <w:rFonts w:ascii="Cambria Math" w:eastAsiaTheme="minorEastAsia" w:hAnsi="Cambria Math" w:cs="Arial"/>
                      </w:rPr>
                      <m:t>c</m:t>
                    </m:r>
                  </m:sub>
                </m:sSub>
                <m:r>
                  <w:rPr>
                    <w:rFonts w:ascii="Cambria Math" w:eastAsiaTheme="minorEastAsia" w:hAnsi="Cambria Math" w:cs="Arial"/>
                  </w:rPr>
                  <m:t>*</m:t>
                </m:r>
                <m:sSub>
                  <m:sSubPr>
                    <m:ctrlPr>
                      <w:rPr>
                        <w:rFonts w:ascii="Cambria Math" w:eastAsiaTheme="minorEastAsia" w:hAnsi="Cambria Math" w:cs="Arial"/>
                        <w:i/>
                      </w:rPr>
                    </m:ctrlPr>
                  </m:sSubPr>
                  <m:e>
                    <m:r>
                      <w:rPr>
                        <w:rFonts w:ascii="Cambria Math" w:eastAsiaTheme="minorEastAsia" w:hAnsi="Cambria Math" w:cs="Arial"/>
                      </w:rPr>
                      <m:t>QINTD</m:t>
                    </m:r>
                  </m:e>
                  <m:sub>
                    <m:r>
                      <w:rPr>
                        <w:rFonts w:ascii="Cambria Math" w:eastAsiaTheme="minorEastAsia" w:hAnsi="Cambria Math" w:cs="Arial"/>
                      </w:rPr>
                      <m:t>c</m:t>
                    </m:r>
                  </m:sub>
                </m:sSub>
                <m:r>
                  <w:rPr>
                    <w:rFonts w:ascii="Cambria Math" w:eastAsiaTheme="minorEastAsia" w:hAnsi="Cambria Math" w:cs="Arial"/>
                  </w:rPr>
                  <m:t>)</m:t>
                </m:r>
              </m:oMath>
            </m:oMathPara>
          </w:p>
        </w:tc>
        <w:tc>
          <w:tcPr>
            <w:tcW w:w="0" w:type="auto"/>
            <w:tcBorders>
              <w:top w:val="single" w:sz="4" w:space="0" w:color="auto"/>
              <w:left w:val="nil"/>
              <w:bottom w:val="nil"/>
              <w:right w:val="nil"/>
            </w:tcBorders>
          </w:tcPr>
          <w:p w14:paraId="7B2DEA21" w14:textId="77777777" w:rsidR="000F7773" w:rsidRDefault="000F7773" w:rsidP="00DB0816">
            <w:pPr>
              <w:rPr>
                <w:rFonts w:eastAsiaTheme="minorEastAsia" w:cs="Arial"/>
              </w:rPr>
            </w:pPr>
          </w:p>
        </w:tc>
      </w:tr>
      <w:tr w:rsidR="000F7773" w14:paraId="40E66F68" w14:textId="77777777" w:rsidTr="00700471">
        <w:trPr>
          <w:trHeight w:val="1173"/>
          <w:jc w:val="center"/>
        </w:trPr>
        <w:tc>
          <w:tcPr>
            <w:tcW w:w="0" w:type="auto"/>
            <w:tcBorders>
              <w:top w:val="nil"/>
              <w:left w:val="nil"/>
              <w:bottom w:val="nil"/>
              <w:right w:val="single" w:sz="4" w:space="0" w:color="auto"/>
            </w:tcBorders>
          </w:tcPr>
          <w:p w14:paraId="4D342EE5" w14:textId="77777777" w:rsidR="000F7773" w:rsidRPr="00C22533" w:rsidRDefault="000F7773" w:rsidP="00DB0816">
            <w:pPr>
              <w:rPr>
                <w:rFonts w:ascii="Arial" w:eastAsiaTheme="minorEastAsia" w:cs="Arial"/>
              </w:rPr>
            </w:pPr>
            <w:r w:rsidRPr="00C22533">
              <w:rPr>
                <w:rFonts w:ascii="Arial" w:eastAsiaTheme="minorEastAsia" w:cs="Arial"/>
              </w:rPr>
              <w:t xml:space="preserve">Actividades </w:t>
            </w:r>
          </w:p>
        </w:tc>
        <w:tc>
          <w:tcPr>
            <w:tcW w:w="0" w:type="auto"/>
            <w:tcBorders>
              <w:top w:val="nil"/>
              <w:left w:val="single" w:sz="4" w:space="0" w:color="auto"/>
              <w:bottom w:val="nil"/>
              <w:right w:val="nil"/>
            </w:tcBorders>
          </w:tcPr>
          <w:p w14:paraId="65F7E78C" w14:textId="77777777" w:rsidR="000F7773" w:rsidRPr="00D96DEF" w:rsidRDefault="00FA183A" w:rsidP="00DB0816">
            <w:pPr>
              <w:rPr>
                <w:rFonts w:eastAsiaTheme="minorEastAsia" w:cs="Arial"/>
                <w:i/>
                <w:lang w:val="en-US"/>
              </w:rPr>
            </w:pPr>
            <m:oMathPara>
              <m:oMath>
                <m:sSub>
                  <m:sSubPr>
                    <m:ctrlPr>
                      <w:rPr>
                        <w:rFonts w:ascii="Cambria Math" w:eastAsiaTheme="minorEastAsia" w:hAnsi="Cambria Math" w:cs="Arial"/>
                        <w:i/>
                      </w:rPr>
                    </m:ctrlPr>
                  </m:sSubPr>
                  <m:e>
                    <m:r>
                      <w:rPr>
                        <w:rFonts w:ascii="Cambria Math" w:eastAsiaTheme="minorEastAsia" w:hAnsi="Cambria Math" w:cs="Arial"/>
                      </w:rPr>
                      <m:t>(</m:t>
                    </m:r>
                    <m:r>
                      <w:rPr>
                        <w:rFonts w:ascii="Cambria Math" w:eastAsiaTheme="minorEastAsia" w:hAnsi="Cambria Math" w:cs="Arial"/>
                      </w:rPr>
                      <m:t>PXC</m:t>
                    </m:r>
                  </m:e>
                  <m:sub>
                    <m:r>
                      <w:rPr>
                        <w:rFonts w:ascii="Cambria Math" w:eastAsiaTheme="minorEastAsia" w:hAnsi="Cambria Math" w:cs="Arial"/>
                      </w:rPr>
                      <m:t>c</m:t>
                    </m:r>
                  </m:sub>
                </m:sSub>
                <m:r>
                  <w:rPr>
                    <w:rFonts w:ascii="Cambria Math" w:eastAsiaTheme="minorEastAsia" w:hAnsi="Cambria Math" w:cs="Arial"/>
                    <w:lang w:val="en-US"/>
                  </w:rPr>
                  <m:t>*</m:t>
                </m:r>
                <m:sSub>
                  <m:sSubPr>
                    <m:ctrlPr>
                      <w:rPr>
                        <w:rFonts w:ascii="Cambria Math" w:eastAsiaTheme="minorEastAsia" w:hAnsi="Cambria Math" w:cs="Arial"/>
                        <w:i/>
                        <w:lang w:val="en-US"/>
                      </w:rPr>
                    </m:ctrlPr>
                  </m:sSubPr>
                  <m:e>
                    <m:r>
                      <w:rPr>
                        <w:rFonts w:ascii="Cambria Math" w:eastAsiaTheme="minorEastAsia" w:hAnsi="Cambria Math" w:cs="Arial"/>
                        <w:lang w:val="en-US"/>
                      </w:rPr>
                      <m:t>QXC</m:t>
                    </m:r>
                  </m:e>
                  <m:sub>
                    <m:r>
                      <w:rPr>
                        <w:rFonts w:ascii="Cambria Math" w:eastAsiaTheme="minorEastAsia" w:hAnsi="Cambria Math" w:cs="Arial"/>
                        <w:lang w:val="en-US"/>
                      </w:rPr>
                      <m:t>c</m:t>
                    </m:r>
                  </m:sub>
                </m:sSub>
                <m:r>
                  <w:rPr>
                    <w:rFonts w:ascii="Cambria Math" w:eastAsiaTheme="minorEastAsia" w:hAnsi="Cambria Math" w:cs="Arial"/>
                    <w:lang w:val="en-US"/>
                  </w:rPr>
                  <m:t>)</m:t>
                </m:r>
              </m:oMath>
            </m:oMathPara>
          </w:p>
          <w:p w14:paraId="727AD653" w14:textId="77777777" w:rsidR="000F7773" w:rsidRPr="000F2C37" w:rsidRDefault="000F7773" w:rsidP="00DB0816">
            <w:pPr>
              <w:rPr>
                <w:rFonts w:eastAsiaTheme="minorEastAsia" w:cs="Arial"/>
                <w:i/>
                <w:lang w:val="en-US"/>
              </w:rPr>
            </w:pPr>
            <m:oMathPara>
              <m:oMath>
                <m:r>
                  <w:rPr>
                    <w:rFonts w:ascii="Cambria Math" w:eastAsiaTheme="minorEastAsia" w:hAnsi="Cambria Math" w:cs="Arial"/>
                  </w:rPr>
                  <m:t>(</m:t>
                </m:r>
                <m:sSub>
                  <m:sSubPr>
                    <m:ctrlPr>
                      <w:rPr>
                        <w:rFonts w:ascii="Cambria Math" w:eastAsiaTheme="minorEastAsia" w:hAnsi="Cambria Math" w:cs="Arial"/>
                        <w:i/>
                      </w:rPr>
                    </m:ctrlPr>
                  </m:sSubPr>
                  <m:e>
                    <m:r>
                      <w:rPr>
                        <w:rFonts w:ascii="Cambria Math" w:eastAsiaTheme="minorEastAsia" w:hAnsi="Cambria Math" w:cs="Arial"/>
                      </w:rPr>
                      <m:t>PX</m:t>
                    </m:r>
                  </m:e>
                  <m:sub>
                    <m:r>
                      <w:rPr>
                        <w:rFonts w:ascii="Cambria Math" w:eastAsiaTheme="minorEastAsia" w:hAnsi="Cambria Math" w:cs="Arial"/>
                      </w:rPr>
                      <m:t>a</m:t>
                    </m:r>
                  </m:sub>
                </m:sSub>
                <m:r>
                  <w:rPr>
                    <w:rFonts w:ascii="Cambria Math" w:eastAsiaTheme="minorEastAsia" w:hAnsi="Cambria Math" w:cs="Arial"/>
                    <w:lang w:val="en-US"/>
                  </w:rPr>
                  <m:t>*</m:t>
                </m:r>
                <m:sSub>
                  <m:sSubPr>
                    <m:ctrlPr>
                      <w:rPr>
                        <w:rFonts w:ascii="Cambria Math" w:eastAsiaTheme="minorEastAsia" w:hAnsi="Cambria Math" w:cs="Arial"/>
                        <w:i/>
                        <w:lang w:val="en-US"/>
                      </w:rPr>
                    </m:ctrlPr>
                  </m:sSubPr>
                  <m:e>
                    <m:r>
                      <w:rPr>
                        <w:rFonts w:ascii="Cambria Math" w:eastAsiaTheme="minorEastAsia" w:hAnsi="Cambria Math" w:cs="Arial"/>
                        <w:lang w:val="en-US"/>
                      </w:rPr>
                      <m:t>QX</m:t>
                    </m:r>
                  </m:e>
                  <m:sub>
                    <m:r>
                      <w:rPr>
                        <w:rFonts w:ascii="Cambria Math" w:eastAsiaTheme="minorEastAsia" w:hAnsi="Cambria Math" w:cs="Arial"/>
                        <w:lang w:val="en-US"/>
                      </w:rPr>
                      <m:t>a</m:t>
                    </m:r>
                  </m:sub>
                </m:sSub>
                <m:r>
                  <w:rPr>
                    <w:rFonts w:ascii="Cambria Math" w:eastAsiaTheme="minorEastAsia" w:hAnsi="Cambria Math" w:cs="Arial"/>
                    <w:lang w:val="en-US"/>
                  </w:rPr>
                  <m:t>)</m:t>
                </m:r>
              </m:oMath>
            </m:oMathPara>
          </w:p>
        </w:tc>
        <w:tc>
          <w:tcPr>
            <w:tcW w:w="0" w:type="auto"/>
            <w:tcBorders>
              <w:top w:val="nil"/>
              <w:left w:val="nil"/>
              <w:bottom w:val="nil"/>
              <w:right w:val="nil"/>
            </w:tcBorders>
          </w:tcPr>
          <w:p w14:paraId="6D7D20A4" w14:textId="77777777" w:rsidR="000F7773" w:rsidRDefault="000F7773" w:rsidP="00DB0816">
            <w:pPr>
              <w:rPr>
                <w:rFonts w:eastAsiaTheme="minorEastAsia" w:cs="Arial"/>
              </w:rPr>
            </w:pPr>
          </w:p>
        </w:tc>
        <w:tc>
          <w:tcPr>
            <w:tcW w:w="0" w:type="auto"/>
            <w:tcBorders>
              <w:top w:val="nil"/>
              <w:left w:val="nil"/>
              <w:bottom w:val="nil"/>
              <w:right w:val="nil"/>
            </w:tcBorders>
          </w:tcPr>
          <w:p w14:paraId="745A2265" w14:textId="77777777" w:rsidR="000F7773" w:rsidRDefault="000F7773" w:rsidP="00DB0816">
            <w:pPr>
              <w:rPr>
                <w:rFonts w:eastAsiaTheme="minorEastAsia" w:cs="Arial"/>
              </w:rPr>
            </w:pPr>
          </w:p>
        </w:tc>
      </w:tr>
      <w:tr w:rsidR="000F7773" w14:paraId="5DD58D37" w14:textId="77777777" w:rsidTr="00700471">
        <w:trPr>
          <w:trHeight w:val="569"/>
          <w:jc w:val="center"/>
        </w:trPr>
        <w:tc>
          <w:tcPr>
            <w:tcW w:w="0" w:type="auto"/>
            <w:tcBorders>
              <w:top w:val="nil"/>
              <w:left w:val="nil"/>
              <w:bottom w:val="nil"/>
              <w:right w:val="single" w:sz="4" w:space="0" w:color="auto"/>
            </w:tcBorders>
          </w:tcPr>
          <w:p w14:paraId="634CC637" w14:textId="77777777" w:rsidR="000F7773" w:rsidRPr="00C22533" w:rsidRDefault="000F7773" w:rsidP="00DB0816">
            <w:pPr>
              <w:rPr>
                <w:rFonts w:ascii="Arial" w:eastAsiaTheme="minorEastAsia" w:cs="Arial"/>
              </w:rPr>
            </w:pPr>
            <w:r w:rsidRPr="00C22533">
              <w:rPr>
                <w:rFonts w:ascii="Arial" w:eastAsiaTheme="minorEastAsia" w:cs="Arial"/>
              </w:rPr>
              <w:t>Factores</w:t>
            </w:r>
          </w:p>
        </w:tc>
        <w:tc>
          <w:tcPr>
            <w:tcW w:w="0" w:type="auto"/>
            <w:tcBorders>
              <w:top w:val="nil"/>
              <w:left w:val="single" w:sz="4" w:space="0" w:color="auto"/>
              <w:bottom w:val="nil"/>
              <w:right w:val="nil"/>
            </w:tcBorders>
          </w:tcPr>
          <w:p w14:paraId="135D193B" w14:textId="77777777" w:rsidR="000F7773" w:rsidRDefault="000F7773" w:rsidP="00DB0816">
            <w:pPr>
              <w:rPr>
                <w:rFonts w:eastAsiaTheme="minorEastAsia" w:cs="Arial"/>
              </w:rPr>
            </w:pPr>
          </w:p>
        </w:tc>
        <w:tc>
          <w:tcPr>
            <w:tcW w:w="0" w:type="auto"/>
            <w:tcBorders>
              <w:top w:val="nil"/>
              <w:left w:val="nil"/>
              <w:bottom w:val="nil"/>
              <w:right w:val="nil"/>
            </w:tcBorders>
          </w:tcPr>
          <w:p w14:paraId="759D9976" w14:textId="77777777" w:rsidR="000F7773" w:rsidRDefault="000F7773" w:rsidP="00DB0816">
            <w:pPr>
              <w:rPr>
                <w:rFonts w:eastAsiaTheme="minorEastAsia" w:cs="Arial"/>
              </w:rPr>
            </w:pPr>
            <m:oMathPara>
              <m:oMath>
                <m:r>
                  <w:rPr>
                    <w:rFonts w:ascii="Cambria Math" w:eastAsiaTheme="minorEastAsia" w:hAnsi="Cambria Math" w:cs="Arial"/>
                  </w:rPr>
                  <m:t>(</m:t>
                </m:r>
                <m:sSub>
                  <m:sSubPr>
                    <m:ctrlPr>
                      <w:rPr>
                        <w:rFonts w:ascii="Cambria Math" w:eastAsiaTheme="minorEastAsia" w:hAnsi="Cambria Math" w:cs="Arial"/>
                        <w:i/>
                      </w:rPr>
                    </m:ctrlPr>
                  </m:sSubPr>
                  <m:e>
                    <m:r>
                      <w:rPr>
                        <w:rFonts w:ascii="Cambria Math" w:eastAsiaTheme="minorEastAsia" w:hAnsi="Cambria Math" w:cs="Arial"/>
                      </w:rPr>
                      <m:t>WF</m:t>
                    </m:r>
                  </m:e>
                  <m:sub>
                    <m:r>
                      <w:rPr>
                        <w:rFonts w:ascii="Cambria Math" w:eastAsiaTheme="minorEastAsia" w:hAnsi="Cambria Math" w:cs="Arial"/>
                      </w:rPr>
                      <m:t>f</m:t>
                    </m:r>
                  </m:sub>
                </m:sSub>
                <m:r>
                  <w:rPr>
                    <w:rFonts w:ascii="Cambria Math" w:eastAsiaTheme="minorEastAsia" w:hAnsi="Cambria Math" w:cs="Arial"/>
                  </w:rPr>
                  <m:t>*</m:t>
                </m:r>
                <m:sSub>
                  <m:sSubPr>
                    <m:ctrlPr>
                      <w:rPr>
                        <w:rFonts w:ascii="Cambria Math" w:eastAsiaTheme="minorEastAsia" w:hAnsi="Cambria Math" w:cs="Arial"/>
                        <w:i/>
                      </w:rPr>
                    </m:ctrlPr>
                  </m:sSubPr>
                  <m:e>
                    <m:r>
                      <w:rPr>
                        <w:rFonts w:ascii="Cambria Math" w:eastAsiaTheme="minorEastAsia" w:hAnsi="Cambria Math" w:cs="Arial"/>
                      </w:rPr>
                      <m:t>FD</m:t>
                    </m:r>
                  </m:e>
                  <m:sub>
                    <m:r>
                      <w:rPr>
                        <w:rFonts w:ascii="Cambria Math" w:eastAsiaTheme="minorEastAsia" w:hAnsi="Cambria Math" w:cs="Arial"/>
                      </w:rPr>
                      <m:t>f,a</m:t>
                    </m:r>
                  </m:sub>
                </m:sSub>
                <m:r>
                  <w:rPr>
                    <w:rFonts w:ascii="Cambria Math" w:eastAsiaTheme="minorEastAsia" w:hAnsi="Cambria Math" w:cs="Arial"/>
                  </w:rPr>
                  <m:t>)</m:t>
                </m:r>
              </m:oMath>
            </m:oMathPara>
          </w:p>
        </w:tc>
        <w:tc>
          <w:tcPr>
            <w:tcW w:w="0" w:type="auto"/>
            <w:tcBorders>
              <w:top w:val="nil"/>
              <w:left w:val="nil"/>
              <w:bottom w:val="nil"/>
              <w:right w:val="nil"/>
            </w:tcBorders>
          </w:tcPr>
          <w:p w14:paraId="3A154A70" w14:textId="77777777" w:rsidR="000F7773" w:rsidRDefault="000F7773" w:rsidP="00DB0816">
            <w:pPr>
              <w:rPr>
                <w:rFonts w:eastAsiaTheme="minorEastAsia" w:cs="Arial"/>
              </w:rPr>
            </w:pPr>
          </w:p>
        </w:tc>
      </w:tr>
      <w:tr w:rsidR="000F7773" w14:paraId="32731B22" w14:textId="77777777" w:rsidTr="00700471">
        <w:trPr>
          <w:trHeight w:val="569"/>
          <w:jc w:val="center"/>
        </w:trPr>
        <w:tc>
          <w:tcPr>
            <w:tcW w:w="0" w:type="auto"/>
            <w:tcBorders>
              <w:top w:val="nil"/>
              <w:left w:val="nil"/>
              <w:bottom w:val="nil"/>
              <w:right w:val="single" w:sz="4" w:space="0" w:color="auto"/>
            </w:tcBorders>
          </w:tcPr>
          <w:p w14:paraId="649771B6" w14:textId="77777777" w:rsidR="000F7773" w:rsidRPr="00C22533" w:rsidRDefault="000F7773" w:rsidP="00DB0816">
            <w:pPr>
              <w:rPr>
                <w:rFonts w:ascii="Arial" w:eastAsiaTheme="minorEastAsia" w:cs="Arial"/>
              </w:rPr>
            </w:pPr>
            <w:r w:rsidRPr="00C22533">
              <w:rPr>
                <w:rFonts w:ascii="Arial" w:eastAsiaTheme="minorEastAsia" w:cs="Arial"/>
              </w:rPr>
              <w:t xml:space="preserve">Hogares </w:t>
            </w:r>
          </w:p>
        </w:tc>
        <w:tc>
          <w:tcPr>
            <w:tcW w:w="0" w:type="auto"/>
            <w:tcBorders>
              <w:top w:val="nil"/>
              <w:left w:val="single" w:sz="4" w:space="0" w:color="auto"/>
              <w:bottom w:val="nil"/>
              <w:right w:val="nil"/>
            </w:tcBorders>
          </w:tcPr>
          <w:p w14:paraId="20F24130" w14:textId="77777777" w:rsidR="000F7773" w:rsidRDefault="000F7773" w:rsidP="00DB0816">
            <w:pPr>
              <w:rPr>
                <w:rFonts w:eastAsiaTheme="minorEastAsia" w:cs="Arial"/>
              </w:rPr>
            </w:pPr>
          </w:p>
        </w:tc>
        <w:tc>
          <w:tcPr>
            <w:tcW w:w="0" w:type="auto"/>
            <w:tcBorders>
              <w:top w:val="nil"/>
              <w:left w:val="nil"/>
              <w:bottom w:val="nil"/>
              <w:right w:val="nil"/>
            </w:tcBorders>
          </w:tcPr>
          <w:p w14:paraId="08BBA1C3" w14:textId="77777777" w:rsidR="000F7773" w:rsidRDefault="000F7773" w:rsidP="00DB0816">
            <w:pPr>
              <w:rPr>
                <w:rFonts w:eastAsiaTheme="minorEastAsia" w:cs="Arial"/>
              </w:rPr>
            </w:pPr>
          </w:p>
        </w:tc>
        <w:tc>
          <w:tcPr>
            <w:tcW w:w="0" w:type="auto"/>
            <w:tcBorders>
              <w:top w:val="nil"/>
              <w:left w:val="nil"/>
              <w:bottom w:val="nil"/>
              <w:right w:val="nil"/>
            </w:tcBorders>
          </w:tcPr>
          <w:p w14:paraId="213968B8" w14:textId="77777777" w:rsidR="000F7773" w:rsidRDefault="00FA183A" w:rsidP="00DB0816">
            <w:pPr>
              <w:rPr>
                <w:rFonts w:eastAsiaTheme="minorEastAsia" w:cs="Arial"/>
              </w:rPr>
            </w:pPr>
            <m:oMathPara>
              <m:oMath>
                <m:nary>
                  <m:naryPr>
                    <m:chr m:val="∑"/>
                    <m:limLoc m:val="subSup"/>
                    <m:supHide m:val="1"/>
                    <m:ctrlPr>
                      <w:rPr>
                        <w:rFonts w:ascii="Cambria Math" w:eastAsiaTheme="minorEastAsia" w:hAnsi="Cambria Math" w:cs="Arial"/>
                        <w:i/>
                      </w:rPr>
                    </m:ctrlPr>
                  </m:naryPr>
                  <m:sub>
                    <m:r>
                      <w:rPr>
                        <w:rFonts w:ascii="Cambria Math" w:eastAsiaTheme="minorEastAsia" w:hAnsi="Cambria Math" w:cs="Arial"/>
                      </w:rPr>
                      <m:t>f</m:t>
                    </m:r>
                  </m:sub>
                  <m:sup/>
                  <m:e>
                    <m:sSub>
                      <m:sSubPr>
                        <m:ctrlPr>
                          <w:rPr>
                            <w:rFonts w:ascii="Cambria Math" w:eastAsiaTheme="minorEastAsia" w:hAnsi="Cambria Math" w:cs="Arial"/>
                            <w:i/>
                          </w:rPr>
                        </m:ctrlPr>
                      </m:sSubPr>
                      <m:e>
                        <m:r>
                          <w:rPr>
                            <w:rFonts w:ascii="Cambria Math" w:eastAsiaTheme="minorEastAsia" w:hAnsi="Cambria Math" w:cs="Arial"/>
                          </w:rPr>
                          <m:t>h</m:t>
                        </m:r>
                        <m:r>
                          <w:rPr>
                            <w:rFonts w:ascii="Cambria Math" w:eastAsiaTheme="minorEastAsia" w:hAnsi="Cambria Math" w:cs="Arial"/>
                          </w:rPr>
                          <m:t>ovas</m:t>
                        </m:r>
                        <m:r>
                          <w:rPr>
                            <w:rFonts w:ascii="Cambria Math" w:eastAsiaTheme="minorEastAsia" w:hAnsi="Cambria Math" w:cs="Arial"/>
                          </w:rPr>
                          <m:t>h</m:t>
                        </m:r>
                      </m:e>
                      <m:sub>
                        <m:r>
                          <w:rPr>
                            <w:rFonts w:ascii="Cambria Math" w:eastAsiaTheme="minorEastAsia" w:hAnsi="Cambria Math" w:cs="Arial"/>
                          </w:rPr>
                          <m:t>h</m:t>
                        </m:r>
                        <m:r>
                          <w:rPr>
                            <w:rFonts w:ascii="Cambria Math" w:eastAsiaTheme="minorEastAsia" w:hAnsi="Cambria Math" w:cs="Arial"/>
                          </w:rPr>
                          <m:t>,</m:t>
                        </m:r>
                        <m:r>
                          <w:rPr>
                            <w:rFonts w:ascii="Cambria Math" w:eastAsiaTheme="minorEastAsia" w:hAnsi="Cambria Math" w:cs="Arial"/>
                          </w:rPr>
                          <m:t>f</m:t>
                        </m:r>
                      </m:sub>
                    </m:sSub>
                  </m:e>
                </m:nary>
              </m:oMath>
            </m:oMathPara>
          </w:p>
        </w:tc>
      </w:tr>
      <w:tr w:rsidR="000F7773" w14:paraId="7A6F1FEB" w14:textId="77777777" w:rsidTr="00700471">
        <w:trPr>
          <w:trHeight w:val="579"/>
          <w:jc w:val="center"/>
        </w:trPr>
        <w:tc>
          <w:tcPr>
            <w:tcW w:w="0" w:type="auto"/>
            <w:tcBorders>
              <w:top w:val="nil"/>
              <w:left w:val="nil"/>
              <w:bottom w:val="nil"/>
              <w:right w:val="single" w:sz="4" w:space="0" w:color="auto"/>
            </w:tcBorders>
          </w:tcPr>
          <w:p w14:paraId="04E4BB5A" w14:textId="77777777" w:rsidR="000F7773" w:rsidRPr="00C22533" w:rsidRDefault="000F7773" w:rsidP="00DB0816">
            <w:pPr>
              <w:rPr>
                <w:rFonts w:ascii="Arial" w:eastAsiaTheme="minorEastAsia" w:cs="Arial"/>
              </w:rPr>
            </w:pPr>
            <w:r w:rsidRPr="00C22533">
              <w:rPr>
                <w:rFonts w:ascii="Arial" w:eastAsiaTheme="minorEastAsia" w:cs="Arial"/>
              </w:rPr>
              <w:t>Empresas</w:t>
            </w:r>
          </w:p>
        </w:tc>
        <w:tc>
          <w:tcPr>
            <w:tcW w:w="0" w:type="auto"/>
            <w:tcBorders>
              <w:top w:val="nil"/>
              <w:left w:val="single" w:sz="4" w:space="0" w:color="auto"/>
              <w:bottom w:val="nil"/>
              <w:right w:val="nil"/>
            </w:tcBorders>
          </w:tcPr>
          <w:p w14:paraId="55F4108F" w14:textId="77777777" w:rsidR="000F7773" w:rsidRDefault="000F7773" w:rsidP="00DB0816">
            <w:pPr>
              <w:rPr>
                <w:rFonts w:eastAsiaTheme="minorEastAsia" w:cs="Arial"/>
              </w:rPr>
            </w:pPr>
          </w:p>
        </w:tc>
        <w:tc>
          <w:tcPr>
            <w:tcW w:w="0" w:type="auto"/>
            <w:tcBorders>
              <w:top w:val="nil"/>
              <w:left w:val="nil"/>
              <w:bottom w:val="nil"/>
              <w:right w:val="nil"/>
            </w:tcBorders>
          </w:tcPr>
          <w:p w14:paraId="0F2C25E1" w14:textId="77777777" w:rsidR="000F7773" w:rsidRDefault="000F7773" w:rsidP="00DB0816">
            <w:pPr>
              <w:rPr>
                <w:rFonts w:eastAsiaTheme="minorEastAsia" w:cs="Arial"/>
              </w:rPr>
            </w:pPr>
          </w:p>
        </w:tc>
        <w:tc>
          <w:tcPr>
            <w:tcW w:w="0" w:type="auto"/>
            <w:tcBorders>
              <w:top w:val="nil"/>
              <w:left w:val="nil"/>
              <w:bottom w:val="nil"/>
              <w:right w:val="nil"/>
            </w:tcBorders>
          </w:tcPr>
          <w:p w14:paraId="2BB5D9BE" w14:textId="77777777" w:rsidR="000F7773" w:rsidRDefault="00FA183A" w:rsidP="00DB0816">
            <w:pPr>
              <w:rPr>
                <w:rFonts w:eastAsiaTheme="minorEastAsia" w:cs="Arial"/>
              </w:rPr>
            </w:pPr>
            <m:oMathPara>
              <m:oMath>
                <m:nary>
                  <m:naryPr>
                    <m:chr m:val="∑"/>
                    <m:limLoc m:val="subSup"/>
                    <m:supHide m:val="1"/>
                    <m:ctrlPr>
                      <w:rPr>
                        <w:rFonts w:ascii="Cambria Math" w:eastAsiaTheme="minorEastAsia" w:hAnsi="Cambria Math" w:cs="Arial"/>
                        <w:i/>
                      </w:rPr>
                    </m:ctrlPr>
                  </m:naryPr>
                  <m:sub>
                    <m:r>
                      <w:rPr>
                        <w:rFonts w:ascii="Cambria Math" w:eastAsiaTheme="minorEastAsia" w:hAnsi="Cambria Math" w:cs="Arial"/>
                      </w:rPr>
                      <m:t>f</m:t>
                    </m:r>
                  </m:sub>
                  <m:sup/>
                  <m:e>
                    <m:sSub>
                      <m:sSubPr>
                        <m:ctrlPr>
                          <w:rPr>
                            <w:rFonts w:ascii="Cambria Math" w:eastAsiaTheme="minorEastAsia" w:hAnsi="Cambria Math" w:cs="Arial"/>
                            <w:i/>
                          </w:rPr>
                        </m:ctrlPr>
                      </m:sSubPr>
                      <m:e>
                        <m:r>
                          <w:rPr>
                            <w:rFonts w:ascii="Cambria Math" w:eastAsiaTheme="minorEastAsia" w:hAnsi="Cambria Math" w:cs="Arial"/>
                          </w:rPr>
                          <m:t>entvas</m:t>
                        </m:r>
                        <m:r>
                          <w:rPr>
                            <w:rFonts w:ascii="Cambria Math" w:eastAsiaTheme="minorEastAsia" w:hAnsi="Cambria Math" w:cs="Arial"/>
                          </w:rPr>
                          <m:t>h</m:t>
                        </m:r>
                      </m:e>
                      <m:sub>
                        <m:r>
                          <w:rPr>
                            <w:rFonts w:ascii="Cambria Math" w:eastAsiaTheme="minorEastAsia" w:hAnsi="Cambria Math" w:cs="Arial"/>
                          </w:rPr>
                          <m:t>e</m:t>
                        </m:r>
                        <m:r>
                          <w:rPr>
                            <w:rFonts w:ascii="Cambria Math" w:eastAsiaTheme="minorEastAsia" w:hAnsi="Cambria Math" w:cs="Arial"/>
                          </w:rPr>
                          <m:t>,</m:t>
                        </m:r>
                        <m:r>
                          <w:rPr>
                            <w:rFonts w:ascii="Cambria Math" w:eastAsiaTheme="minorEastAsia" w:hAnsi="Cambria Math" w:cs="Arial"/>
                          </w:rPr>
                          <m:t>f</m:t>
                        </m:r>
                      </m:sub>
                    </m:sSub>
                  </m:e>
                </m:nary>
              </m:oMath>
            </m:oMathPara>
          </w:p>
        </w:tc>
      </w:tr>
      <w:tr w:rsidR="000F7773" w14:paraId="62231BA9" w14:textId="77777777" w:rsidTr="00700471">
        <w:trPr>
          <w:trHeight w:val="1162"/>
          <w:jc w:val="center"/>
        </w:trPr>
        <w:tc>
          <w:tcPr>
            <w:tcW w:w="0" w:type="auto"/>
            <w:tcBorders>
              <w:top w:val="nil"/>
              <w:left w:val="nil"/>
              <w:bottom w:val="nil"/>
              <w:right w:val="single" w:sz="4" w:space="0" w:color="auto"/>
            </w:tcBorders>
          </w:tcPr>
          <w:p w14:paraId="142868AB" w14:textId="77777777" w:rsidR="000F7773" w:rsidRPr="00C22533" w:rsidRDefault="000F7773" w:rsidP="00DB0816">
            <w:pPr>
              <w:rPr>
                <w:rFonts w:ascii="Arial" w:eastAsiaTheme="minorEastAsia" w:cs="Arial"/>
              </w:rPr>
            </w:pPr>
            <w:r w:rsidRPr="00C22533">
              <w:rPr>
                <w:rFonts w:ascii="Arial" w:eastAsiaTheme="minorEastAsia" w:cs="Arial"/>
              </w:rPr>
              <w:t>Gobierno</w:t>
            </w:r>
          </w:p>
        </w:tc>
        <w:tc>
          <w:tcPr>
            <w:tcW w:w="0" w:type="auto"/>
            <w:tcBorders>
              <w:top w:val="nil"/>
              <w:left w:val="single" w:sz="4" w:space="0" w:color="auto"/>
              <w:bottom w:val="nil"/>
              <w:right w:val="nil"/>
            </w:tcBorders>
          </w:tcPr>
          <w:p w14:paraId="6D4429FB" w14:textId="77777777" w:rsidR="000F7773" w:rsidRPr="00F5781F" w:rsidRDefault="000F7773" w:rsidP="00DB0816">
            <w:pPr>
              <w:rPr>
                <w:rFonts w:eastAsiaTheme="minorEastAsia" w:cs="Arial"/>
              </w:rPr>
            </w:pPr>
            <m:oMathPara>
              <m:oMath>
                <m:r>
                  <w:rPr>
                    <w:rFonts w:ascii="Cambria Math" w:eastAsiaTheme="minorEastAsia" w:hAnsi="Cambria Math" w:cs="Arial"/>
                  </w:rPr>
                  <m:t>(</m:t>
                </m:r>
                <m:sSub>
                  <m:sSubPr>
                    <m:ctrlPr>
                      <w:rPr>
                        <w:rFonts w:ascii="Cambria Math" w:eastAsiaTheme="minorEastAsia" w:hAnsi="Cambria Math" w:cs="Arial"/>
                        <w:i/>
                      </w:rPr>
                    </m:ctrlPr>
                  </m:sSubPr>
                  <m:e>
                    <m:r>
                      <w:rPr>
                        <w:rFonts w:ascii="Cambria Math" w:eastAsiaTheme="minorEastAsia" w:hAnsi="Cambria Math" w:cs="Arial"/>
                      </w:rPr>
                      <m:t>TM</m:t>
                    </m:r>
                  </m:e>
                  <m:sub>
                    <m:r>
                      <w:rPr>
                        <w:rFonts w:ascii="Cambria Math" w:eastAsiaTheme="minorEastAsia" w:hAnsi="Cambria Math" w:cs="Arial"/>
                      </w:rPr>
                      <m:t>c</m:t>
                    </m:r>
                  </m:sub>
                </m:sSub>
                <m:r>
                  <w:rPr>
                    <w:rFonts w:ascii="Cambria Math" w:eastAsiaTheme="minorEastAsia" w:hAnsi="Cambria Math" w:cs="Arial"/>
                  </w:rPr>
                  <m:t>*</m:t>
                </m:r>
                <m:sSub>
                  <m:sSubPr>
                    <m:ctrlPr>
                      <w:rPr>
                        <w:rFonts w:ascii="Cambria Math" w:eastAsiaTheme="minorEastAsia" w:hAnsi="Cambria Math" w:cs="Arial"/>
                        <w:i/>
                      </w:rPr>
                    </m:ctrlPr>
                  </m:sSubPr>
                  <m:e>
                    <m:r>
                      <w:rPr>
                        <w:rFonts w:ascii="Cambria Math" w:eastAsiaTheme="minorEastAsia" w:hAnsi="Cambria Math" w:cs="Arial"/>
                      </w:rPr>
                      <m:t>PWM</m:t>
                    </m:r>
                  </m:e>
                  <m:sub>
                    <m:r>
                      <w:rPr>
                        <w:rFonts w:ascii="Cambria Math" w:eastAsiaTheme="minorEastAsia" w:hAnsi="Cambria Math" w:cs="Arial"/>
                      </w:rPr>
                      <m:t>c</m:t>
                    </m:r>
                  </m:sub>
                </m:sSub>
                <m:r>
                  <w:rPr>
                    <w:rFonts w:ascii="Cambria Math" w:eastAsiaTheme="minorEastAsia" w:hAnsi="Cambria Math" w:cs="Arial"/>
                  </w:rPr>
                  <m:t>*</m:t>
                </m:r>
                <m:sSub>
                  <m:sSubPr>
                    <m:ctrlPr>
                      <w:rPr>
                        <w:rFonts w:ascii="Cambria Math" w:eastAsiaTheme="minorEastAsia" w:hAnsi="Cambria Math" w:cs="Arial"/>
                        <w:i/>
                      </w:rPr>
                    </m:ctrlPr>
                  </m:sSubPr>
                  <m:e>
                    <m:r>
                      <w:rPr>
                        <w:rFonts w:ascii="Cambria Math" w:eastAsiaTheme="minorEastAsia" w:hAnsi="Cambria Math" w:cs="Arial"/>
                      </w:rPr>
                      <m:t>QM</m:t>
                    </m:r>
                  </m:e>
                  <m:sub>
                    <m:r>
                      <w:rPr>
                        <w:rFonts w:ascii="Cambria Math" w:eastAsiaTheme="minorEastAsia" w:hAnsi="Cambria Math" w:cs="Arial"/>
                      </w:rPr>
                      <m:t>c</m:t>
                    </m:r>
                  </m:sub>
                </m:sSub>
                <m:r>
                  <w:rPr>
                    <w:rFonts w:ascii="Cambria Math" w:eastAsiaTheme="minorEastAsia" w:hAnsi="Cambria Math" w:cs="Arial"/>
                  </w:rPr>
                  <m:t>*ER)</m:t>
                </m:r>
              </m:oMath>
            </m:oMathPara>
          </w:p>
          <w:p w14:paraId="6B0B756C" w14:textId="77777777" w:rsidR="000F7773" w:rsidRPr="00F5781F" w:rsidRDefault="000F7773" w:rsidP="00DB0816">
            <w:pPr>
              <w:rPr>
                <w:rFonts w:eastAsiaTheme="minorEastAsia" w:cs="Arial"/>
              </w:rPr>
            </w:pPr>
            <m:oMathPara>
              <m:oMath>
                <m:r>
                  <w:rPr>
                    <w:rFonts w:ascii="Cambria Math" w:eastAsiaTheme="minorEastAsia" w:hAnsi="Cambria Math" w:cs="Arial"/>
                  </w:rPr>
                  <m:t>(</m:t>
                </m:r>
                <m:sSub>
                  <m:sSubPr>
                    <m:ctrlPr>
                      <w:rPr>
                        <w:rFonts w:ascii="Cambria Math" w:eastAsiaTheme="minorEastAsia" w:hAnsi="Cambria Math" w:cs="Arial"/>
                        <w:i/>
                      </w:rPr>
                    </m:ctrlPr>
                  </m:sSubPr>
                  <m:e>
                    <m:r>
                      <w:rPr>
                        <w:rFonts w:ascii="Cambria Math" w:eastAsiaTheme="minorEastAsia" w:hAnsi="Cambria Math" w:cs="Arial"/>
                      </w:rPr>
                      <m:t>TE</m:t>
                    </m:r>
                  </m:e>
                  <m:sub>
                    <m:r>
                      <w:rPr>
                        <w:rFonts w:ascii="Cambria Math" w:eastAsiaTheme="minorEastAsia" w:hAnsi="Cambria Math" w:cs="Arial"/>
                      </w:rPr>
                      <m:t>c</m:t>
                    </m:r>
                  </m:sub>
                </m:sSub>
                <m:r>
                  <w:rPr>
                    <w:rFonts w:ascii="Cambria Math" w:eastAsiaTheme="minorEastAsia" w:hAnsi="Cambria Math" w:cs="Arial"/>
                  </w:rPr>
                  <m:t>*</m:t>
                </m:r>
                <m:sSub>
                  <m:sSubPr>
                    <m:ctrlPr>
                      <w:rPr>
                        <w:rFonts w:ascii="Cambria Math" w:eastAsiaTheme="minorEastAsia" w:hAnsi="Cambria Math" w:cs="Arial"/>
                        <w:i/>
                      </w:rPr>
                    </m:ctrlPr>
                  </m:sSubPr>
                  <m:e>
                    <m:r>
                      <w:rPr>
                        <w:rFonts w:ascii="Cambria Math" w:eastAsiaTheme="minorEastAsia" w:hAnsi="Cambria Math" w:cs="Arial"/>
                      </w:rPr>
                      <m:t>PWE</m:t>
                    </m:r>
                  </m:e>
                  <m:sub>
                    <m:r>
                      <w:rPr>
                        <w:rFonts w:ascii="Cambria Math" w:eastAsiaTheme="minorEastAsia" w:hAnsi="Cambria Math" w:cs="Arial"/>
                      </w:rPr>
                      <m:t>c</m:t>
                    </m:r>
                  </m:sub>
                </m:sSub>
                <m:r>
                  <w:rPr>
                    <w:rFonts w:ascii="Cambria Math" w:eastAsiaTheme="minorEastAsia" w:hAnsi="Cambria Math" w:cs="Arial"/>
                  </w:rPr>
                  <m:t>*</m:t>
                </m:r>
                <m:sSub>
                  <m:sSubPr>
                    <m:ctrlPr>
                      <w:rPr>
                        <w:rFonts w:ascii="Cambria Math" w:eastAsiaTheme="minorEastAsia" w:hAnsi="Cambria Math" w:cs="Arial"/>
                        <w:i/>
                      </w:rPr>
                    </m:ctrlPr>
                  </m:sSubPr>
                  <m:e>
                    <m:r>
                      <w:rPr>
                        <w:rFonts w:ascii="Cambria Math" w:eastAsiaTheme="minorEastAsia" w:hAnsi="Cambria Math" w:cs="Arial"/>
                      </w:rPr>
                      <m:t>QE</m:t>
                    </m:r>
                  </m:e>
                  <m:sub>
                    <m:r>
                      <w:rPr>
                        <w:rFonts w:ascii="Cambria Math" w:eastAsiaTheme="minorEastAsia" w:hAnsi="Cambria Math" w:cs="Arial"/>
                      </w:rPr>
                      <m:t>c</m:t>
                    </m:r>
                  </m:sub>
                </m:sSub>
                <m:r>
                  <w:rPr>
                    <w:rFonts w:ascii="Cambria Math" w:eastAsiaTheme="minorEastAsia" w:hAnsi="Cambria Math" w:cs="Arial"/>
                  </w:rPr>
                  <m:t>*ER)</m:t>
                </m:r>
              </m:oMath>
            </m:oMathPara>
          </w:p>
          <w:p w14:paraId="31A49829" w14:textId="77777777" w:rsidR="000F7773" w:rsidRPr="00F5781F" w:rsidRDefault="000F7773" w:rsidP="00DB0816">
            <w:pPr>
              <w:rPr>
                <w:rFonts w:eastAsiaTheme="minorEastAsia" w:cs="Arial"/>
              </w:rPr>
            </w:pPr>
            <m:oMathPara>
              <m:oMath>
                <m:r>
                  <w:rPr>
                    <w:rFonts w:ascii="Cambria Math" w:eastAsiaTheme="minorEastAsia" w:hAnsi="Cambria Math" w:cs="Arial"/>
                  </w:rPr>
                  <m:t>(</m:t>
                </m:r>
                <m:sSub>
                  <m:sSubPr>
                    <m:ctrlPr>
                      <w:rPr>
                        <w:rFonts w:ascii="Cambria Math" w:eastAsiaTheme="minorEastAsia" w:hAnsi="Cambria Math" w:cs="Arial"/>
                        <w:i/>
                      </w:rPr>
                    </m:ctrlPr>
                  </m:sSubPr>
                  <m:e>
                    <m:r>
                      <w:rPr>
                        <w:rFonts w:ascii="Cambria Math" w:eastAsiaTheme="minorEastAsia" w:hAnsi="Cambria Math" w:cs="Arial"/>
                      </w:rPr>
                      <m:t>TS</m:t>
                    </m:r>
                  </m:e>
                  <m:sub>
                    <m:r>
                      <w:rPr>
                        <w:rFonts w:ascii="Cambria Math" w:eastAsiaTheme="minorEastAsia" w:hAnsi="Cambria Math" w:cs="Arial"/>
                      </w:rPr>
                      <m:t>c</m:t>
                    </m:r>
                  </m:sub>
                </m:sSub>
                <m:r>
                  <w:rPr>
                    <w:rFonts w:ascii="Cambria Math" w:eastAsiaTheme="minorEastAsia" w:hAnsi="Cambria Math" w:cs="Arial"/>
                  </w:rPr>
                  <m:t>*</m:t>
                </m:r>
                <m:sSub>
                  <m:sSubPr>
                    <m:ctrlPr>
                      <w:rPr>
                        <w:rFonts w:ascii="Cambria Math" w:eastAsiaTheme="minorEastAsia" w:hAnsi="Cambria Math" w:cs="Arial"/>
                        <w:i/>
                      </w:rPr>
                    </m:ctrlPr>
                  </m:sSubPr>
                  <m:e>
                    <m:r>
                      <w:rPr>
                        <w:rFonts w:ascii="Cambria Math" w:eastAsiaTheme="minorEastAsia" w:hAnsi="Cambria Math" w:cs="Arial"/>
                      </w:rPr>
                      <m:t>PWM</m:t>
                    </m:r>
                  </m:e>
                  <m:sub>
                    <m:r>
                      <w:rPr>
                        <w:rFonts w:ascii="Cambria Math" w:eastAsiaTheme="minorEastAsia" w:hAnsi="Cambria Math" w:cs="Arial"/>
                      </w:rPr>
                      <m:t>c</m:t>
                    </m:r>
                  </m:sub>
                </m:sSub>
                <m:r>
                  <w:rPr>
                    <w:rFonts w:ascii="Cambria Math" w:eastAsiaTheme="minorEastAsia" w:hAnsi="Cambria Math" w:cs="Arial"/>
                  </w:rPr>
                  <m:t>*</m:t>
                </m:r>
                <m:sSub>
                  <m:sSubPr>
                    <m:ctrlPr>
                      <w:rPr>
                        <w:rFonts w:ascii="Cambria Math" w:eastAsiaTheme="minorEastAsia" w:hAnsi="Cambria Math" w:cs="Arial"/>
                        <w:i/>
                      </w:rPr>
                    </m:ctrlPr>
                  </m:sSubPr>
                  <m:e>
                    <m:r>
                      <w:rPr>
                        <w:rFonts w:ascii="Cambria Math" w:eastAsiaTheme="minorEastAsia" w:hAnsi="Cambria Math" w:cs="Arial"/>
                      </w:rPr>
                      <m:t>QM</m:t>
                    </m:r>
                  </m:e>
                  <m:sub>
                    <m:r>
                      <w:rPr>
                        <w:rFonts w:ascii="Cambria Math" w:eastAsiaTheme="minorEastAsia" w:hAnsi="Cambria Math" w:cs="Arial"/>
                      </w:rPr>
                      <m:t>c</m:t>
                    </m:r>
                  </m:sub>
                </m:sSub>
                <m:r>
                  <w:rPr>
                    <w:rFonts w:ascii="Cambria Math" w:eastAsiaTheme="minorEastAsia" w:hAnsi="Cambria Math" w:cs="Arial"/>
                  </w:rPr>
                  <m:t>*ER)</m:t>
                </m:r>
              </m:oMath>
            </m:oMathPara>
          </w:p>
          <w:p w14:paraId="126E3457" w14:textId="77777777" w:rsidR="000F7773" w:rsidRPr="00F5781F" w:rsidRDefault="000F7773" w:rsidP="00DB0816">
            <w:pPr>
              <w:rPr>
                <w:rFonts w:eastAsiaTheme="minorEastAsia" w:cs="Arial"/>
              </w:rPr>
            </w:pPr>
            <m:oMathPara>
              <m:oMath>
                <m:r>
                  <w:rPr>
                    <w:rFonts w:ascii="Cambria Math" w:eastAsiaTheme="minorEastAsia" w:hAnsi="Cambria Math" w:cs="Arial"/>
                  </w:rPr>
                  <m:t>(</m:t>
                </m:r>
                <m:sSub>
                  <m:sSubPr>
                    <m:ctrlPr>
                      <w:rPr>
                        <w:rFonts w:ascii="Cambria Math" w:eastAsiaTheme="minorEastAsia" w:hAnsi="Cambria Math" w:cs="Arial"/>
                        <w:i/>
                      </w:rPr>
                    </m:ctrlPr>
                  </m:sSubPr>
                  <m:e>
                    <m:r>
                      <w:rPr>
                        <w:rFonts w:ascii="Cambria Math" w:eastAsiaTheme="minorEastAsia" w:hAnsi="Cambria Math" w:cs="Arial"/>
                      </w:rPr>
                      <m:t>TEX</m:t>
                    </m:r>
                  </m:e>
                  <m:sub>
                    <m:r>
                      <w:rPr>
                        <w:rFonts w:ascii="Cambria Math" w:eastAsiaTheme="minorEastAsia" w:hAnsi="Cambria Math" w:cs="Arial"/>
                      </w:rPr>
                      <m:t>c</m:t>
                    </m:r>
                  </m:sub>
                </m:sSub>
                <m:r>
                  <w:rPr>
                    <w:rFonts w:ascii="Cambria Math" w:eastAsiaTheme="minorEastAsia" w:hAnsi="Cambria Math" w:cs="Arial"/>
                  </w:rPr>
                  <m:t>*</m:t>
                </m:r>
                <m:sSub>
                  <m:sSubPr>
                    <m:ctrlPr>
                      <w:rPr>
                        <w:rFonts w:ascii="Cambria Math" w:eastAsiaTheme="minorEastAsia" w:hAnsi="Cambria Math" w:cs="Arial"/>
                        <w:i/>
                      </w:rPr>
                    </m:ctrlPr>
                  </m:sSubPr>
                  <m:e>
                    <m:r>
                      <w:rPr>
                        <w:rFonts w:ascii="Cambria Math" w:eastAsiaTheme="minorEastAsia" w:hAnsi="Cambria Math" w:cs="Arial"/>
                      </w:rPr>
                      <m:t>QQ</m:t>
                    </m:r>
                  </m:e>
                  <m:sub>
                    <m:r>
                      <w:rPr>
                        <w:rFonts w:ascii="Cambria Math" w:eastAsiaTheme="minorEastAsia" w:hAnsi="Cambria Math" w:cs="Arial"/>
                      </w:rPr>
                      <m:t>c</m:t>
                    </m:r>
                  </m:sub>
                </m:sSub>
                <m:r>
                  <w:rPr>
                    <w:rFonts w:ascii="Cambria Math" w:eastAsiaTheme="minorEastAsia" w:hAnsi="Cambria Math" w:cs="Arial"/>
                  </w:rPr>
                  <m:t>)</m:t>
                </m:r>
              </m:oMath>
            </m:oMathPara>
          </w:p>
          <w:p w14:paraId="28DAA01C" w14:textId="77777777" w:rsidR="000F7773" w:rsidRDefault="000F7773" w:rsidP="00DB0816">
            <w:pPr>
              <w:rPr>
                <w:rFonts w:eastAsiaTheme="minorEastAsia" w:cs="Arial"/>
              </w:rPr>
            </w:pPr>
            <m:oMathPara>
              <m:oMath>
                <m:r>
                  <w:rPr>
                    <w:rFonts w:ascii="Cambria Math" w:eastAsiaTheme="minorEastAsia" w:hAnsi="Cambria Math" w:cs="Arial"/>
                  </w:rPr>
                  <w:lastRenderedPageBreak/>
                  <m:t>(</m:t>
                </m:r>
                <m:sSub>
                  <m:sSubPr>
                    <m:ctrlPr>
                      <w:rPr>
                        <w:rFonts w:ascii="Cambria Math" w:eastAsiaTheme="minorEastAsia" w:hAnsi="Cambria Math" w:cs="Arial"/>
                        <w:i/>
                      </w:rPr>
                    </m:ctrlPr>
                  </m:sSubPr>
                  <m:e>
                    <m:r>
                      <w:rPr>
                        <w:rFonts w:ascii="Cambria Math" w:eastAsiaTheme="minorEastAsia" w:hAnsi="Cambria Math" w:cs="Arial"/>
                      </w:rPr>
                      <m:t>TV</m:t>
                    </m:r>
                  </m:e>
                  <m:sub>
                    <m:r>
                      <w:rPr>
                        <w:rFonts w:ascii="Cambria Math" w:eastAsiaTheme="minorEastAsia" w:hAnsi="Cambria Math" w:cs="Arial"/>
                      </w:rPr>
                      <m:t>c</m:t>
                    </m:r>
                  </m:sub>
                </m:sSub>
                <m:r>
                  <w:rPr>
                    <w:rFonts w:ascii="Cambria Math" w:eastAsiaTheme="minorEastAsia" w:hAnsi="Cambria Math" w:cs="Arial"/>
                  </w:rPr>
                  <m:t>*</m:t>
                </m:r>
                <m:sSub>
                  <m:sSubPr>
                    <m:ctrlPr>
                      <w:rPr>
                        <w:rFonts w:ascii="Cambria Math" w:eastAsiaTheme="minorEastAsia" w:hAnsi="Cambria Math" w:cs="Arial"/>
                        <w:i/>
                      </w:rPr>
                    </m:ctrlPr>
                  </m:sSubPr>
                  <m:e>
                    <m:r>
                      <w:rPr>
                        <w:rFonts w:ascii="Cambria Math" w:eastAsiaTheme="minorEastAsia" w:hAnsi="Cambria Math" w:cs="Arial"/>
                      </w:rPr>
                      <m:t>PQD</m:t>
                    </m:r>
                  </m:e>
                  <m:sub>
                    <m:r>
                      <w:rPr>
                        <w:rFonts w:ascii="Cambria Math" w:eastAsiaTheme="minorEastAsia" w:hAnsi="Cambria Math" w:cs="Arial"/>
                      </w:rPr>
                      <m:t>c</m:t>
                    </m:r>
                  </m:sub>
                </m:sSub>
                <m:r>
                  <w:rPr>
                    <w:rFonts w:ascii="Cambria Math" w:eastAsiaTheme="minorEastAsia" w:hAnsi="Cambria Math" w:cs="Arial"/>
                  </w:rPr>
                  <m:t>*</m:t>
                </m:r>
                <m:sSub>
                  <m:sSubPr>
                    <m:ctrlPr>
                      <w:rPr>
                        <w:rFonts w:ascii="Cambria Math" w:eastAsiaTheme="minorEastAsia" w:hAnsi="Cambria Math" w:cs="Arial"/>
                        <w:i/>
                      </w:rPr>
                    </m:ctrlPr>
                  </m:sSubPr>
                  <m:e>
                    <m:r>
                      <w:rPr>
                        <w:rFonts w:ascii="Cambria Math" w:eastAsiaTheme="minorEastAsia" w:hAnsi="Cambria Math" w:cs="Arial"/>
                      </w:rPr>
                      <m:t>QCD</m:t>
                    </m:r>
                  </m:e>
                  <m:sub>
                    <m:r>
                      <w:rPr>
                        <w:rFonts w:ascii="Cambria Math" w:eastAsiaTheme="minorEastAsia" w:hAnsi="Cambria Math" w:cs="Arial"/>
                      </w:rPr>
                      <m:t>c,h</m:t>
                    </m:r>
                  </m:sub>
                </m:sSub>
                <m:r>
                  <w:rPr>
                    <w:rFonts w:ascii="Cambria Math" w:eastAsiaTheme="minorEastAsia" w:hAnsi="Cambria Math" w:cs="Arial"/>
                  </w:rPr>
                  <m:t>)</m:t>
                </m:r>
              </m:oMath>
            </m:oMathPara>
          </w:p>
        </w:tc>
        <w:tc>
          <w:tcPr>
            <w:tcW w:w="0" w:type="auto"/>
            <w:tcBorders>
              <w:top w:val="nil"/>
              <w:left w:val="nil"/>
              <w:bottom w:val="nil"/>
              <w:right w:val="nil"/>
            </w:tcBorders>
          </w:tcPr>
          <w:p w14:paraId="663D15FB" w14:textId="77777777" w:rsidR="000F7773" w:rsidRPr="00004C3B" w:rsidRDefault="000F7773" w:rsidP="00DB0816">
            <w:pPr>
              <w:rPr>
                <w:rFonts w:eastAsiaTheme="minorEastAsia" w:cs="Arial"/>
              </w:rPr>
            </w:pPr>
            <m:oMathPara>
              <m:oMath>
                <m:r>
                  <w:rPr>
                    <w:rFonts w:ascii="Cambria Math" w:eastAsiaTheme="minorEastAsia" w:hAnsi="Cambria Math" w:cs="Arial"/>
                  </w:rPr>
                  <w:lastRenderedPageBreak/>
                  <m:t>(</m:t>
                </m:r>
                <m:sSub>
                  <m:sSubPr>
                    <m:ctrlPr>
                      <w:rPr>
                        <w:rFonts w:ascii="Cambria Math" w:eastAsiaTheme="minorEastAsia" w:hAnsi="Cambria Math" w:cs="Arial"/>
                        <w:i/>
                      </w:rPr>
                    </m:ctrlPr>
                  </m:sSubPr>
                  <m:e>
                    <m:r>
                      <w:rPr>
                        <w:rFonts w:ascii="Cambria Math" w:eastAsiaTheme="minorEastAsia" w:hAnsi="Cambria Math" w:cs="Arial"/>
                      </w:rPr>
                      <m:t>TX</m:t>
                    </m:r>
                  </m:e>
                  <m:sub>
                    <m:r>
                      <w:rPr>
                        <w:rFonts w:ascii="Cambria Math" w:eastAsiaTheme="minorEastAsia" w:hAnsi="Cambria Math" w:cs="Arial"/>
                      </w:rPr>
                      <m:t>a</m:t>
                    </m:r>
                  </m:sub>
                </m:sSub>
                <m:r>
                  <w:rPr>
                    <w:rFonts w:ascii="Cambria Math" w:eastAsiaTheme="minorEastAsia" w:hAnsi="Cambria Math" w:cs="Arial"/>
                  </w:rPr>
                  <m:t>*</m:t>
                </m:r>
                <m:sSub>
                  <m:sSubPr>
                    <m:ctrlPr>
                      <w:rPr>
                        <w:rFonts w:ascii="Cambria Math" w:eastAsiaTheme="minorEastAsia" w:hAnsi="Cambria Math" w:cs="Arial"/>
                        <w:i/>
                      </w:rPr>
                    </m:ctrlPr>
                  </m:sSubPr>
                  <m:e>
                    <m:r>
                      <w:rPr>
                        <w:rFonts w:ascii="Cambria Math" w:eastAsiaTheme="minorEastAsia" w:hAnsi="Cambria Math" w:cs="Arial"/>
                      </w:rPr>
                      <m:t>PX</m:t>
                    </m:r>
                  </m:e>
                  <m:sub>
                    <m:r>
                      <w:rPr>
                        <w:rFonts w:ascii="Cambria Math" w:eastAsiaTheme="minorEastAsia" w:hAnsi="Cambria Math" w:cs="Arial"/>
                      </w:rPr>
                      <m:t>a</m:t>
                    </m:r>
                  </m:sub>
                </m:sSub>
                <m:r>
                  <w:rPr>
                    <w:rFonts w:ascii="Cambria Math" w:eastAsiaTheme="minorEastAsia" w:hAnsi="Cambria Math" w:cs="Arial"/>
                  </w:rPr>
                  <m:t>*</m:t>
                </m:r>
                <m:sSub>
                  <m:sSubPr>
                    <m:ctrlPr>
                      <w:rPr>
                        <w:rFonts w:ascii="Cambria Math" w:eastAsiaTheme="minorEastAsia" w:hAnsi="Cambria Math" w:cs="Arial"/>
                        <w:i/>
                      </w:rPr>
                    </m:ctrlPr>
                  </m:sSubPr>
                  <m:e>
                    <m:r>
                      <w:rPr>
                        <w:rFonts w:ascii="Cambria Math" w:eastAsiaTheme="minorEastAsia" w:hAnsi="Cambria Math" w:cs="Arial"/>
                      </w:rPr>
                      <m:t>QX</m:t>
                    </m:r>
                  </m:e>
                  <m:sub>
                    <m:r>
                      <w:rPr>
                        <w:rFonts w:ascii="Cambria Math" w:eastAsiaTheme="minorEastAsia" w:hAnsi="Cambria Math" w:cs="Arial"/>
                      </w:rPr>
                      <m:t>a</m:t>
                    </m:r>
                  </m:sub>
                </m:sSub>
                <m:r>
                  <w:rPr>
                    <w:rFonts w:ascii="Cambria Math" w:eastAsiaTheme="minorEastAsia" w:hAnsi="Cambria Math" w:cs="Arial"/>
                  </w:rPr>
                  <m:t>)</m:t>
                </m:r>
              </m:oMath>
            </m:oMathPara>
          </w:p>
          <w:p w14:paraId="508126C8" w14:textId="77777777" w:rsidR="000F7773" w:rsidRDefault="000F7773" w:rsidP="00DB0816">
            <w:pPr>
              <w:rPr>
                <w:rFonts w:eastAsiaTheme="minorEastAsia" w:cs="Arial"/>
              </w:rPr>
            </w:pPr>
            <m:oMathPara>
              <m:oMath>
                <m:r>
                  <w:rPr>
                    <w:rFonts w:ascii="Cambria Math" w:eastAsiaTheme="minorEastAsia" w:hAnsi="Cambria Math" w:cs="Arial"/>
                  </w:rPr>
                  <m:t>(</m:t>
                </m:r>
                <m:sSub>
                  <m:sSubPr>
                    <m:ctrlPr>
                      <w:rPr>
                        <w:rFonts w:ascii="Cambria Math" w:eastAsiaTheme="minorEastAsia" w:hAnsi="Cambria Math" w:cs="Arial"/>
                        <w:i/>
                      </w:rPr>
                    </m:ctrlPr>
                  </m:sSubPr>
                  <m:e>
                    <m:r>
                      <w:rPr>
                        <w:rFonts w:ascii="Cambria Math" w:eastAsiaTheme="minorEastAsia" w:hAnsi="Cambria Math" w:cs="Arial"/>
                      </w:rPr>
                      <m:t>TF</m:t>
                    </m:r>
                  </m:e>
                  <m:sub>
                    <m:r>
                      <w:rPr>
                        <w:rFonts w:ascii="Cambria Math" w:eastAsiaTheme="minorEastAsia" w:hAnsi="Cambria Math" w:cs="Arial"/>
                      </w:rPr>
                      <m:t>f,a</m:t>
                    </m:r>
                  </m:sub>
                </m:sSub>
                <m:r>
                  <w:rPr>
                    <w:rFonts w:ascii="Cambria Math" w:eastAsiaTheme="minorEastAsia" w:hAnsi="Cambria Math" w:cs="Arial"/>
                  </w:rPr>
                  <m:t>*</m:t>
                </m:r>
                <m:sSub>
                  <m:sSubPr>
                    <m:ctrlPr>
                      <w:rPr>
                        <w:rFonts w:ascii="Cambria Math" w:eastAsiaTheme="minorEastAsia" w:hAnsi="Cambria Math" w:cs="Arial"/>
                        <w:i/>
                      </w:rPr>
                    </m:ctrlPr>
                  </m:sSubPr>
                  <m:e>
                    <m:r>
                      <w:rPr>
                        <w:rFonts w:ascii="Cambria Math" w:eastAsiaTheme="minorEastAsia" w:hAnsi="Cambria Math" w:cs="Arial"/>
                      </w:rPr>
                      <m:t>WF</m:t>
                    </m:r>
                  </m:e>
                  <m:sub>
                    <m:r>
                      <w:rPr>
                        <w:rFonts w:ascii="Cambria Math" w:eastAsiaTheme="minorEastAsia" w:hAnsi="Cambria Math" w:cs="Arial"/>
                      </w:rPr>
                      <m:t>f</m:t>
                    </m:r>
                  </m:sub>
                </m:sSub>
                <m:r>
                  <w:rPr>
                    <w:rFonts w:ascii="Cambria Math" w:eastAsiaTheme="minorEastAsia" w:hAnsi="Cambria Math" w:cs="Arial"/>
                  </w:rPr>
                  <m:t>*</m:t>
                </m:r>
                <m:sSub>
                  <m:sSubPr>
                    <m:ctrlPr>
                      <w:rPr>
                        <w:rFonts w:ascii="Cambria Math" w:eastAsiaTheme="minorEastAsia" w:hAnsi="Cambria Math" w:cs="Arial"/>
                        <w:i/>
                      </w:rPr>
                    </m:ctrlPr>
                  </m:sSubPr>
                  <m:e>
                    <m:r>
                      <w:rPr>
                        <w:rFonts w:ascii="Cambria Math" w:eastAsiaTheme="minorEastAsia" w:hAnsi="Cambria Math" w:cs="Arial"/>
                      </w:rPr>
                      <m:t>WFDIST</m:t>
                    </m:r>
                  </m:e>
                  <m:sub>
                    <m:r>
                      <w:rPr>
                        <w:rFonts w:ascii="Cambria Math" w:eastAsiaTheme="minorEastAsia" w:hAnsi="Cambria Math" w:cs="Arial"/>
                      </w:rPr>
                      <m:t>f,a</m:t>
                    </m:r>
                  </m:sub>
                </m:sSub>
                <m:r>
                  <w:rPr>
                    <w:rFonts w:ascii="Cambria Math" w:eastAsiaTheme="minorEastAsia" w:hAnsi="Cambria Math" w:cs="Arial"/>
                  </w:rPr>
                  <m:t>*</m:t>
                </m:r>
                <m:sSub>
                  <m:sSubPr>
                    <m:ctrlPr>
                      <w:rPr>
                        <w:rFonts w:ascii="Cambria Math" w:eastAsiaTheme="minorEastAsia" w:hAnsi="Cambria Math" w:cs="Arial"/>
                        <w:i/>
                      </w:rPr>
                    </m:ctrlPr>
                  </m:sSubPr>
                  <m:e>
                    <m:r>
                      <w:rPr>
                        <w:rFonts w:ascii="Cambria Math" w:eastAsiaTheme="minorEastAsia" w:hAnsi="Cambria Math" w:cs="Arial"/>
                      </w:rPr>
                      <m:t>FD</m:t>
                    </m:r>
                  </m:e>
                  <m:sub>
                    <m:r>
                      <w:rPr>
                        <w:rFonts w:ascii="Cambria Math" w:eastAsiaTheme="minorEastAsia" w:hAnsi="Cambria Math" w:cs="Arial"/>
                      </w:rPr>
                      <m:t>f,a</m:t>
                    </m:r>
                  </m:sub>
                </m:sSub>
                <m:r>
                  <w:rPr>
                    <w:rFonts w:ascii="Cambria Math" w:eastAsiaTheme="minorEastAsia" w:hAnsi="Cambria Math" w:cs="Arial"/>
                  </w:rPr>
                  <m:t>)</m:t>
                </m:r>
              </m:oMath>
            </m:oMathPara>
          </w:p>
        </w:tc>
        <w:tc>
          <w:tcPr>
            <w:tcW w:w="0" w:type="auto"/>
            <w:tcBorders>
              <w:top w:val="nil"/>
              <w:left w:val="nil"/>
              <w:bottom w:val="nil"/>
              <w:right w:val="nil"/>
            </w:tcBorders>
          </w:tcPr>
          <w:p w14:paraId="05B9B661" w14:textId="77777777" w:rsidR="000F7773" w:rsidRPr="007F0981" w:rsidRDefault="00FA183A" w:rsidP="00DB0816">
            <w:pPr>
              <w:rPr>
                <w:rFonts w:eastAsiaTheme="minorEastAsia" w:cs="Arial"/>
              </w:rPr>
            </w:pPr>
            <m:oMathPara>
              <m:oMath>
                <m:d>
                  <m:dPr>
                    <m:ctrlPr>
                      <w:rPr>
                        <w:rFonts w:ascii="Cambria Math" w:eastAsiaTheme="minorEastAsia" w:hAnsi="Cambria Math" w:cs="Arial"/>
                        <w:i/>
                      </w:rPr>
                    </m:ctrlPr>
                  </m:dPr>
                  <m:e>
                    <m:nary>
                      <m:naryPr>
                        <m:chr m:val="∑"/>
                        <m:limLoc m:val="subSup"/>
                        <m:supHide m:val="1"/>
                        <m:ctrlPr>
                          <w:rPr>
                            <w:rFonts w:ascii="Cambria Math" w:eastAsiaTheme="minorEastAsia" w:hAnsi="Cambria Math" w:cs="Arial"/>
                            <w:i/>
                          </w:rPr>
                        </m:ctrlPr>
                      </m:naryPr>
                      <m:sub>
                        <m:r>
                          <w:rPr>
                            <w:rFonts w:ascii="Cambria Math" w:eastAsiaTheme="minorEastAsia" w:hAnsi="Cambria Math" w:cs="Arial"/>
                          </w:rPr>
                          <m:t>f</m:t>
                        </m:r>
                      </m:sub>
                      <m:sup/>
                      <m:e>
                        <m:sSub>
                          <m:sSubPr>
                            <m:ctrlPr>
                              <w:rPr>
                                <w:rFonts w:ascii="Cambria Math" w:eastAsiaTheme="minorEastAsia" w:hAnsi="Cambria Math" w:cs="Arial"/>
                                <w:i/>
                              </w:rPr>
                            </m:ctrlPr>
                          </m:sSubPr>
                          <m:e>
                            <m:eqArr>
                              <m:eqArrPr>
                                <m:ctrlPr>
                                  <w:rPr>
                                    <w:rFonts w:ascii="Cambria Math" w:eastAsiaTheme="minorEastAsia" w:hAnsi="Cambria Math" w:cs="Arial"/>
                                    <w:i/>
                                  </w:rPr>
                                </m:ctrlPr>
                              </m:eqArrPr>
                              <m:e>
                                <m:r>
                                  <w:rPr>
                                    <w:rFonts w:ascii="Cambria Math" w:eastAsiaTheme="minorEastAsia" w:hAnsi="Cambria Math" w:cs="Arial"/>
                                  </w:rPr>
                                  <m:t>gov</m:t>
                                </m:r>
                              </m:e>
                              <m:e>
                                <m:r>
                                  <w:rPr>
                                    <w:rFonts w:ascii="Cambria Math" w:eastAsiaTheme="minorEastAsia" w:hAnsi="Cambria Math" w:cs="Arial"/>
                                  </w:rPr>
                                  <m:t>vas</m:t>
                                </m:r>
                                <m:r>
                                  <w:rPr>
                                    <w:rFonts w:ascii="Cambria Math" w:eastAsiaTheme="minorEastAsia" w:hAnsi="Cambria Math" w:cs="Arial"/>
                                  </w:rPr>
                                  <m:t>h</m:t>
                                </m:r>
                              </m:e>
                            </m:eqArr>
                          </m:e>
                          <m:sub>
                            <m:r>
                              <w:rPr>
                                <w:rFonts w:ascii="Cambria Math" w:eastAsiaTheme="minorEastAsia" w:hAnsi="Cambria Math" w:cs="Arial"/>
                              </w:rPr>
                              <m:t>gt</m:t>
                            </m:r>
                            <m:r>
                              <w:rPr>
                                <w:rFonts w:ascii="Cambria Math" w:eastAsiaTheme="minorEastAsia" w:hAnsi="Cambria Math" w:cs="Arial"/>
                              </w:rPr>
                              <m:t>,</m:t>
                            </m:r>
                            <m:r>
                              <w:rPr>
                                <w:rFonts w:ascii="Cambria Math" w:eastAsiaTheme="minorEastAsia" w:hAnsi="Cambria Math" w:cs="Arial"/>
                              </w:rPr>
                              <m:t>f</m:t>
                            </m:r>
                          </m:sub>
                        </m:sSub>
                      </m:e>
                    </m:nary>
                  </m:e>
                </m:d>
              </m:oMath>
            </m:oMathPara>
          </w:p>
          <w:p w14:paraId="4096540C" w14:textId="77777777" w:rsidR="000F7773" w:rsidRDefault="000F7773" w:rsidP="00DB0816">
            <w:pPr>
              <w:rPr>
                <w:rFonts w:eastAsiaTheme="minorEastAsia" w:cs="Arial"/>
              </w:rPr>
            </w:pPr>
            <m:oMathPara>
              <m:oMath>
                <m:r>
                  <w:rPr>
                    <w:rFonts w:ascii="Cambria Math" w:eastAsiaTheme="minorEastAsia" w:hAnsi="Cambria Math" w:cs="Arial"/>
                  </w:rPr>
                  <m:t>(</m:t>
                </m:r>
                <m:sSub>
                  <m:sSubPr>
                    <m:ctrlPr>
                      <w:rPr>
                        <w:rFonts w:ascii="Cambria Math" w:eastAsiaTheme="minorEastAsia" w:hAnsi="Cambria Math" w:cs="Arial"/>
                        <w:i/>
                      </w:rPr>
                    </m:ctrlPr>
                  </m:sSubPr>
                  <m:e>
                    <m:r>
                      <w:rPr>
                        <w:rFonts w:ascii="Cambria Math" w:eastAsiaTheme="minorEastAsia" w:hAnsi="Cambria Math" w:cs="Arial"/>
                      </w:rPr>
                      <m:t>TYF</m:t>
                    </m:r>
                  </m:e>
                  <m:sub>
                    <m:r>
                      <w:rPr>
                        <w:rFonts w:ascii="Cambria Math" w:eastAsiaTheme="minorEastAsia" w:hAnsi="Cambria Math" w:cs="Arial"/>
                      </w:rPr>
                      <m:t>f</m:t>
                    </m:r>
                  </m:sub>
                </m:sSub>
                <m:r>
                  <w:rPr>
                    <w:rFonts w:ascii="Cambria Math" w:eastAsiaTheme="minorEastAsia" w:hAnsi="Cambria Math" w:cs="Arial"/>
                  </w:rPr>
                  <m:t>*</m:t>
                </m:r>
                <m:sSub>
                  <m:sSubPr>
                    <m:ctrlPr>
                      <w:rPr>
                        <w:rFonts w:ascii="Cambria Math" w:eastAsiaTheme="minorEastAsia" w:hAnsi="Cambria Math" w:cs="Arial"/>
                        <w:i/>
                      </w:rPr>
                    </m:ctrlPr>
                  </m:sSubPr>
                  <m:e>
                    <m:r>
                      <w:rPr>
                        <w:rFonts w:ascii="Cambria Math" w:eastAsiaTheme="minorEastAsia" w:hAnsi="Cambria Math" w:cs="Arial"/>
                      </w:rPr>
                      <m:t>YFDISP</m:t>
                    </m:r>
                  </m:e>
                  <m:sub>
                    <m:r>
                      <w:rPr>
                        <w:rFonts w:ascii="Cambria Math" w:eastAsiaTheme="minorEastAsia" w:hAnsi="Cambria Math" w:cs="Arial"/>
                      </w:rPr>
                      <m:t>f</m:t>
                    </m:r>
                  </m:sub>
                </m:sSub>
                <m:r>
                  <w:rPr>
                    <w:rFonts w:ascii="Cambria Math" w:eastAsiaTheme="minorEastAsia" w:hAnsi="Cambria Math" w:cs="Arial"/>
                  </w:rPr>
                  <m:t>)</m:t>
                </m:r>
              </m:oMath>
            </m:oMathPara>
          </w:p>
        </w:tc>
      </w:tr>
      <w:tr w:rsidR="000F7773" w14:paraId="3D593043" w14:textId="77777777" w:rsidTr="00700471">
        <w:trPr>
          <w:trHeight w:val="569"/>
          <w:jc w:val="center"/>
        </w:trPr>
        <w:tc>
          <w:tcPr>
            <w:tcW w:w="0" w:type="auto"/>
            <w:tcBorders>
              <w:top w:val="nil"/>
              <w:left w:val="nil"/>
              <w:bottom w:val="nil"/>
              <w:right w:val="single" w:sz="4" w:space="0" w:color="auto"/>
            </w:tcBorders>
          </w:tcPr>
          <w:p w14:paraId="77E91149" w14:textId="77777777" w:rsidR="000F7773" w:rsidRPr="00C22533" w:rsidRDefault="000F7773" w:rsidP="00DB0816">
            <w:pPr>
              <w:rPr>
                <w:rFonts w:ascii="Arial" w:eastAsiaTheme="minorEastAsia" w:cs="Arial"/>
              </w:rPr>
            </w:pPr>
            <w:r w:rsidRPr="00C22533">
              <w:rPr>
                <w:rFonts w:ascii="Arial" w:eastAsiaTheme="minorEastAsia" w:cs="Arial"/>
              </w:rPr>
              <w:t>Capital</w:t>
            </w:r>
          </w:p>
        </w:tc>
        <w:tc>
          <w:tcPr>
            <w:tcW w:w="0" w:type="auto"/>
            <w:tcBorders>
              <w:top w:val="nil"/>
              <w:left w:val="single" w:sz="4" w:space="0" w:color="auto"/>
              <w:bottom w:val="nil"/>
              <w:right w:val="nil"/>
            </w:tcBorders>
          </w:tcPr>
          <w:p w14:paraId="43491721" w14:textId="77777777" w:rsidR="000F7773" w:rsidRDefault="000F7773" w:rsidP="00DB0816">
            <w:pPr>
              <w:rPr>
                <w:rFonts w:eastAsiaTheme="minorEastAsia" w:cs="Arial"/>
              </w:rPr>
            </w:pPr>
          </w:p>
        </w:tc>
        <w:tc>
          <w:tcPr>
            <w:tcW w:w="0" w:type="auto"/>
            <w:tcBorders>
              <w:top w:val="nil"/>
              <w:left w:val="nil"/>
              <w:bottom w:val="nil"/>
              <w:right w:val="nil"/>
            </w:tcBorders>
          </w:tcPr>
          <w:p w14:paraId="66091F55" w14:textId="77777777" w:rsidR="000F7773" w:rsidRDefault="000F7773" w:rsidP="00DB0816">
            <w:pPr>
              <w:rPr>
                <w:rFonts w:eastAsiaTheme="minorEastAsia" w:cs="Arial"/>
              </w:rPr>
            </w:pPr>
          </w:p>
        </w:tc>
        <w:tc>
          <w:tcPr>
            <w:tcW w:w="0" w:type="auto"/>
            <w:tcBorders>
              <w:top w:val="nil"/>
              <w:left w:val="nil"/>
              <w:bottom w:val="nil"/>
              <w:right w:val="nil"/>
            </w:tcBorders>
          </w:tcPr>
          <w:p w14:paraId="0703F1A0" w14:textId="77777777" w:rsidR="000F7773" w:rsidRDefault="00FA183A" w:rsidP="00DB0816">
            <w:pPr>
              <w:rPr>
                <w:rFonts w:eastAsiaTheme="minorEastAsia" w:cs="Arial"/>
              </w:rPr>
            </w:pPr>
            <m:oMathPara>
              <m:oMath>
                <m:nary>
                  <m:naryPr>
                    <m:chr m:val="∑"/>
                    <m:limLoc m:val="subSup"/>
                    <m:supHide m:val="1"/>
                    <m:ctrlPr>
                      <w:rPr>
                        <w:rFonts w:ascii="Cambria Math" w:eastAsiaTheme="minorEastAsia" w:hAnsi="Cambria Math" w:cs="Arial"/>
                        <w:i/>
                      </w:rPr>
                    </m:ctrlPr>
                  </m:naryPr>
                  <m:sub>
                    <m:r>
                      <w:rPr>
                        <w:rFonts w:ascii="Cambria Math" w:eastAsiaTheme="minorEastAsia" w:hAnsi="Cambria Math" w:cs="Arial"/>
                      </w:rPr>
                      <m:t>f</m:t>
                    </m:r>
                  </m:sub>
                  <m:sup/>
                  <m:e>
                    <m:sSub>
                      <m:sSubPr>
                        <m:ctrlPr>
                          <w:rPr>
                            <w:rFonts w:ascii="Cambria Math" w:eastAsiaTheme="minorEastAsia" w:hAnsi="Cambria Math" w:cs="Arial"/>
                            <w:i/>
                          </w:rPr>
                        </m:ctrlPr>
                      </m:sSubPr>
                      <m:e>
                        <m:r>
                          <w:rPr>
                            <w:rFonts w:ascii="Cambria Math" w:eastAsiaTheme="minorEastAsia" w:hAnsi="Cambria Math" w:cs="Arial"/>
                          </w:rPr>
                          <m:t>deprec</m:t>
                        </m:r>
                      </m:e>
                      <m:sub>
                        <m:r>
                          <w:rPr>
                            <w:rFonts w:ascii="Cambria Math" w:eastAsiaTheme="minorEastAsia" w:hAnsi="Cambria Math" w:cs="Arial"/>
                          </w:rPr>
                          <m:t>f</m:t>
                        </m:r>
                      </m:sub>
                    </m:sSub>
                  </m:e>
                </m:nary>
              </m:oMath>
            </m:oMathPara>
          </w:p>
        </w:tc>
      </w:tr>
      <w:tr w:rsidR="000F7773" w14:paraId="178C3C90" w14:textId="77777777" w:rsidTr="00700471">
        <w:trPr>
          <w:trHeight w:val="1151"/>
          <w:jc w:val="center"/>
        </w:trPr>
        <w:tc>
          <w:tcPr>
            <w:tcW w:w="0" w:type="auto"/>
            <w:tcBorders>
              <w:top w:val="nil"/>
              <w:left w:val="nil"/>
              <w:bottom w:val="nil"/>
              <w:right w:val="single" w:sz="4" w:space="0" w:color="auto"/>
            </w:tcBorders>
          </w:tcPr>
          <w:p w14:paraId="219D4977" w14:textId="77777777" w:rsidR="000F7773" w:rsidRPr="00C22533" w:rsidRDefault="000F7773" w:rsidP="00DB0816">
            <w:pPr>
              <w:rPr>
                <w:rFonts w:ascii="Arial" w:eastAsiaTheme="minorEastAsia" w:cs="Arial"/>
              </w:rPr>
            </w:pPr>
            <w:r w:rsidRPr="00C22533">
              <w:rPr>
                <w:rFonts w:ascii="Arial" w:eastAsiaTheme="minorEastAsia" w:cs="Arial"/>
              </w:rPr>
              <w:t>Resto del Mundo</w:t>
            </w:r>
          </w:p>
        </w:tc>
        <w:tc>
          <w:tcPr>
            <w:tcW w:w="0" w:type="auto"/>
            <w:tcBorders>
              <w:top w:val="nil"/>
              <w:left w:val="single" w:sz="4" w:space="0" w:color="auto"/>
              <w:bottom w:val="nil"/>
              <w:right w:val="nil"/>
            </w:tcBorders>
          </w:tcPr>
          <w:p w14:paraId="2A182CE1" w14:textId="77777777" w:rsidR="000F7773" w:rsidRDefault="000F7773" w:rsidP="00DB0816">
            <w:pPr>
              <w:rPr>
                <w:rFonts w:eastAsiaTheme="minorEastAsia" w:cs="Arial"/>
              </w:rPr>
            </w:pPr>
            <m:oMathPara>
              <m:oMath>
                <m:r>
                  <w:rPr>
                    <w:rFonts w:ascii="Cambria Math" w:eastAsiaTheme="minorEastAsia" w:hAnsi="Cambria Math" w:cs="Arial"/>
                  </w:rPr>
                  <m:t>(</m:t>
                </m:r>
                <m:sSub>
                  <m:sSubPr>
                    <m:ctrlPr>
                      <w:rPr>
                        <w:rFonts w:ascii="Cambria Math" w:eastAsiaTheme="minorEastAsia" w:hAnsi="Cambria Math" w:cs="Arial"/>
                        <w:i/>
                      </w:rPr>
                    </m:ctrlPr>
                  </m:sSubPr>
                  <m:e>
                    <m:r>
                      <w:rPr>
                        <w:rFonts w:ascii="Cambria Math" w:eastAsiaTheme="minorEastAsia" w:hAnsi="Cambria Math" w:cs="Arial"/>
                      </w:rPr>
                      <m:t>PWM</m:t>
                    </m:r>
                  </m:e>
                  <m:sub>
                    <m:r>
                      <w:rPr>
                        <w:rFonts w:ascii="Cambria Math" w:eastAsiaTheme="minorEastAsia" w:hAnsi="Cambria Math" w:cs="Arial"/>
                      </w:rPr>
                      <m:t>c</m:t>
                    </m:r>
                  </m:sub>
                </m:sSub>
                <m:r>
                  <w:rPr>
                    <w:rFonts w:ascii="Cambria Math" w:eastAsiaTheme="minorEastAsia" w:hAnsi="Cambria Math" w:cs="Arial"/>
                  </w:rPr>
                  <m:t>*</m:t>
                </m:r>
                <m:sSub>
                  <m:sSubPr>
                    <m:ctrlPr>
                      <w:rPr>
                        <w:rFonts w:ascii="Cambria Math" w:eastAsiaTheme="minorEastAsia" w:hAnsi="Cambria Math" w:cs="Arial"/>
                        <w:i/>
                      </w:rPr>
                    </m:ctrlPr>
                  </m:sSubPr>
                  <m:e>
                    <m:r>
                      <w:rPr>
                        <w:rFonts w:ascii="Cambria Math" w:eastAsiaTheme="minorEastAsia" w:hAnsi="Cambria Math" w:cs="Arial"/>
                      </w:rPr>
                      <m:t>QM</m:t>
                    </m:r>
                  </m:e>
                  <m:sub>
                    <m:r>
                      <w:rPr>
                        <w:rFonts w:ascii="Cambria Math" w:eastAsiaTheme="minorEastAsia" w:hAnsi="Cambria Math" w:cs="Arial"/>
                      </w:rPr>
                      <m:t>c</m:t>
                    </m:r>
                  </m:sub>
                </m:sSub>
                <m:r>
                  <w:rPr>
                    <w:rFonts w:ascii="Cambria Math" w:eastAsiaTheme="minorEastAsia" w:hAnsi="Cambria Math" w:cs="Arial"/>
                  </w:rPr>
                  <m:t>*ER)</m:t>
                </m:r>
              </m:oMath>
            </m:oMathPara>
          </w:p>
        </w:tc>
        <w:tc>
          <w:tcPr>
            <w:tcW w:w="0" w:type="auto"/>
            <w:tcBorders>
              <w:top w:val="nil"/>
              <w:left w:val="nil"/>
              <w:bottom w:val="nil"/>
              <w:right w:val="nil"/>
            </w:tcBorders>
          </w:tcPr>
          <w:p w14:paraId="7C7E749F" w14:textId="77777777" w:rsidR="000F7773" w:rsidRDefault="000F7773" w:rsidP="00DB0816">
            <w:pPr>
              <w:rPr>
                <w:rFonts w:eastAsiaTheme="minorEastAsia" w:cs="Arial"/>
              </w:rPr>
            </w:pPr>
          </w:p>
        </w:tc>
        <w:tc>
          <w:tcPr>
            <w:tcW w:w="0" w:type="auto"/>
            <w:tcBorders>
              <w:top w:val="nil"/>
              <w:left w:val="nil"/>
              <w:bottom w:val="nil"/>
              <w:right w:val="nil"/>
            </w:tcBorders>
          </w:tcPr>
          <w:p w14:paraId="1A4D0381" w14:textId="77777777" w:rsidR="000F7773" w:rsidRDefault="00FA183A" w:rsidP="00DB0816">
            <w:pPr>
              <w:rPr>
                <w:rFonts w:eastAsiaTheme="minorEastAsia" w:cs="Arial"/>
              </w:rPr>
            </w:pPr>
            <m:oMathPara>
              <m:oMath>
                <m:d>
                  <m:dPr>
                    <m:ctrlPr>
                      <w:rPr>
                        <w:rFonts w:ascii="Cambria Math" w:eastAsiaTheme="minorEastAsia" w:hAnsi="Cambria Math" w:cs="Arial"/>
                        <w:i/>
                      </w:rPr>
                    </m:ctrlPr>
                  </m:dPr>
                  <m:e>
                    <m:nary>
                      <m:naryPr>
                        <m:chr m:val="∑"/>
                        <m:limLoc m:val="subSup"/>
                        <m:supHide m:val="1"/>
                        <m:ctrlPr>
                          <w:rPr>
                            <w:rFonts w:ascii="Cambria Math" w:eastAsiaTheme="minorEastAsia" w:hAnsi="Cambria Math" w:cs="Arial"/>
                            <w:i/>
                          </w:rPr>
                        </m:ctrlPr>
                      </m:naryPr>
                      <m:sub>
                        <m:r>
                          <w:rPr>
                            <w:rFonts w:ascii="Cambria Math" w:eastAsiaTheme="minorEastAsia" w:hAnsi="Cambria Math" w:cs="Arial"/>
                          </w:rPr>
                          <m:t>f</m:t>
                        </m:r>
                      </m:sub>
                      <m:sup/>
                      <m:e>
                        <m:sSub>
                          <m:sSubPr>
                            <m:ctrlPr>
                              <w:rPr>
                                <w:rFonts w:ascii="Cambria Math" w:eastAsiaTheme="minorEastAsia" w:hAnsi="Cambria Math" w:cs="Arial"/>
                                <w:i/>
                              </w:rPr>
                            </m:ctrlPr>
                          </m:sSubPr>
                          <m:e>
                            <m:eqArr>
                              <m:eqArrPr>
                                <m:ctrlPr>
                                  <w:rPr>
                                    <w:rFonts w:ascii="Cambria Math" w:eastAsiaTheme="minorEastAsia" w:hAnsi="Cambria Math" w:cs="Arial"/>
                                    <w:i/>
                                  </w:rPr>
                                </m:ctrlPr>
                              </m:eqArrPr>
                              <m:e>
                                <m:r>
                                  <w:rPr>
                                    <w:rFonts w:ascii="Cambria Math" w:eastAsiaTheme="minorEastAsia" w:hAnsi="Cambria Math" w:cs="Arial"/>
                                  </w:rPr>
                                  <m:t>wor</m:t>
                                </m:r>
                              </m:e>
                              <m:e>
                                <m:r>
                                  <w:rPr>
                                    <w:rFonts w:ascii="Cambria Math" w:eastAsiaTheme="minorEastAsia" w:hAnsi="Cambria Math" w:cs="Arial"/>
                                  </w:rPr>
                                  <m:t>vas</m:t>
                                </m:r>
                                <m:r>
                                  <w:rPr>
                                    <w:rFonts w:ascii="Cambria Math" w:eastAsiaTheme="minorEastAsia" w:hAnsi="Cambria Math" w:cs="Arial"/>
                                  </w:rPr>
                                  <m:t>h</m:t>
                                </m:r>
                              </m:e>
                            </m:eqArr>
                          </m:e>
                          <m:sub>
                            <m:r>
                              <w:rPr>
                                <w:rFonts w:ascii="Cambria Math" w:eastAsiaTheme="minorEastAsia" w:hAnsi="Cambria Math" w:cs="Arial"/>
                              </w:rPr>
                              <m:t>gt</m:t>
                            </m:r>
                            <m:r>
                              <w:rPr>
                                <w:rFonts w:ascii="Cambria Math" w:eastAsiaTheme="minorEastAsia" w:hAnsi="Cambria Math" w:cs="Arial"/>
                              </w:rPr>
                              <m:t>,</m:t>
                            </m:r>
                            <m:r>
                              <w:rPr>
                                <w:rFonts w:ascii="Cambria Math" w:eastAsiaTheme="minorEastAsia" w:hAnsi="Cambria Math" w:cs="Arial"/>
                              </w:rPr>
                              <m:t>f</m:t>
                            </m:r>
                          </m:sub>
                        </m:sSub>
                      </m:e>
                    </m:nary>
                  </m:e>
                </m:d>
              </m:oMath>
            </m:oMathPara>
          </w:p>
        </w:tc>
      </w:tr>
      <w:tr w:rsidR="000F7773" w14:paraId="2F4B33F4" w14:textId="77777777" w:rsidTr="00700471">
        <w:trPr>
          <w:trHeight w:val="569"/>
          <w:jc w:val="center"/>
        </w:trPr>
        <w:tc>
          <w:tcPr>
            <w:tcW w:w="0" w:type="auto"/>
            <w:tcBorders>
              <w:top w:val="nil"/>
              <w:left w:val="nil"/>
              <w:bottom w:val="single" w:sz="4" w:space="0" w:color="auto"/>
              <w:right w:val="single" w:sz="4" w:space="0" w:color="auto"/>
            </w:tcBorders>
          </w:tcPr>
          <w:p w14:paraId="79FC2BD6" w14:textId="77777777" w:rsidR="000F7773" w:rsidRPr="00C22533" w:rsidRDefault="000F7773" w:rsidP="00DB0816">
            <w:pPr>
              <w:rPr>
                <w:rFonts w:ascii="Arial" w:eastAsiaTheme="minorEastAsia" w:cs="Arial"/>
              </w:rPr>
            </w:pPr>
            <w:r w:rsidRPr="00C22533">
              <w:rPr>
                <w:rFonts w:ascii="Arial" w:eastAsiaTheme="minorEastAsia" w:cs="Arial"/>
              </w:rPr>
              <w:t>Total</w:t>
            </w:r>
          </w:p>
        </w:tc>
        <w:tc>
          <w:tcPr>
            <w:tcW w:w="0" w:type="auto"/>
            <w:tcBorders>
              <w:top w:val="nil"/>
              <w:left w:val="single" w:sz="4" w:space="0" w:color="auto"/>
              <w:bottom w:val="single" w:sz="4" w:space="0" w:color="auto"/>
              <w:right w:val="nil"/>
            </w:tcBorders>
          </w:tcPr>
          <w:p w14:paraId="5A2AB48A" w14:textId="77777777" w:rsidR="000F7773" w:rsidRDefault="000F7773" w:rsidP="00DB0816">
            <w:pPr>
              <w:rPr>
                <w:rFonts w:eastAsiaTheme="minorEastAsia" w:cs="Arial"/>
              </w:rPr>
            </w:pPr>
            <m:oMathPara>
              <m:oMath>
                <m:r>
                  <w:rPr>
                    <w:rFonts w:ascii="Cambria Math" w:eastAsiaTheme="minorEastAsia" w:hAnsi="Cambria Math" w:cs="Arial"/>
                  </w:rPr>
                  <m:t>(</m:t>
                </m:r>
                <m:sSub>
                  <m:sSubPr>
                    <m:ctrlPr>
                      <w:rPr>
                        <w:rFonts w:ascii="Cambria Math" w:eastAsiaTheme="minorEastAsia" w:hAnsi="Cambria Math" w:cs="Arial"/>
                        <w:i/>
                      </w:rPr>
                    </m:ctrlPr>
                  </m:sSubPr>
                  <m:e>
                    <m:r>
                      <w:rPr>
                        <w:rFonts w:ascii="Cambria Math" w:eastAsiaTheme="minorEastAsia" w:hAnsi="Cambria Math" w:cs="Arial"/>
                      </w:rPr>
                      <m:t>PQD</m:t>
                    </m:r>
                  </m:e>
                  <m:sub>
                    <m:r>
                      <w:rPr>
                        <w:rFonts w:ascii="Cambria Math" w:eastAsiaTheme="minorEastAsia" w:hAnsi="Cambria Math" w:cs="Arial"/>
                      </w:rPr>
                      <m:t>c</m:t>
                    </m:r>
                  </m:sub>
                </m:sSub>
                <m:r>
                  <w:rPr>
                    <w:rFonts w:ascii="Cambria Math" w:eastAsiaTheme="minorEastAsia" w:hAnsi="Cambria Math" w:cs="Arial"/>
                  </w:rPr>
                  <m:t>*</m:t>
                </m:r>
                <m:sSub>
                  <m:sSubPr>
                    <m:ctrlPr>
                      <w:rPr>
                        <w:rFonts w:ascii="Cambria Math" w:eastAsiaTheme="minorEastAsia" w:hAnsi="Cambria Math" w:cs="Arial"/>
                        <w:i/>
                      </w:rPr>
                    </m:ctrlPr>
                  </m:sSubPr>
                  <m:e>
                    <m:r>
                      <w:rPr>
                        <w:rFonts w:ascii="Cambria Math" w:eastAsiaTheme="minorEastAsia" w:hAnsi="Cambria Math" w:cs="Arial"/>
                      </w:rPr>
                      <m:t>QQ</m:t>
                    </m:r>
                  </m:e>
                  <m:sub>
                    <m:r>
                      <w:rPr>
                        <w:rFonts w:ascii="Cambria Math" w:eastAsiaTheme="minorEastAsia" w:hAnsi="Cambria Math" w:cs="Arial"/>
                      </w:rPr>
                      <m:t>c</m:t>
                    </m:r>
                  </m:sub>
                </m:sSub>
                <m:r>
                  <w:rPr>
                    <w:rFonts w:ascii="Cambria Math" w:eastAsiaTheme="minorEastAsia" w:hAnsi="Cambria Math" w:cs="Arial"/>
                  </w:rPr>
                  <m:t>)</m:t>
                </m:r>
              </m:oMath>
            </m:oMathPara>
          </w:p>
        </w:tc>
        <w:tc>
          <w:tcPr>
            <w:tcW w:w="0" w:type="auto"/>
            <w:tcBorders>
              <w:top w:val="nil"/>
              <w:left w:val="nil"/>
              <w:bottom w:val="single" w:sz="4" w:space="0" w:color="auto"/>
              <w:right w:val="nil"/>
            </w:tcBorders>
          </w:tcPr>
          <w:p w14:paraId="335CFF74" w14:textId="77777777" w:rsidR="000F7773" w:rsidRDefault="000F7773" w:rsidP="00DB0816">
            <w:pPr>
              <w:rPr>
                <w:rFonts w:eastAsiaTheme="minorEastAsia" w:cs="Arial"/>
              </w:rPr>
            </w:pPr>
            <m:oMathPara>
              <m:oMath>
                <m:r>
                  <w:rPr>
                    <w:rFonts w:ascii="Cambria Math" w:eastAsiaTheme="minorEastAsia" w:hAnsi="Cambria Math" w:cs="Arial"/>
                  </w:rPr>
                  <m:t>(</m:t>
                </m:r>
                <m:sSub>
                  <m:sSubPr>
                    <m:ctrlPr>
                      <w:rPr>
                        <w:rFonts w:ascii="Cambria Math" w:eastAsiaTheme="minorEastAsia" w:hAnsi="Cambria Math" w:cs="Arial"/>
                        <w:i/>
                      </w:rPr>
                    </m:ctrlPr>
                  </m:sSubPr>
                  <m:e>
                    <m:r>
                      <w:rPr>
                        <w:rFonts w:ascii="Cambria Math" w:eastAsiaTheme="minorEastAsia" w:hAnsi="Cambria Math" w:cs="Arial"/>
                      </w:rPr>
                      <m:t>PX</m:t>
                    </m:r>
                  </m:e>
                  <m:sub>
                    <m:r>
                      <w:rPr>
                        <w:rFonts w:ascii="Cambria Math" w:eastAsiaTheme="minorEastAsia" w:hAnsi="Cambria Math" w:cs="Arial"/>
                      </w:rPr>
                      <m:t>a</m:t>
                    </m:r>
                  </m:sub>
                </m:sSub>
                <m:r>
                  <w:rPr>
                    <w:rFonts w:ascii="Cambria Math" w:eastAsiaTheme="minorEastAsia" w:hAnsi="Cambria Math" w:cs="Arial"/>
                  </w:rPr>
                  <m:t>*</m:t>
                </m:r>
                <m:sSub>
                  <m:sSubPr>
                    <m:ctrlPr>
                      <w:rPr>
                        <w:rFonts w:ascii="Cambria Math" w:eastAsiaTheme="minorEastAsia" w:hAnsi="Cambria Math" w:cs="Arial"/>
                        <w:i/>
                      </w:rPr>
                    </m:ctrlPr>
                  </m:sSubPr>
                  <m:e>
                    <m:r>
                      <w:rPr>
                        <w:rFonts w:ascii="Cambria Math" w:eastAsiaTheme="minorEastAsia" w:hAnsi="Cambria Math" w:cs="Arial"/>
                      </w:rPr>
                      <m:t>QX</m:t>
                    </m:r>
                  </m:e>
                  <m:sub>
                    <m:r>
                      <w:rPr>
                        <w:rFonts w:ascii="Cambria Math" w:eastAsiaTheme="minorEastAsia" w:hAnsi="Cambria Math" w:cs="Arial"/>
                      </w:rPr>
                      <m:t>a</m:t>
                    </m:r>
                  </m:sub>
                </m:sSub>
                <m:r>
                  <w:rPr>
                    <w:rFonts w:ascii="Cambria Math" w:eastAsiaTheme="minorEastAsia" w:hAnsi="Cambria Math" w:cs="Arial"/>
                  </w:rPr>
                  <m:t>)</m:t>
                </m:r>
              </m:oMath>
            </m:oMathPara>
          </w:p>
        </w:tc>
        <w:tc>
          <w:tcPr>
            <w:tcW w:w="0" w:type="auto"/>
            <w:tcBorders>
              <w:top w:val="nil"/>
              <w:left w:val="nil"/>
              <w:bottom w:val="single" w:sz="4" w:space="0" w:color="auto"/>
              <w:right w:val="nil"/>
            </w:tcBorders>
          </w:tcPr>
          <w:p w14:paraId="11C0DF82" w14:textId="77777777" w:rsidR="000F7773" w:rsidRDefault="00FA183A" w:rsidP="00DB0816">
            <w:pPr>
              <w:rPr>
                <w:rFonts w:eastAsiaTheme="minorEastAsia" w:cs="Arial"/>
              </w:rPr>
            </w:pPr>
            <m:oMathPara>
              <m:oMath>
                <m:sSub>
                  <m:sSubPr>
                    <m:ctrlPr>
                      <w:rPr>
                        <w:rFonts w:ascii="Cambria Math" w:eastAsiaTheme="minorEastAsia" w:hAnsi="Cambria Math" w:cs="Arial"/>
                        <w:i/>
                      </w:rPr>
                    </m:ctrlPr>
                  </m:sSubPr>
                  <m:e>
                    <m:r>
                      <w:rPr>
                        <w:rFonts w:ascii="Cambria Math" w:eastAsiaTheme="minorEastAsia" w:hAnsi="Cambria Math" w:cs="Arial"/>
                      </w:rPr>
                      <m:t>YF</m:t>
                    </m:r>
                  </m:e>
                  <m:sub>
                    <m:r>
                      <w:rPr>
                        <w:rFonts w:ascii="Cambria Math" w:eastAsiaTheme="minorEastAsia" w:hAnsi="Cambria Math" w:cs="Arial"/>
                      </w:rPr>
                      <m:t>f</m:t>
                    </m:r>
                  </m:sub>
                </m:sSub>
              </m:oMath>
            </m:oMathPara>
          </w:p>
        </w:tc>
      </w:tr>
      <w:tr w:rsidR="000F7773" w14:paraId="45137531" w14:textId="77777777" w:rsidTr="00700471">
        <w:trPr>
          <w:trHeight w:val="569"/>
          <w:jc w:val="center"/>
        </w:trPr>
        <w:tc>
          <w:tcPr>
            <w:tcW w:w="0" w:type="auto"/>
            <w:tcBorders>
              <w:top w:val="single" w:sz="4" w:space="0" w:color="auto"/>
              <w:left w:val="nil"/>
              <w:bottom w:val="nil"/>
              <w:right w:val="nil"/>
            </w:tcBorders>
          </w:tcPr>
          <w:p w14:paraId="7314D42E" w14:textId="77777777" w:rsidR="000F7773" w:rsidRDefault="000F7773" w:rsidP="00DB0816">
            <w:pPr>
              <w:rPr>
                <w:rFonts w:eastAsiaTheme="minorEastAsia" w:cs="Arial"/>
              </w:rPr>
            </w:pPr>
          </w:p>
        </w:tc>
        <w:tc>
          <w:tcPr>
            <w:tcW w:w="0" w:type="auto"/>
            <w:tcBorders>
              <w:top w:val="single" w:sz="4" w:space="0" w:color="auto"/>
              <w:left w:val="nil"/>
              <w:bottom w:val="nil"/>
              <w:right w:val="nil"/>
            </w:tcBorders>
          </w:tcPr>
          <w:p w14:paraId="011CDFED" w14:textId="77777777" w:rsidR="000F7773" w:rsidRDefault="000F7773" w:rsidP="00DB0816">
            <w:pPr>
              <w:rPr>
                <w:rFonts w:eastAsia="Calibri" w:cs="Arial"/>
              </w:rPr>
            </w:pPr>
          </w:p>
        </w:tc>
        <w:tc>
          <w:tcPr>
            <w:tcW w:w="0" w:type="auto"/>
            <w:tcBorders>
              <w:top w:val="single" w:sz="4" w:space="0" w:color="auto"/>
              <w:left w:val="nil"/>
              <w:bottom w:val="nil"/>
              <w:right w:val="nil"/>
            </w:tcBorders>
          </w:tcPr>
          <w:p w14:paraId="4BC73A46" w14:textId="77777777" w:rsidR="000F7773" w:rsidRDefault="000F7773" w:rsidP="00DB0816">
            <w:pPr>
              <w:rPr>
                <w:rFonts w:eastAsia="Calibri" w:cs="Arial"/>
              </w:rPr>
            </w:pPr>
          </w:p>
        </w:tc>
        <w:tc>
          <w:tcPr>
            <w:tcW w:w="0" w:type="auto"/>
            <w:tcBorders>
              <w:top w:val="single" w:sz="4" w:space="0" w:color="auto"/>
              <w:left w:val="nil"/>
              <w:bottom w:val="nil"/>
              <w:right w:val="nil"/>
            </w:tcBorders>
          </w:tcPr>
          <w:p w14:paraId="35136B98" w14:textId="77777777" w:rsidR="000F7773" w:rsidRDefault="000F7773" w:rsidP="00DB0816">
            <w:pPr>
              <w:rPr>
                <w:rFonts w:eastAsia="Calibri" w:cs="Arial"/>
              </w:rPr>
            </w:pPr>
          </w:p>
        </w:tc>
      </w:tr>
      <w:tr w:rsidR="000F7773" w14:paraId="79BAA174" w14:textId="77777777" w:rsidTr="00700471">
        <w:trPr>
          <w:trHeight w:val="464"/>
          <w:jc w:val="center"/>
        </w:trPr>
        <w:tc>
          <w:tcPr>
            <w:tcW w:w="0" w:type="auto"/>
            <w:tcBorders>
              <w:top w:val="nil"/>
              <w:left w:val="nil"/>
              <w:bottom w:val="single" w:sz="4" w:space="0" w:color="auto"/>
              <w:right w:val="single" w:sz="4" w:space="0" w:color="auto"/>
            </w:tcBorders>
          </w:tcPr>
          <w:p w14:paraId="1683C3E0" w14:textId="77777777" w:rsidR="000F7773" w:rsidRPr="00C22533" w:rsidRDefault="000F7773" w:rsidP="00DB0816">
            <w:pPr>
              <w:rPr>
                <w:rFonts w:ascii="Arial" w:eastAsiaTheme="minorEastAsia" w:cs="Arial"/>
              </w:rPr>
            </w:pPr>
          </w:p>
        </w:tc>
        <w:tc>
          <w:tcPr>
            <w:tcW w:w="0" w:type="auto"/>
            <w:tcBorders>
              <w:top w:val="nil"/>
              <w:left w:val="single" w:sz="4" w:space="0" w:color="auto"/>
              <w:bottom w:val="single" w:sz="4" w:space="0" w:color="auto"/>
              <w:right w:val="nil"/>
            </w:tcBorders>
          </w:tcPr>
          <w:p w14:paraId="57FE3181" w14:textId="77777777" w:rsidR="000F7773" w:rsidRPr="00C22533" w:rsidRDefault="000F7773" w:rsidP="00DB0816">
            <w:pPr>
              <w:jc w:val="center"/>
              <w:rPr>
                <w:rFonts w:ascii="Arial" w:eastAsiaTheme="minorEastAsia" w:cs="Arial"/>
              </w:rPr>
            </w:pPr>
            <w:r w:rsidRPr="00C22533">
              <w:rPr>
                <w:rFonts w:ascii="Arial" w:eastAsiaTheme="minorEastAsia" w:cs="Arial"/>
              </w:rPr>
              <w:t>Hogares</w:t>
            </w:r>
          </w:p>
        </w:tc>
        <w:tc>
          <w:tcPr>
            <w:tcW w:w="0" w:type="auto"/>
            <w:tcBorders>
              <w:top w:val="nil"/>
              <w:left w:val="nil"/>
              <w:bottom w:val="single" w:sz="4" w:space="0" w:color="auto"/>
              <w:right w:val="nil"/>
            </w:tcBorders>
          </w:tcPr>
          <w:p w14:paraId="4DBE067E" w14:textId="77777777" w:rsidR="000F7773" w:rsidRPr="00C22533" w:rsidRDefault="000F7773" w:rsidP="00DB0816">
            <w:pPr>
              <w:jc w:val="center"/>
              <w:rPr>
                <w:rFonts w:ascii="Arial" w:eastAsiaTheme="minorEastAsia" w:cs="Arial"/>
              </w:rPr>
            </w:pPr>
            <w:r w:rsidRPr="00C22533">
              <w:rPr>
                <w:rFonts w:ascii="Arial" w:eastAsiaTheme="minorEastAsia" w:cs="Arial"/>
              </w:rPr>
              <w:t>Empresas</w:t>
            </w:r>
          </w:p>
        </w:tc>
        <w:tc>
          <w:tcPr>
            <w:tcW w:w="0" w:type="auto"/>
            <w:tcBorders>
              <w:top w:val="nil"/>
              <w:left w:val="nil"/>
              <w:bottom w:val="single" w:sz="4" w:space="0" w:color="auto"/>
              <w:right w:val="nil"/>
            </w:tcBorders>
          </w:tcPr>
          <w:p w14:paraId="0E0BE771" w14:textId="77777777" w:rsidR="000F7773" w:rsidRPr="00C22533" w:rsidRDefault="000F7773" w:rsidP="00DB0816">
            <w:pPr>
              <w:jc w:val="center"/>
              <w:rPr>
                <w:rFonts w:ascii="Arial" w:eastAsiaTheme="minorEastAsia" w:cs="Arial"/>
              </w:rPr>
            </w:pPr>
            <w:r w:rsidRPr="00C22533">
              <w:rPr>
                <w:rFonts w:ascii="Arial" w:eastAsiaTheme="minorEastAsia" w:cs="Arial"/>
              </w:rPr>
              <w:t>Gobierno</w:t>
            </w:r>
          </w:p>
        </w:tc>
      </w:tr>
      <w:tr w:rsidR="000F7773" w14:paraId="420963D7" w14:textId="77777777" w:rsidTr="00700471">
        <w:trPr>
          <w:trHeight w:val="464"/>
          <w:jc w:val="center"/>
        </w:trPr>
        <w:tc>
          <w:tcPr>
            <w:tcW w:w="0" w:type="auto"/>
            <w:tcBorders>
              <w:top w:val="single" w:sz="4" w:space="0" w:color="auto"/>
              <w:left w:val="nil"/>
              <w:bottom w:val="nil"/>
              <w:right w:val="single" w:sz="4" w:space="0" w:color="auto"/>
            </w:tcBorders>
          </w:tcPr>
          <w:p w14:paraId="07D0E351" w14:textId="77777777" w:rsidR="000F7773" w:rsidRPr="00C22533" w:rsidRDefault="000F7773" w:rsidP="00DB0816">
            <w:pPr>
              <w:rPr>
                <w:rFonts w:ascii="Arial" w:eastAsiaTheme="minorEastAsia" w:cs="Arial"/>
              </w:rPr>
            </w:pPr>
            <w:r w:rsidRPr="00C22533">
              <w:rPr>
                <w:rFonts w:ascii="Arial" w:eastAsiaTheme="minorEastAsia" w:cs="Arial"/>
              </w:rPr>
              <w:t>Bienes</w:t>
            </w:r>
          </w:p>
        </w:tc>
        <w:tc>
          <w:tcPr>
            <w:tcW w:w="0" w:type="auto"/>
            <w:tcBorders>
              <w:top w:val="single" w:sz="4" w:space="0" w:color="auto"/>
              <w:left w:val="single" w:sz="4" w:space="0" w:color="auto"/>
              <w:bottom w:val="nil"/>
              <w:right w:val="nil"/>
            </w:tcBorders>
          </w:tcPr>
          <w:p w14:paraId="73AD5DC9" w14:textId="77777777" w:rsidR="000F7773" w:rsidRPr="00847A4D" w:rsidRDefault="00FA183A" w:rsidP="00DB0816">
            <w:pPr>
              <w:rPr>
                <w:rFonts w:eastAsiaTheme="minorEastAsia" w:cs="Arial"/>
                <w:sz w:val="20"/>
                <w:szCs w:val="20"/>
              </w:rPr>
            </w:pPr>
            <m:oMathPara>
              <m:oMath>
                <m:sSub>
                  <m:sSubPr>
                    <m:ctrlPr>
                      <w:rPr>
                        <w:rFonts w:ascii="Cambria Math" w:eastAsiaTheme="minorEastAsia" w:hAnsi="Cambria Math" w:cs="Arial"/>
                        <w:i/>
                        <w:sz w:val="20"/>
                        <w:szCs w:val="20"/>
                      </w:rPr>
                    </m:ctrlPr>
                  </m:sSubPr>
                  <m:e>
                    <m:r>
                      <w:rPr>
                        <w:rFonts w:ascii="Cambria Math" w:eastAsiaTheme="minorEastAsia" w:hAnsi="Cambria Math" w:cs="Arial"/>
                        <w:sz w:val="20"/>
                        <w:szCs w:val="20"/>
                      </w:rPr>
                      <m:t>(</m:t>
                    </m:r>
                    <m:r>
                      <w:rPr>
                        <w:rFonts w:ascii="Cambria Math" w:eastAsiaTheme="minorEastAsia" w:hAnsi="Cambria Math" w:cs="Arial"/>
                        <w:sz w:val="20"/>
                        <w:szCs w:val="20"/>
                      </w:rPr>
                      <m:t>PQCD</m:t>
                    </m:r>
                  </m:e>
                  <m:sub>
                    <m:r>
                      <w:rPr>
                        <w:rFonts w:ascii="Cambria Math" w:eastAsiaTheme="minorEastAsia" w:hAnsi="Cambria Math" w:cs="Arial"/>
                        <w:sz w:val="20"/>
                        <w:szCs w:val="20"/>
                      </w:rPr>
                      <m:t>c</m:t>
                    </m:r>
                  </m:sub>
                </m:sSub>
                <m:r>
                  <w:rPr>
                    <w:rFonts w:ascii="Cambria Math" w:eastAsiaTheme="minorEastAsia" w:hAnsi="Cambria Math" w:cs="Arial"/>
                    <w:sz w:val="20"/>
                    <w:szCs w:val="20"/>
                    <w:lang w:val="en-US"/>
                  </w:rPr>
                  <m:t>*</m:t>
                </m:r>
                <m:sSub>
                  <m:sSubPr>
                    <m:ctrlPr>
                      <w:rPr>
                        <w:rFonts w:ascii="Cambria Math" w:eastAsiaTheme="minorEastAsia" w:hAnsi="Cambria Math" w:cs="Arial"/>
                        <w:i/>
                        <w:sz w:val="20"/>
                        <w:szCs w:val="20"/>
                        <w:lang w:val="en-US"/>
                      </w:rPr>
                    </m:ctrlPr>
                  </m:sSubPr>
                  <m:e>
                    <m:r>
                      <w:rPr>
                        <w:rFonts w:ascii="Cambria Math" w:eastAsiaTheme="minorEastAsia" w:hAnsi="Cambria Math" w:cs="Arial"/>
                        <w:sz w:val="20"/>
                        <w:szCs w:val="20"/>
                        <w:lang w:val="en-US"/>
                      </w:rPr>
                      <m:t>QCD</m:t>
                    </m:r>
                  </m:e>
                  <m:sub>
                    <m:r>
                      <w:rPr>
                        <w:rFonts w:ascii="Cambria Math" w:eastAsiaTheme="minorEastAsia" w:hAnsi="Cambria Math" w:cs="Arial"/>
                        <w:sz w:val="20"/>
                        <w:szCs w:val="20"/>
                        <w:lang w:val="en-US"/>
                      </w:rPr>
                      <m:t>c</m:t>
                    </m:r>
                    <m:r>
                      <w:rPr>
                        <w:rFonts w:ascii="Cambria Math" w:eastAsiaTheme="minorEastAsia" w:hAnsi="Cambria Math" w:cs="Arial"/>
                        <w:sz w:val="20"/>
                        <w:szCs w:val="20"/>
                        <w:lang w:val="en-US"/>
                      </w:rPr>
                      <m:t>,h</m:t>
                    </m:r>
                  </m:sub>
                </m:sSub>
                <m:r>
                  <w:rPr>
                    <w:rFonts w:ascii="Cambria Math" w:eastAsiaTheme="minorEastAsia" w:hAnsi="Cambria Math" w:cs="Arial"/>
                    <w:sz w:val="20"/>
                    <w:szCs w:val="20"/>
                    <w:lang w:val="en-US"/>
                  </w:rPr>
                  <m:t>)</m:t>
                </m:r>
              </m:oMath>
            </m:oMathPara>
          </w:p>
        </w:tc>
        <w:tc>
          <w:tcPr>
            <w:tcW w:w="0" w:type="auto"/>
            <w:tcBorders>
              <w:top w:val="single" w:sz="4" w:space="0" w:color="auto"/>
              <w:left w:val="nil"/>
              <w:bottom w:val="nil"/>
              <w:right w:val="nil"/>
            </w:tcBorders>
          </w:tcPr>
          <w:p w14:paraId="5CF3CD2C" w14:textId="77777777" w:rsidR="000F7773" w:rsidRPr="00847A4D" w:rsidRDefault="000F7773" w:rsidP="00DB0816">
            <w:pPr>
              <w:rPr>
                <w:rFonts w:eastAsiaTheme="minorEastAsia" w:cs="Arial"/>
                <w:sz w:val="20"/>
                <w:szCs w:val="20"/>
              </w:rPr>
            </w:pPr>
            <m:oMathPara>
              <m:oMath>
                <m:r>
                  <w:rPr>
                    <w:rFonts w:ascii="Cambria Math" w:eastAsiaTheme="minorEastAsia" w:hAnsi="Cambria Math" w:cs="Arial"/>
                    <w:sz w:val="20"/>
                    <w:szCs w:val="20"/>
                  </w:rPr>
                  <m:t>(</m:t>
                </m:r>
                <m:sSub>
                  <m:sSubPr>
                    <m:ctrlPr>
                      <w:rPr>
                        <w:rFonts w:ascii="Cambria Math" w:eastAsiaTheme="minorEastAsia" w:hAnsi="Cambria Math" w:cs="Arial"/>
                        <w:i/>
                        <w:sz w:val="20"/>
                        <w:szCs w:val="20"/>
                      </w:rPr>
                    </m:ctrlPr>
                  </m:sSubPr>
                  <m:e>
                    <m:r>
                      <w:rPr>
                        <w:rFonts w:ascii="Cambria Math" w:eastAsiaTheme="minorEastAsia" w:hAnsi="Cambria Math" w:cs="Arial"/>
                        <w:sz w:val="20"/>
                        <w:szCs w:val="20"/>
                      </w:rPr>
                      <m:t>PQD</m:t>
                    </m:r>
                  </m:e>
                  <m:sub>
                    <m:r>
                      <w:rPr>
                        <w:rFonts w:ascii="Cambria Math" w:eastAsiaTheme="minorEastAsia" w:hAnsi="Cambria Math" w:cs="Arial"/>
                        <w:sz w:val="20"/>
                        <w:szCs w:val="20"/>
                      </w:rPr>
                      <m:t>c</m:t>
                    </m:r>
                  </m:sub>
                </m:sSub>
                <m:r>
                  <w:rPr>
                    <w:rFonts w:ascii="Cambria Math" w:eastAsiaTheme="minorEastAsia" w:hAnsi="Cambria Math" w:cs="Arial"/>
                    <w:sz w:val="20"/>
                    <w:szCs w:val="20"/>
                  </w:rPr>
                  <m:t>*</m:t>
                </m:r>
                <m:sSub>
                  <m:sSubPr>
                    <m:ctrlPr>
                      <w:rPr>
                        <w:rFonts w:ascii="Cambria Math" w:eastAsiaTheme="minorEastAsia" w:hAnsi="Cambria Math" w:cs="Arial"/>
                        <w:i/>
                        <w:sz w:val="20"/>
                        <w:szCs w:val="20"/>
                      </w:rPr>
                    </m:ctrlPr>
                  </m:sSubPr>
                  <m:e>
                    <m:r>
                      <w:rPr>
                        <w:rFonts w:ascii="Cambria Math" w:eastAsiaTheme="minorEastAsia" w:hAnsi="Cambria Math" w:cs="Arial"/>
                        <w:sz w:val="20"/>
                        <w:szCs w:val="20"/>
                      </w:rPr>
                      <m:t>QENTD</m:t>
                    </m:r>
                  </m:e>
                  <m:sub>
                    <m:r>
                      <w:rPr>
                        <w:rFonts w:ascii="Cambria Math" w:eastAsiaTheme="minorEastAsia" w:hAnsi="Cambria Math" w:cs="Arial"/>
                        <w:sz w:val="20"/>
                        <w:szCs w:val="20"/>
                      </w:rPr>
                      <m:t>c</m:t>
                    </m:r>
                  </m:sub>
                </m:sSub>
                <m:r>
                  <w:rPr>
                    <w:rFonts w:ascii="Cambria Math" w:eastAsiaTheme="minorEastAsia" w:hAnsi="Cambria Math" w:cs="Arial"/>
                    <w:sz w:val="20"/>
                    <w:szCs w:val="20"/>
                  </w:rPr>
                  <m:t>)</m:t>
                </m:r>
              </m:oMath>
            </m:oMathPara>
          </w:p>
        </w:tc>
        <w:tc>
          <w:tcPr>
            <w:tcW w:w="0" w:type="auto"/>
            <w:tcBorders>
              <w:top w:val="single" w:sz="4" w:space="0" w:color="auto"/>
              <w:left w:val="nil"/>
              <w:bottom w:val="nil"/>
              <w:right w:val="nil"/>
            </w:tcBorders>
          </w:tcPr>
          <w:p w14:paraId="1012F338" w14:textId="77777777" w:rsidR="000F7773" w:rsidRPr="00847A4D" w:rsidRDefault="000F7773" w:rsidP="00DB0816">
            <w:pPr>
              <w:rPr>
                <w:rFonts w:eastAsiaTheme="minorEastAsia" w:cs="Arial"/>
                <w:sz w:val="20"/>
                <w:szCs w:val="20"/>
              </w:rPr>
            </w:pPr>
            <m:oMathPara>
              <m:oMath>
                <m:r>
                  <w:rPr>
                    <w:rFonts w:ascii="Cambria Math" w:eastAsiaTheme="minorEastAsia" w:hAnsi="Cambria Math" w:cs="Arial"/>
                    <w:sz w:val="20"/>
                    <w:szCs w:val="20"/>
                  </w:rPr>
                  <m:t>(</m:t>
                </m:r>
                <m:sSub>
                  <m:sSubPr>
                    <m:ctrlPr>
                      <w:rPr>
                        <w:rFonts w:ascii="Cambria Math" w:eastAsiaTheme="minorEastAsia" w:hAnsi="Cambria Math" w:cs="Arial"/>
                        <w:i/>
                        <w:sz w:val="20"/>
                        <w:szCs w:val="20"/>
                      </w:rPr>
                    </m:ctrlPr>
                  </m:sSubPr>
                  <m:e>
                    <m:r>
                      <w:rPr>
                        <w:rFonts w:ascii="Cambria Math" w:eastAsiaTheme="minorEastAsia" w:hAnsi="Cambria Math" w:cs="Arial"/>
                        <w:sz w:val="20"/>
                        <w:szCs w:val="20"/>
                      </w:rPr>
                      <m:t>PQD</m:t>
                    </m:r>
                  </m:e>
                  <m:sub>
                    <m:r>
                      <w:rPr>
                        <w:rFonts w:ascii="Cambria Math" w:eastAsiaTheme="minorEastAsia" w:hAnsi="Cambria Math" w:cs="Arial"/>
                        <w:sz w:val="20"/>
                        <w:szCs w:val="20"/>
                      </w:rPr>
                      <m:t>c</m:t>
                    </m:r>
                  </m:sub>
                </m:sSub>
                <m:r>
                  <w:rPr>
                    <w:rFonts w:ascii="Cambria Math" w:eastAsiaTheme="minorEastAsia" w:hAnsi="Cambria Math" w:cs="Arial"/>
                    <w:sz w:val="20"/>
                    <w:szCs w:val="20"/>
                  </w:rPr>
                  <m:t>*</m:t>
                </m:r>
                <m:sSub>
                  <m:sSubPr>
                    <m:ctrlPr>
                      <w:rPr>
                        <w:rFonts w:ascii="Cambria Math" w:eastAsiaTheme="minorEastAsia" w:hAnsi="Cambria Math" w:cs="Arial"/>
                        <w:i/>
                        <w:sz w:val="20"/>
                        <w:szCs w:val="20"/>
                      </w:rPr>
                    </m:ctrlPr>
                  </m:sSubPr>
                  <m:e>
                    <m:r>
                      <w:rPr>
                        <w:rFonts w:ascii="Cambria Math" w:eastAsiaTheme="minorEastAsia" w:hAnsi="Cambria Math" w:cs="Arial"/>
                        <w:sz w:val="20"/>
                        <w:szCs w:val="20"/>
                      </w:rPr>
                      <m:t>QGD</m:t>
                    </m:r>
                  </m:e>
                  <m:sub>
                    <m:r>
                      <w:rPr>
                        <w:rFonts w:ascii="Cambria Math" w:eastAsiaTheme="minorEastAsia" w:hAnsi="Cambria Math" w:cs="Arial"/>
                        <w:sz w:val="20"/>
                        <w:szCs w:val="20"/>
                      </w:rPr>
                      <m:t>c</m:t>
                    </m:r>
                  </m:sub>
                </m:sSub>
                <m:r>
                  <w:rPr>
                    <w:rFonts w:ascii="Cambria Math" w:eastAsiaTheme="minorEastAsia" w:hAnsi="Cambria Math" w:cs="Arial"/>
                    <w:sz w:val="20"/>
                    <w:szCs w:val="20"/>
                  </w:rPr>
                  <m:t>)</m:t>
                </m:r>
              </m:oMath>
            </m:oMathPara>
          </w:p>
        </w:tc>
      </w:tr>
      <w:tr w:rsidR="000F7773" w14:paraId="0D50352E" w14:textId="77777777" w:rsidTr="00700471">
        <w:trPr>
          <w:trHeight w:val="958"/>
          <w:jc w:val="center"/>
        </w:trPr>
        <w:tc>
          <w:tcPr>
            <w:tcW w:w="0" w:type="auto"/>
            <w:tcBorders>
              <w:top w:val="nil"/>
              <w:left w:val="nil"/>
              <w:bottom w:val="nil"/>
              <w:right w:val="single" w:sz="4" w:space="0" w:color="auto"/>
            </w:tcBorders>
          </w:tcPr>
          <w:p w14:paraId="7D48074B" w14:textId="77777777" w:rsidR="000F7773" w:rsidRPr="00C22533" w:rsidRDefault="000F7773" w:rsidP="00DB0816">
            <w:pPr>
              <w:rPr>
                <w:rFonts w:ascii="Arial" w:eastAsiaTheme="minorEastAsia" w:cs="Arial"/>
              </w:rPr>
            </w:pPr>
            <w:r w:rsidRPr="00C22533">
              <w:rPr>
                <w:rFonts w:ascii="Arial" w:eastAsiaTheme="minorEastAsia" w:cs="Arial"/>
              </w:rPr>
              <w:t xml:space="preserve">Actividades </w:t>
            </w:r>
          </w:p>
        </w:tc>
        <w:tc>
          <w:tcPr>
            <w:tcW w:w="0" w:type="auto"/>
            <w:tcBorders>
              <w:top w:val="nil"/>
              <w:left w:val="single" w:sz="4" w:space="0" w:color="auto"/>
              <w:bottom w:val="nil"/>
              <w:right w:val="nil"/>
            </w:tcBorders>
          </w:tcPr>
          <w:p w14:paraId="4F4CC06E" w14:textId="77777777" w:rsidR="000F7773" w:rsidRPr="00847A4D" w:rsidRDefault="000F7773" w:rsidP="00DB0816">
            <w:pPr>
              <w:rPr>
                <w:rFonts w:eastAsiaTheme="minorEastAsia" w:cs="Arial"/>
                <w:i/>
                <w:sz w:val="20"/>
                <w:szCs w:val="20"/>
                <w:lang w:val="en-US"/>
              </w:rPr>
            </w:pPr>
          </w:p>
          <w:p w14:paraId="4E7F2349" w14:textId="77777777" w:rsidR="000F7773" w:rsidRPr="00847A4D" w:rsidRDefault="000F7773" w:rsidP="00DB0816">
            <w:pPr>
              <w:rPr>
                <w:rFonts w:eastAsiaTheme="minorEastAsia" w:cs="Arial"/>
                <w:i/>
                <w:sz w:val="20"/>
                <w:szCs w:val="20"/>
                <w:lang w:val="en-US"/>
              </w:rPr>
            </w:pPr>
          </w:p>
        </w:tc>
        <w:tc>
          <w:tcPr>
            <w:tcW w:w="0" w:type="auto"/>
            <w:tcBorders>
              <w:top w:val="nil"/>
              <w:left w:val="nil"/>
              <w:bottom w:val="nil"/>
              <w:right w:val="nil"/>
            </w:tcBorders>
          </w:tcPr>
          <w:p w14:paraId="7E7993DD" w14:textId="77777777" w:rsidR="000F7773" w:rsidRPr="00847A4D" w:rsidRDefault="000F7773" w:rsidP="00DB0816">
            <w:pPr>
              <w:rPr>
                <w:rFonts w:eastAsiaTheme="minorEastAsia" w:cs="Arial"/>
                <w:sz w:val="20"/>
                <w:szCs w:val="20"/>
              </w:rPr>
            </w:pPr>
          </w:p>
        </w:tc>
        <w:tc>
          <w:tcPr>
            <w:tcW w:w="0" w:type="auto"/>
            <w:tcBorders>
              <w:top w:val="nil"/>
              <w:left w:val="nil"/>
              <w:bottom w:val="nil"/>
              <w:right w:val="nil"/>
            </w:tcBorders>
          </w:tcPr>
          <w:p w14:paraId="192A7827" w14:textId="77777777" w:rsidR="000F7773" w:rsidRPr="00847A4D" w:rsidRDefault="000F7773" w:rsidP="00DB0816">
            <w:pPr>
              <w:rPr>
                <w:rFonts w:eastAsiaTheme="minorEastAsia" w:cs="Arial"/>
                <w:sz w:val="20"/>
                <w:szCs w:val="20"/>
              </w:rPr>
            </w:pPr>
          </w:p>
        </w:tc>
      </w:tr>
      <w:tr w:rsidR="000F7773" w14:paraId="575948DD" w14:textId="77777777" w:rsidTr="00700471">
        <w:trPr>
          <w:trHeight w:val="464"/>
          <w:jc w:val="center"/>
        </w:trPr>
        <w:tc>
          <w:tcPr>
            <w:tcW w:w="0" w:type="auto"/>
            <w:tcBorders>
              <w:top w:val="nil"/>
              <w:left w:val="nil"/>
              <w:bottom w:val="nil"/>
              <w:right w:val="single" w:sz="4" w:space="0" w:color="auto"/>
            </w:tcBorders>
          </w:tcPr>
          <w:p w14:paraId="5914E45A" w14:textId="77777777" w:rsidR="000F7773" w:rsidRPr="00C22533" w:rsidRDefault="000F7773" w:rsidP="00DB0816">
            <w:pPr>
              <w:rPr>
                <w:rFonts w:ascii="Arial" w:eastAsiaTheme="minorEastAsia" w:cs="Arial"/>
              </w:rPr>
            </w:pPr>
            <w:r w:rsidRPr="00C22533">
              <w:rPr>
                <w:rFonts w:ascii="Arial" w:eastAsiaTheme="minorEastAsia" w:cs="Arial"/>
              </w:rPr>
              <w:t>Factores</w:t>
            </w:r>
          </w:p>
        </w:tc>
        <w:tc>
          <w:tcPr>
            <w:tcW w:w="0" w:type="auto"/>
            <w:tcBorders>
              <w:top w:val="nil"/>
              <w:left w:val="single" w:sz="4" w:space="0" w:color="auto"/>
              <w:bottom w:val="nil"/>
              <w:right w:val="nil"/>
            </w:tcBorders>
          </w:tcPr>
          <w:p w14:paraId="118924D8" w14:textId="77777777" w:rsidR="000F7773" w:rsidRPr="00847A4D" w:rsidRDefault="000F7773" w:rsidP="00DB0816">
            <w:pPr>
              <w:rPr>
                <w:rFonts w:eastAsiaTheme="minorEastAsia" w:cs="Arial"/>
                <w:sz w:val="20"/>
                <w:szCs w:val="20"/>
              </w:rPr>
            </w:pPr>
          </w:p>
        </w:tc>
        <w:tc>
          <w:tcPr>
            <w:tcW w:w="0" w:type="auto"/>
            <w:tcBorders>
              <w:top w:val="nil"/>
              <w:left w:val="nil"/>
              <w:bottom w:val="nil"/>
              <w:right w:val="nil"/>
            </w:tcBorders>
          </w:tcPr>
          <w:p w14:paraId="55572545" w14:textId="77777777" w:rsidR="000F7773" w:rsidRPr="00847A4D" w:rsidRDefault="000F7773" w:rsidP="00DB0816">
            <w:pPr>
              <w:rPr>
                <w:rFonts w:eastAsiaTheme="minorEastAsia" w:cs="Arial"/>
                <w:sz w:val="20"/>
                <w:szCs w:val="20"/>
              </w:rPr>
            </w:pPr>
          </w:p>
        </w:tc>
        <w:tc>
          <w:tcPr>
            <w:tcW w:w="0" w:type="auto"/>
            <w:tcBorders>
              <w:top w:val="nil"/>
              <w:left w:val="nil"/>
              <w:bottom w:val="nil"/>
              <w:right w:val="nil"/>
            </w:tcBorders>
          </w:tcPr>
          <w:p w14:paraId="0B3DA7C1" w14:textId="77777777" w:rsidR="000F7773" w:rsidRPr="00847A4D" w:rsidRDefault="000F7773" w:rsidP="00DB0816">
            <w:pPr>
              <w:rPr>
                <w:rFonts w:eastAsiaTheme="minorEastAsia" w:cs="Arial"/>
                <w:sz w:val="20"/>
                <w:szCs w:val="20"/>
              </w:rPr>
            </w:pPr>
          </w:p>
        </w:tc>
      </w:tr>
      <w:tr w:rsidR="000F7773" w14:paraId="563EE3F3" w14:textId="77777777" w:rsidTr="00700471">
        <w:trPr>
          <w:trHeight w:val="464"/>
          <w:jc w:val="center"/>
        </w:trPr>
        <w:tc>
          <w:tcPr>
            <w:tcW w:w="0" w:type="auto"/>
            <w:tcBorders>
              <w:top w:val="nil"/>
              <w:left w:val="nil"/>
              <w:bottom w:val="nil"/>
              <w:right w:val="single" w:sz="4" w:space="0" w:color="auto"/>
            </w:tcBorders>
          </w:tcPr>
          <w:p w14:paraId="174D3781" w14:textId="77777777" w:rsidR="000F7773" w:rsidRPr="00C22533" w:rsidRDefault="000F7773" w:rsidP="00DB0816">
            <w:pPr>
              <w:rPr>
                <w:rFonts w:ascii="Arial" w:eastAsiaTheme="minorEastAsia" w:cs="Arial"/>
              </w:rPr>
            </w:pPr>
            <w:r w:rsidRPr="00C22533">
              <w:rPr>
                <w:rFonts w:ascii="Arial" w:eastAsiaTheme="minorEastAsia" w:cs="Arial"/>
              </w:rPr>
              <w:t xml:space="preserve">Hogares </w:t>
            </w:r>
          </w:p>
        </w:tc>
        <w:tc>
          <w:tcPr>
            <w:tcW w:w="0" w:type="auto"/>
            <w:tcBorders>
              <w:top w:val="nil"/>
              <w:left w:val="single" w:sz="4" w:space="0" w:color="auto"/>
              <w:bottom w:val="nil"/>
              <w:right w:val="nil"/>
            </w:tcBorders>
          </w:tcPr>
          <w:p w14:paraId="085714F3" w14:textId="77777777" w:rsidR="000F7773" w:rsidRPr="00847A4D" w:rsidRDefault="00FA183A" w:rsidP="00DB0816">
            <w:pPr>
              <w:rPr>
                <w:rFonts w:eastAsiaTheme="minorEastAsia" w:cs="Arial"/>
                <w:sz w:val="20"/>
                <w:szCs w:val="20"/>
              </w:rPr>
            </w:pPr>
            <m:oMathPara>
              <m:oMath>
                <m:nary>
                  <m:naryPr>
                    <m:chr m:val="∑"/>
                    <m:limLoc m:val="subSup"/>
                    <m:supHide m:val="1"/>
                    <m:ctrlPr>
                      <w:rPr>
                        <w:rFonts w:ascii="Cambria Math" w:eastAsiaTheme="minorEastAsia" w:hAnsi="Cambria Math" w:cs="Arial"/>
                        <w:i/>
                        <w:sz w:val="20"/>
                        <w:szCs w:val="20"/>
                      </w:rPr>
                    </m:ctrlPr>
                  </m:naryPr>
                  <m:sub>
                    <m:r>
                      <w:rPr>
                        <w:rFonts w:ascii="Cambria Math" w:eastAsiaTheme="minorEastAsia" w:hAnsi="Cambria Math" w:cs="Arial"/>
                        <w:sz w:val="20"/>
                        <w:szCs w:val="20"/>
                      </w:rPr>
                      <m:t>hh</m:t>
                    </m:r>
                  </m:sub>
                  <m:sup/>
                  <m:e>
                    <m:sSub>
                      <m:sSubPr>
                        <m:ctrlPr>
                          <w:rPr>
                            <w:rFonts w:ascii="Cambria Math" w:eastAsiaTheme="minorEastAsia" w:hAnsi="Cambria Math" w:cs="Arial"/>
                            <w:i/>
                            <w:sz w:val="20"/>
                            <w:szCs w:val="20"/>
                          </w:rPr>
                        </m:ctrlPr>
                      </m:sSubPr>
                      <m:e>
                        <m:r>
                          <w:rPr>
                            <w:rFonts w:ascii="Cambria Math" w:eastAsiaTheme="minorEastAsia" w:hAnsi="Cambria Math" w:cs="Arial"/>
                            <w:sz w:val="20"/>
                            <w:szCs w:val="20"/>
                          </w:rPr>
                          <m:t>HOHO</m:t>
                        </m:r>
                      </m:e>
                      <m:sub>
                        <m:r>
                          <w:rPr>
                            <w:rFonts w:ascii="Cambria Math" w:eastAsiaTheme="minorEastAsia" w:hAnsi="Cambria Math" w:cs="Arial"/>
                            <w:sz w:val="20"/>
                            <w:szCs w:val="20"/>
                          </w:rPr>
                          <m:t>hh</m:t>
                        </m:r>
                        <m:r>
                          <w:rPr>
                            <w:rFonts w:ascii="Cambria Math" w:eastAsiaTheme="minorEastAsia" w:hAnsi="Cambria Math" w:cs="Arial"/>
                            <w:sz w:val="20"/>
                            <w:szCs w:val="20"/>
                          </w:rPr>
                          <m:t>,h</m:t>
                        </m:r>
                      </m:sub>
                    </m:sSub>
                  </m:e>
                </m:nary>
              </m:oMath>
            </m:oMathPara>
          </w:p>
        </w:tc>
        <w:tc>
          <w:tcPr>
            <w:tcW w:w="0" w:type="auto"/>
            <w:tcBorders>
              <w:top w:val="nil"/>
              <w:left w:val="nil"/>
              <w:bottom w:val="nil"/>
              <w:right w:val="nil"/>
            </w:tcBorders>
          </w:tcPr>
          <w:p w14:paraId="0FCB73E4" w14:textId="77777777" w:rsidR="000F7773" w:rsidRPr="00847A4D" w:rsidRDefault="00FA183A" w:rsidP="00DB0816">
            <w:pPr>
              <w:rPr>
                <w:rFonts w:eastAsiaTheme="minorEastAsia" w:cs="Arial"/>
                <w:sz w:val="20"/>
                <w:szCs w:val="20"/>
              </w:rPr>
            </w:pPr>
            <m:oMathPara>
              <m:oMath>
                <m:sSub>
                  <m:sSubPr>
                    <m:ctrlPr>
                      <w:rPr>
                        <w:rFonts w:ascii="Cambria Math" w:eastAsiaTheme="minorEastAsia" w:hAnsi="Cambria Math" w:cs="Arial"/>
                        <w:i/>
                        <w:sz w:val="20"/>
                        <w:szCs w:val="20"/>
                      </w:rPr>
                    </m:ctrlPr>
                  </m:sSubPr>
                  <m:e>
                    <m:r>
                      <w:rPr>
                        <w:rFonts w:ascii="Cambria Math" w:eastAsiaTheme="minorEastAsia" w:hAnsi="Cambria Math" w:cs="Arial"/>
                        <w:sz w:val="20"/>
                        <w:szCs w:val="20"/>
                      </w:rPr>
                      <m:t>HOENT</m:t>
                    </m:r>
                  </m:e>
                  <m:sub>
                    <m:r>
                      <w:rPr>
                        <w:rFonts w:ascii="Cambria Math" w:eastAsiaTheme="minorEastAsia" w:hAnsi="Cambria Math" w:cs="Arial"/>
                        <w:sz w:val="20"/>
                        <w:szCs w:val="20"/>
                      </w:rPr>
                      <m:t>h</m:t>
                    </m:r>
                    <m:r>
                      <w:rPr>
                        <w:rFonts w:ascii="Cambria Math" w:eastAsiaTheme="minorEastAsia" w:hAnsi="Cambria Math" w:cs="Arial"/>
                        <w:sz w:val="20"/>
                        <w:szCs w:val="20"/>
                      </w:rPr>
                      <m:t>,</m:t>
                    </m:r>
                    <m:r>
                      <w:rPr>
                        <w:rFonts w:ascii="Cambria Math" w:eastAsiaTheme="minorEastAsia" w:hAnsi="Cambria Math" w:cs="Arial"/>
                        <w:sz w:val="20"/>
                        <w:szCs w:val="20"/>
                      </w:rPr>
                      <m:t>e</m:t>
                    </m:r>
                  </m:sub>
                </m:sSub>
              </m:oMath>
            </m:oMathPara>
          </w:p>
        </w:tc>
        <w:tc>
          <w:tcPr>
            <w:tcW w:w="0" w:type="auto"/>
            <w:tcBorders>
              <w:top w:val="nil"/>
              <w:left w:val="nil"/>
              <w:bottom w:val="nil"/>
              <w:right w:val="nil"/>
            </w:tcBorders>
          </w:tcPr>
          <w:p w14:paraId="0B299B7E" w14:textId="77777777" w:rsidR="000F7773" w:rsidRPr="00847A4D" w:rsidRDefault="000F7773" w:rsidP="00DB0816">
            <w:pPr>
              <w:rPr>
                <w:rFonts w:eastAsiaTheme="minorEastAsia" w:cs="Arial"/>
                <w:sz w:val="20"/>
                <w:szCs w:val="20"/>
              </w:rPr>
            </w:pPr>
            <m:oMathPara>
              <m:oMath>
                <m:r>
                  <w:rPr>
                    <w:rFonts w:ascii="Cambria Math" w:eastAsiaTheme="minorEastAsia" w:hAnsi="Cambria Math" w:cs="Arial"/>
                    <w:sz w:val="20"/>
                    <w:szCs w:val="20"/>
                  </w:rPr>
                  <m:t>hovash</m:t>
                </m:r>
              </m:oMath>
            </m:oMathPara>
          </w:p>
        </w:tc>
      </w:tr>
      <w:tr w:rsidR="000F7773" w14:paraId="271B38A1" w14:textId="77777777" w:rsidTr="00700471">
        <w:trPr>
          <w:trHeight w:val="472"/>
          <w:jc w:val="center"/>
        </w:trPr>
        <w:tc>
          <w:tcPr>
            <w:tcW w:w="0" w:type="auto"/>
            <w:tcBorders>
              <w:top w:val="nil"/>
              <w:left w:val="nil"/>
              <w:bottom w:val="nil"/>
              <w:right w:val="single" w:sz="4" w:space="0" w:color="auto"/>
            </w:tcBorders>
          </w:tcPr>
          <w:p w14:paraId="45BBBD70" w14:textId="77777777" w:rsidR="000F7773" w:rsidRPr="00C22533" w:rsidRDefault="000F7773" w:rsidP="00DB0816">
            <w:pPr>
              <w:rPr>
                <w:rFonts w:ascii="Arial" w:eastAsiaTheme="minorEastAsia" w:cs="Arial"/>
              </w:rPr>
            </w:pPr>
            <w:r w:rsidRPr="00C22533">
              <w:rPr>
                <w:rFonts w:ascii="Arial" w:eastAsiaTheme="minorEastAsia" w:cs="Arial"/>
              </w:rPr>
              <w:t>Empresas</w:t>
            </w:r>
          </w:p>
        </w:tc>
        <w:tc>
          <w:tcPr>
            <w:tcW w:w="0" w:type="auto"/>
            <w:tcBorders>
              <w:top w:val="nil"/>
              <w:left w:val="single" w:sz="4" w:space="0" w:color="auto"/>
              <w:bottom w:val="nil"/>
              <w:right w:val="nil"/>
            </w:tcBorders>
          </w:tcPr>
          <w:p w14:paraId="4E5F5B90" w14:textId="77777777" w:rsidR="000F7773" w:rsidRPr="00847A4D" w:rsidRDefault="000F7773" w:rsidP="00DB0816">
            <w:pPr>
              <w:rPr>
                <w:rFonts w:eastAsiaTheme="minorEastAsia" w:cs="Arial"/>
                <w:sz w:val="20"/>
                <w:szCs w:val="20"/>
              </w:rPr>
            </w:pPr>
          </w:p>
        </w:tc>
        <w:tc>
          <w:tcPr>
            <w:tcW w:w="0" w:type="auto"/>
            <w:tcBorders>
              <w:top w:val="nil"/>
              <w:left w:val="nil"/>
              <w:bottom w:val="nil"/>
              <w:right w:val="nil"/>
            </w:tcBorders>
          </w:tcPr>
          <w:p w14:paraId="3B48700A" w14:textId="77777777" w:rsidR="000F7773" w:rsidRPr="00847A4D" w:rsidRDefault="00FA183A" w:rsidP="00DB0816">
            <w:pPr>
              <w:rPr>
                <w:rFonts w:eastAsiaTheme="minorEastAsia" w:cs="Arial"/>
                <w:sz w:val="20"/>
                <w:szCs w:val="20"/>
              </w:rPr>
            </w:pPr>
            <m:oMathPara>
              <m:oMath>
                <m:d>
                  <m:dPr>
                    <m:ctrlPr>
                      <w:rPr>
                        <w:rFonts w:ascii="Cambria Math" w:eastAsiaTheme="minorEastAsia" w:hAnsi="Cambria Math" w:cs="Arial"/>
                        <w:i/>
                        <w:sz w:val="20"/>
                        <w:szCs w:val="20"/>
                      </w:rPr>
                    </m:ctrlPr>
                  </m:dPr>
                  <m:e>
                    <m:r>
                      <w:rPr>
                        <w:rFonts w:ascii="Cambria Math" w:eastAsiaTheme="minorEastAsia" w:hAnsi="Cambria Math" w:cs="Arial"/>
                        <w:sz w:val="20"/>
                        <w:szCs w:val="20"/>
                      </w:rPr>
                      <m:t>TYH</m:t>
                    </m:r>
                    <m:r>
                      <w:rPr>
                        <w:rFonts w:ascii="Cambria Math" w:eastAsiaTheme="minorEastAsia" w:hAnsi="Cambria Math" w:cs="Arial"/>
                        <w:sz w:val="20"/>
                        <w:szCs w:val="20"/>
                        <w:lang w:val="en-US"/>
                      </w:rPr>
                      <m:t>*</m:t>
                    </m:r>
                    <m:r>
                      <w:rPr>
                        <w:rFonts w:ascii="Cambria Math" w:eastAsiaTheme="minorEastAsia" w:hAnsi="Cambria Math" w:cs="Arial"/>
                        <w:sz w:val="20"/>
                        <w:szCs w:val="20"/>
                        <w:lang w:val="en-US"/>
                      </w:rPr>
                      <m:t>YE</m:t>
                    </m:r>
                  </m:e>
                </m:d>
              </m:oMath>
            </m:oMathPara>
          </w:p>
        </w:tc>
        <w:tc>
          <w:tcPr>
            <w:tcW w:w="0" w:type="auto"/>
            <w:tcBorders>
              <w:top w:val="nil"/>
              <w:left w:val="nil"/>
              <w:bottom w:val="nil"/>
              <w:right w:val="nil"/>
            </w:tcBorders>
          </w:tcPr>
          <w:p w14:paraId="64FF0978" w14:textId="77777777" w:rsidR="000F7773" w:rsidRPr="00847A4D" w:rsidRDefault="00FA183A" w:rsidP="00DB0816">
            <w:pPr>
              <w:rPr>
                <w:rFonts w:eastAsiaTheme="minorEastAsia" w:cs="Arial"/>
                <w:sz w:val="20"/>
                <w:szCs w:val="20"/>
              </w:rPr>
            </w:pPr>
            <m:oMathPara>
              <m:oMath>
                <m:nary>
                  <m:naryPr>
                    <m:chr m:val="∑"/>
                    <m:limLoc m:val="subSup"/>
                    <m:supHide m:val="1"/>
                    <m:ctrlPr>
                      <w:rPr>
                        <w:rFonts w:ascii="Cambria Math" w:eastAsiaTheme="minorEastAsia" w:hAnsi="Cambria Math" w:cs="Arial"/>
                        <w:i/>
                        <w:sz w:val="20"/>
                        <w:szCs w:val="20"/>
                      </w:rPr>
                    </m:ctrlPr>
                  </m:naryPr>
                  <m:sub>
                    <m:r>
                      <w:rPr>
                        <w:rFonts w:ascii="Cambria Math" w:eastAsiaTheme="minorEastAsia" w:hAnsi="Cambria Math" w:cs="Arial"/>
                        <w:sz w:val="20"/>
                        <w:szCs w:val="20"/>
                      </w:rPr>
                      <m:t>f</m:t>
                    </m:r>
                  </m:sub>
                  <m:sup/>
                  <m:e>
                    <m:sSub>
                      <m:sSubPr>
                        <m:ctrlPr>
                          <w:rPr>
                            <w:rFonts w:ascii="Cambria Math" w:eastAsiaTheme="minorEastAsia" w:hAnsi="Cambria Math" w:cs="Arial"/>
                            <w:i/>
                            <w:sz w:val="20"/>
                            <w:szCs w:val="20"/>
                          </w:rPr>
                        </m:ctrlPr>
                      </m:sSubPr>
                      <m:e>
                        <m:r>
                          <w:rPr>
                            <w:rFonts w:ascii="Cambria Math" w:eastAsiaTheme="minorEastAsia" w:hAnsi="Cambria Math" w:cs="Arial"/>
                            <w:sz w:val="20"/>
                            <w:szCs w:val="20"/>
                          </w:rPr>
                          <m:t>entvas</m:t>
                        </m:r>
                        <m:r>
                          <w:rPr>
                            <w:rFonts w:ascii="Cambria Math" w:eastAsiaTheme="minorEastAsia" w:hAnsi="Cambria Math" w:cs="Arial"/>
                            <w:sz w:val="20"/>
                            <w:szCs w:val="20"/>
                          </w:rPr>
                          <m:t>h</m:t>
                        </m:r>
                      </m:e>
                      <m:sub>
                        <m:r>
                          <w:rPr>
                            <w:rFonts w:ascii="Cambria Math" w:eastAsiaTheme="minorEastAsia" w:hAnsi="Cambria Math" w:cs="Arial"/>
                            <w:sz w:val="20"/>
                            <w:szCs w:val="20"/>
                          </w:rPr>
                          <m:t>e</m:t>
                        </m:r>
                        <m:r>
                          <w:rPr>
                            <w:rFonts w:ascii="Cambria Math" w:eastAsiaTheme="minorEastAsia" w:hAnsi="Cambria Math" w:cs="Arial"/>
                            <w:sz w:val="20"/>
                            <w:szCs w:val="20"/>
                          </w:rPr>
                          <m:t>,</m:t>
                        </m:r>
                        <m:r>
                          <w:rPr>
                            <w:rFonts w:ascii="Cambria Math" w:eastAsiaTheme="minorEastAsia" w:hAnsi="Cambria Math" w:cs="Arial"/>
                            <w:sz w:val="20"/>
                            <w:szCs w:val="20"/>
                          </w:rPr>
                          <m:t>f</m:t>
                        </m:r>
                      </m:sub>
                    </m:sSub>
                  </m:e>
                </m:nary>
              </m:oMath>
            </m:oMathPara>
          </w:p>
        </w:tc>
      </w:tr>
      <w:tr w:rsidR="000F7773" w14:paraId="2B6AEFA8" w14:textId="77777777" w:rsidTr="00700471">
        <w:trPr>
          <w:trHeight w:val="949"/>
          <w:jc w:val="center"/>
        </w:trPr>
        <w:tc>
          <w:tcPr>
            <w:tcW w:w="0" w:type="auto"/>
            <w:tcBorders>
              <w:top w:val="nil"/>
              <w:left w:val="nil"/>
              <w:bottom w:val="nil"/>
              <w:right w:val="single" w:sz="4" w:space="0" w:color="auto"/>
            </w:tcBorders>
          </w:tcPr>
          <w:p w14:paraId="5A5851E0" w14:textId="77777777" w:rsidR="000F7773" w:rsidRPr="00C22533" w:rsidRDefault="000F7773" w:rsidP="00DB0816">
            <w:pPr>
              <w:rPr>
                <w:rFonts w:ascii="Arial" w:eastAsiaTheme="minorEastAsia" w:cs="Arial"/>
              </w:rPr>
            </w:pPr>
            <w:r w:rsidRPr="00C22533">
              <w:rPr>
                <w:rFonts w:ascii="Arial" w:eastAsiaTheme="minorEastAsia" w:cs="Arial"/>
              </w:rPr>
              <w:t>Gobierno</w:t>
            </w:r>
          </w:p>
        </w:tc>
        <w:tc>
          <w:tcPr>
            <w:tcW w:w="0" w:type="auto"/>
            <w:tcBorders>
              <w:top w:val="nil"/>
              <w:left w:val="single" w:sz="4" w:space="0" w:color="auto"/>
              <w:bottom w:val="nil"/>
              <w:right w:val="nil"/>
            </w:tcBorders>
          </w:tcPr>
          <w:p w14:paraId="0949F2F8" w14:textId="77777777" w:rsidR="000F7773" w:rsidRPr="00847A4D" w:rsidRDefault="000F7773" w:rsidP="00DB0816">
            <w:pPr>
              <w:rPr>
                <w:rFonts w:eastAsiaTheme="minorEastAsia" w:cs="Arial"/>
                <w:sz w:val="20"/>
                <w:szCs w:val="20"/>
              </w:rPr>
            </w:pPr>
            <m:oMathPara>
              <m:oMath>
                <m:r>
                  <w:rPr>
                    <w:rFonts w:ascii="Cambria Math" w:eastAsiaTheme="minorEastAsia" w:hAnsi="Cambria Math" w:cs="Arial"/>
                    <w:sz w:val="20"/>
                    <w:szCs w:val="20"/>
                  </w:rPr>
                  <m:t>(</m:t>
                </m:r>
                <m:sSub>
                  <m:sSubPr>
                    <m:ctrlPr>
                      <w:rPr>
                        <w:rFonts w:ascii="Cambria Math" w:eastAsiaTheme="minorEastAsia" w:hAnsi="Cambria Math" w:cs="Arial"/>
                        <w:i/>
                        <w:sz w:val="20"/>
                        <w:szCs w:val="20"/>
                      </w:rPr>
                    </m:ctrlPr>
                  </m:sSubPr>
                  <m:e>
                    <m:r>
                      <w:rPr>
                        <w:rFonts w:ascii="Cambria Math" w:eastAsiaTheme="minorEastAsia" w:hAnsi="Cambria Math" w:cs="Arial"/>
                        <w:sz w:val="20"/>
                        <w:szCs w:val="20"/>
                      </w:rPr>
                      <m:t>TY</m:t>
                    </m:r>
                  </m:e>
                  <m:sub>
                    <m:r>
                      <w:rPr>
                        <w:rFonts w:ascii="Cambria Math" w:eastAsiaTheme="minorEastAsia" w:hAnsi="Cambria Math" w:cs="Arial"/>
                        <w:sz w:val="20"/>
                        <w:szCs w:val="20"/>
                      </w:rPr>
                      <m:t>h</m:t>
                    </m:r>
                  </m:sub>
                </m:sSub>
                <m:r>
                  <w:rPr>
                    <w:rFonts w:ascii="Cambria Math" w:eastAsiaTheme="minorEastAsia" w:hAnsi="Cambria Math" w:cs="Arial"/>
                    <w:sz w:val="20"/>
                    <w:szCs w:val="20"/>
                  </w:rPr>
                  <m:t>*</m:t>
                </m:r>
                <m:sSub>
                  <m:sSubPr>
                    <m:ctrlPr>
                      <w:rPr>
                        <w:rFonts w:ascii="Cambria Math" w:eastAsiaTheme="minorEastAsia" w:hAnsi="Cambria Math" w:cs="Arial"/>
                        <w:i/>
                        <w:sz w:val="20"/>
                        <w:szCs w:val="20"/>
                      </w:rPr>
                    </m:ctrlPr>
                  </m:sSubPr>
                  <m:e>
                    <m:r>
                      <w:rPr>
                        <w:rFonts w:ascii="Cambria Math" w:eastAsiaTheme="minorEastAsia" w:hAnsi="Cambria Math" w:cs="Arial"/>
                        <w:sz w:val="20"/>
                        <w:szCs w:val="20"/>
                      </w:rPr>
                      <m:t>YH</m:t>
                    </m:r>
                  </m:e>
                  <m:sub>
                    <m:r>
                      <w:rPr>
                        <w:rFonts w:ascii="Cambria Math" w:eastAsiaTheme="minorEastAsia" w:hAnsi="Cambria Math" w:cs="Arial"/>
                        <w:sz w:val="20"/>
                        <w:szCs w:val="20"/>
                      </w:rPr>
                      <m:t>h</m:t>
                    </m:r>
                  </m:sub>
                </m:sSub>
                <m:r>
                  <w:rPr>
                    <w:rFonts w:ascii="Cambria Math" w:eastAsiaTheme="minorEastAsia" w:hAnsi="Cambria Math" w:cs="Arial"/>
                    <w:sz w:val="20"/>
                    <w:szCs w:val="20"/>
                  </w:rPr>
                  <m:t>)</m:t>
                </m:r>
              </m:oMath>
            </m:oMathPara>
          </w:p>
          <w:p w14:paraId="74FAB97B" w14:textId="77777777" w:rsidR="000F7773" w:rsidRPr="00847A4D" w:rsidRDefault="000F7773" w:rsidP="00DB0816">
            <w:pPr>
              <w:rPr>
                <w:rFonts w:eastAsiaTheme="minorEastAsia" w:cs="Arial"/>
                <w:sz w:val="20"/>
                <w:szCs w:val="20"/>
              </w:rPr>
            </w:pPr>
          </w:p>
          <w:p w14:paraId="51AA9606" w14:textId="77777777" w:rsidR="000F7773" w:rsidRPr="00847A4D" w:rsidRDefault="000F7773" w:rsidP="00DB0816">
            <w:pPr>
              <w:rPr>
                <w:rFonts w:eastAsiaTheme="minorEastAsia" w:cs="Arial"/>
                <w:sz w:val="20"/>
                <w:szCs w:val="20"/>
              </w:rPr>
            </w:pPr>
          </w:p>
          <w:p w14:paraId="184A4537" w14:textId="77777777" w:rsidR="000F7773" w:rsidRPr="00847A4D" w:rsidRDefault="000F7773" w:rsidP="00DB0816">
            <w:pPr>
              <w:rPr>
                <w:rFonts w:eastAsiaTheme="minorEastAsia" w:cs="Arial"/>
                <w:sz w:val="20"/>
                <w:szCs w:val="20"/>
              </w:rPr>
            </w:pPr>
          </w:p>
          <w:p w14:paraId="744E0B12" w14:textId="77777777" w:rsidR="000F7773" w:rsidRPr="00847A4D" w:rsidRDefault="000F7773" w:rsidP="00DB0816">
            <w:pPr>
              <w:rPr>
                <w:rFonts w:eastAsiaTheme="minorEastAsia" w:cs="Arial"/>
                <w:sz w:val="20"/>
                <w:szCs w:val="20"/>
              </w:rPr>
            </w:pPr>
          </w:p>
        </w:tc>
        <w:tc>
          <w:tcPr>
            <w:tcW w:w="0" w:type="auto"/>
            <w:tcBorders>
              <w:top w:val="nil"/>
              <w:left w:val="nil"/>
              <w:bottom w:val="nil"/>
              <w:right w:val="nil"/>
            </w:tcBorders>
          </w:tcPr>
          <w:p w14:paraId="710BA54D" w14:textId="77777777" w:rsidR="000F7773" w:rsidRPr="00847A4D" w:rsidRDefault="000F7773" w:rsidP="00DB0816">
            <w:pPr>
              <w:rPr>
                <w:rFonts w:eastAsiaTheme="minorEastAsia" w:cs="Arial"/>
                <w:sz w:val="20"/>
                <w:szCs w:val="20"/>
              </w:rPr>
            </w:pPr>
          </w:p>
          <w:p w14:paraId="66D16D3C" w14:textId="77777777" w:rsidR="000F7773" w:rsidRPr="00847A4D" w:rsidRDefault="000F7773" w:rsidP="00DB0816">
            <w:pPr>
              <w:rPr>
                <w:rFonts w:eastAsiaTheme="minorEastAsia" w:cs="Arial"/>
                <w:sz w:val="20"/>
                <w:szCs w:val="20"/>
              </w:rPr>
            </w:pPr>
          </w:p>
        </w:tc>
        <w:tc>
          <w:tcPr>
            <w:tcW w:w="0" w:type="auto"/>
            <w:tcBorders>
              <w:top w:val="nil"/>
              <w:left w:val="nil"/>
              <w:bottom w:val="nil"/>
              <w:right w:val="nil"/>
            </w:tcBorders>
          </w:tcPr>
          <w:p w14:paraId="0B589727" w14:textId="77777777" w:rsidR="000F7773" w:rsidRPr="00847A4D" w:rsidRDefault="00FA183A" w:rsidP="00DB0816">
            <w:pPr>
              <w:rPr>
                <w:rFonts w:eastAsiaTheme="minorEastAsia" w:cs="Arial"/>
                <w:sz w:val="20"/>
                <w:szCs w:val="20"/>
              </w:rPr>
            </w:pPr>
            <m:oMathPara>
              <m:oMath>
                <m:d>
                  <m:dPr>
                    <m:ctrlPr>
                      <w:rPr>
                        <w:rFonts w:ascii="Cambria Math" w:eastAsiaTheme="minorEastAsia" w:hAnsi="Cambria Math" w:cs="Arial"/>
                        <w:i/>
                        <w:sz w:val="20"/>
                        <w:szCs w:val="20"/>
                      </w:rPr>
                    </m:ctrlPr>
                  </m:dPr>
                  <m:e>
                    <m:nary>
                      <m:naryPr>
                        <m:chr m:val="∑"/>
                        <m:limLoc m:val="subSup"/>
                        <m:supHide m:val="1"/>
                        <m:ctrlPr>
                          <w:rPr>
                            <w:rFonts w:ascii="Cambria Math" w:eastAsiaTheme="minorEastAsia" w:hAnsi="Cambria Math" w:cs="Arial"/>
                            <w:i/>
                            <w:sz w:val="20"/>
                            <w:szCs w:val="20"/>
                          </w:rPr>
                        </m:ctrlPr>
                      </m:naryPr>
                      <m:sub>
                        <m:r>
                          <w:rPr>
                            <w:rFonts w:ascii="Cambria Math" w:eastAsiaTheme="minorEastAsia" w:hAnsi="Cambria Math" w:cs="Arial"/>
                            <w:sz w:val="20"/>
                            <w:szCs w:val="20"/>
                          </w:rPr>
                          <m:t>f</m:t>
                        </m:r>
                      </m:sub>
                      <m:sup/>
                      <m:e>
                        <m:sSub>
                          <m:sSubPr>
                            <m:ctrlPr>
                              <w:rPr>
                                <w:rFonts w:ascii="Cambria Math" w:eastAsiaTheme="minorEastAsia" w:hAnsi="Cambria Math" w:cs="Arial"/>
                                <w:i/>
                                <w:sz w:val="20"/>
                                <w:szCs w:val="20"/>
                              </w:rPr>
                            </m:ctrlPr>
                          </m:sSubPr>
                          <m:e>
                            <m:eqArr>
                              <m:eqArrPr>
                                <m:ctrlPr>
                                  <w:rPr>
                                    <w:rFonts w:ascii="Cambria Math" w:eastAsiaTheme="minorEastAsia" w:hAnsi="Cambria Math" w:cs="Arial"/>
                                    <w:i/>
                                    <w:sz w:val="20"/>
                                    <w:szCs w:val="20"/>
                                  </w:rPr>
                                </m:ctrlPr>
                              </m:eqArrPr>
                              <m:e>
                                <m:r>
                                  <w:rPr>
                                    <w:rFonts w:ascii="Cambria Math" w:eastAsiaTheme="minorEastAsia" w:hAnsi="Cambria Math" w:cs="Arial"/>
                                    <w:sz w:val="20"/>
                                    <w:szCs w:val="20"/>
                                  </w:rPr>
                                  <m:t>gov</m:t>
                                </m:r>
                              </m:e>
                              <m:e>
                                <m:r>
                                  <w:rPr>
                                    <w:rFonts w:ascii="Cambria Math" w:eastAsiaTheme="minorEastAsia" w:hAnsi="Cambria Math" w:cs="Arial"/>
                                    <w:sz w:val="20"/>
                                    <w:szCs w:val="20"/>
                                  </w:rPr>
                                  <m:t>vas</m:t>
                                </m:r>
                                <m:r>
                                  <w:rPr>
                                    <w:rFonts w:ascii="Cambria Math" w:eastAsiaTheme="minorEastAsia" w:hAnsi="Cambria Math" w:cs="Arial"/>
                                    <w:sz w:val="20"/>
                                    <w:szCs w:val="20"/>
                                  </w:rPr>
                                  <m:t>h</m:t>
                                </m:r>
                              </m:e>
                            </m:eqArr>
                          </m:e>
                          <m:sub>
                            <m:r>
                              <w:rPr>
                                <w:rFonts w:ascii="Cambria Math" w:eastAsiaTheme="minorEastAsia" w:hAnsi="Cambria Math" w:cs="Arial"/>
                                <w:sz w:val="20"/>
                                <w:szCs w:val="20"/>
                              </w:rPr>
                              <m:t>gt</m:t>
                            </m:r>
                            <m:r>
                              <w:rPr>
                                <w:rFonts w:ascii="Cambria Math" w:eastAsiaTheme="minorEastAsia" w:hAnsi="Cambria Math" w:cs="Arial"/>
                                <w:sz w:val="20"/>
                                <w:szCs w:val="20"/>
                              </w:rPr>
                              <m:t>,</m:t>
                            </m:r>
                            <m:r>
                              <w:rPr>
                                <w:rFonts w:ascii="Cambria Math" w:eastAsiaTheme="minorEastAsia" w:hAnsi="Cambria Math" w:cs="Arial"/>
                                <w:sz w:val="20"/>
                                <w:szCs w:val="20"/>
                              </w:rPr>
                              <m:t>f</m:t>
                            </m:r>
                          </m:sub>
                        </m:sSub>
                      </m:e>
                    </m:nary>
                  </m:e>
                </m:d>
              </m:oMath>
            </m:oMathPara>
          </w:p>
          <w:p w14:paraId="60AB6C69" w14:textId="77777777" w:rsidR="000F7773" w:rsidRPr="00847A4D" w:rsidRDefault="000F7773" w:rsidP="00DB0816">
            <w:pPr>
              <w:rPr>
                <w:rFonts w:eastAsiaTheme="minorEastAsia" w:cs="Arial"/>
                <w:sz w:val="20"/>
                <w:szCs w:val="20"/>
              </w:rPr>
            </w:pPr>
            <m:oMathPara>
              <m:oMath>
                <m:r>
                  <w:rPr>
                    <w:rFonts w:ascii="Cambria Math" w:eastAsiaTheme="minorEastAsia" w:hAnsi="Cambria Math" w:cs="Arial"/>
                    <w:sz w:val="20"/>
                    <w:szCs w:val="20"/>
                  </w:rPr>
                  <m:t>(</m:t>
                </m:r>
                <m:sSub>
                  <m:sSubPr>
                    <m:ctrlPr>
                      <w:rPr>
                        <w:rFonts w:ascii="Cambria Math" w:eastAsiaTheme="minorEastAsia" w:hAnsi="Cambria Math" w:cs="Arial"/>
                        <w:i/>
                        <w:sz w:val="20"/>
                        <w:szCs w:val="20"/>
                      </w:rPr>
                    </m:ctrlPr>
                  </m:sSubPr>
                  <m:e>
                    <m:r>
                      <w:rPr>
                        <w:rFonts w:ascii="Cambria Math" w:eastAsiaTheme="minorEastAsia" w:hAnsi="Cambria Math" w:cs="Arial"/>
                        <w:sz w:val="20"/>
                        <w:szCs w:val="20"/>
                      </w:rPr>
                      <m:t>TYF</m:t>
                    </m:r>
                  </m:e>
                  <m:sub>
                    <m:r>
                      <w:rPr>
                        <w:rFonts w:ascii="Cambria Math" w:eastAsiaTheme="minorEastAsia" w:hAnsi="Cambria Math" w:cs="Arial"/>
                        <w:sz w:val="20"/>
                        <w:szCs w:val="20"/>
                      </w:rPr>
                      <m:t>f</m:t>
                    </m:r>
                  </m:sub>
                </m:sSub>
                <m:r>
                  <w:rPr>
                    <w:rFonts w:ascii="Cambria Math" w:eastAsiaTheme="minorEastAsia" w:hAnsi="Cambria Math" w:cs="Arial"/>
                    <w:sz w:val="20"/>
                    <w:szCs w:val="20"/>
                  </w:rPr>
                  <m:t>*</m:t>
                </m:r>
                <m:sSub>
                  <m:sSubPr>
                    <m:ctrlPr>
                      <w:rPr>
                        <w:rFonts w:ascii="Cambria Math" w:eastAsiaTheme="minorEastAsia" w:hAnsi="Cambria Math" w:cs="Arial"/>
                        <w:i/>
                        <w:sz w:val="20"/>
                        <w:szCs w:val="20"/>
                      </w:rPr>
                    </m:ctrlPr>
                  </m:sSubPr>
                  <m:e>
                    <m:r>
                      <w:rPr>
                        <w:rFonts w:ascii="Cambria Math" w:eastAsiaTheme="minorEastAsia" w:hAnsi="Cambria Math" w:cs="Arial"/>
                        <w:sz w:val="20"/>
                        <w:szCs w:val="20"/>
                      </w:rPr>
                      <m:t>YFDISP</m:t>
                    </m:r>
                  </m:e>
                  <m:sub>
                    <m:r>
                      <w:rPr>
                        <w:rFonts w:ascii="Cambria Math" w:eastAsiaTheme="minorEastAsia" w:hAnsi="Cambria Math" w:cs="Arial"/>
                        <w:sz w:val="20"/>
                        <w:szCs w:val="20"/>
                      </w:rPr>
                      <m:t>f</m:t>
                    </m:r>
                  </m:sub>
                </m:sSub>
                <m:r>
                  <w:rPr>
                    <w:rFonts w:ascii="Cambria Math" w:eastAsiaTheme="minorEastAsia" w:hAnsi="Cambria Math" w:cs="Arial"/>
                    <w:sz w:val="20"/>
                    <w:szCs w:val="20"/>
                  </w:rPr>
                  <m:t>)</m:t>
                </m:r>
              </m:oMath>
            </m:oMathPara>
          </w:p>
        </w:tc>
      </w:tr>
      <w:tr w:rsidR="000F7773" w14:paraId="34ECEA41" w14:textId="77777777" w:rsidTr="00700471">
        <w:trPr>
          <w:trHeight w:val="464"/>
          <w:jc w:val="center"/>
        </w:trPr>
        <w:tc>
          <w:tcPr>
            <w:tcW w:w="0" w:type="auto"/>
            <w:tcBorders>
              <w:top w:val="nil"/>
              <w:left w:val="nil"/>
              <w:bottom w:val="nil"/>
              <w:right w:val="single" w:sz="4" w:space="0" w:color="auto"/>
            </w:tcBorders>
          </w:tcPr>
          <w:p w14:paraId="4078CF02" w14:textId="77777777" w:rsidR="000F7773" w:rsidRPr="00C22533" w:rsidRDefault="000F7773" w:rsidP="00DB0816">
            <w:pPr>
              <w:rPr>
                <w:rFonts w:ascii="Arial" w:eastAsiaTheme="minorEastAsia" w:cs="Arial"/>
              </w:rPr>
            </w:pPr>
            <w:r w:rsidRPr="00C22533">
              <w:rPr>
                <w:rFonts w:ascii="Arial" w:eastAsiaTheme="minorEastAsia" w:cs="Arial"/>
              </w:rPr>
              <w:t>Capital</w:t>
            </w:r>
          </w:p>
        </w:tc>
        <w:tc>
          <w:tcPr>
            <w:tcW w:w="0" w:type="auto"/>
            <w:tcBorders>
              <w:top w:val="nil"/>
              <w:left w:val="single" w:sz="4" w:space="0" w:color="auto"/>
              <w:bottom w:val="nil"/>
              <w:right w:val="nil"/>
            </w:tcBorders>
          </w:tcPr>
          <w:p w14:paraId="75AA446F" w14:textId="77777777" w:rsidR="000F7773" w:rsidRPr="00847A4D" w:rsidRDefault="000F7773" w:rsidP="00DB0816">
            <w:pPr>
              <w:rPr>
                <w:rFonts w:eastAsiaTheme="minorEastAsia" w:cs="Arial"/>
                <w:sz w:val="20"/>
                <w:szCs w:val="20"/>
              </w:rPr>
            </w:pPr>
            <m:oMathPara>
              <m:oMath>
                <m:r>
                  <w:rPr>
                    <w:rFonts w:ascii="Cambria Math" w:eastAsiaTheme="minorEastAsia" w:hAnsi="Cambria Math" w:cs="Arial"/>
                    <w:sz w:val="20"/>
                    <w:szCs w:val="20"/>
                  </w:rPr>
                  <m:t>(</m:t>
                </m:r>
                <m:sSub>
                  <m:sSubPr>
                    <m:ctrlPr>
                      <w:rPr>
                        <w:rFonts w:ascii="Cambria Math" w:eastAsiaTheme="minorEastAsia" w:hAnsi="Cambria Math" w:cs="Arial"/>
                        <w:i/>
                        <w:sz w:val="20"/>
                        <w:szCs w:val="20"/>
                      </w:rPr>
                    </m:ctrlPr>
                  </m:sSubPr>
                  <m:e>
                    <m:r>
                      <w:rPr>
                        <w:rFonts w:ascii="Cambria Math" w:eastAsiaTheme="minorEastAsia" w:hAnsi="Cambria Math" w:cs="Arial"/>
                        <w:sz w:val="20"/>
                        <w:szCs w:val="20"/>
                      </w:rPr>
                      <m:t>SSH</m:t>
                    </m:r>
                  </m:e>
                  <m:sub>
                    <m:r>
                      <w:rPr>
                        <w:rFonts w:ascii="Cambria Math" w:eastAsiaTheme="minorEastAsia" w:hAnsi="Cambria Math" w:cs="Arial"/>
                        <w:sz w:val="20"/>
                        <w:szCs w:val="20"/>
                      </w:rPr>
                      <m:t>h</m:t>
                    </m:r>
                  </m:sub>
                </m:sSub>
                <m:r>
                  <w:rPr>
                    <w:rFonts w:ascii="Cambria Math" w:eastAsiaTheme="minorEastAsia" w:hAnsi="Cambria Math" w:cs="Arial"/>
                    <w:sz w:val="20"/>
                    <w:szCs w:val="20"/>
                  </w:rPr>
                  <m:t>*</m:t>
                </m:r>
                <m:d>
                  <m:dPr>
                    <m:ctrlPr>
                      <w:rPr>
                        <w:rFonts w:ascii="Cambria Math" w:eastAsiaTheme="minorEastAsia" w:hAnsi="Cambria Math" w:cs="Arial"/>
                        <w:i/>
                        <w:sz w:val="20"/>
                        <w:szCs w:val="20"/>
                      </w:rPr>
                    </m:ctrlPr>
                  </m:dPr>
                  <m:e>
                    <m:sSub>
                      <m:sSubPr>
                        <m:ctrlPr>
                          <w:rPr>
                            <w:rFonts w:ascii="Cambria Math" w:eastAsiaTheme="minorEastAsia" w:hAnsi="Cambria Math" w:cs="Arial"/>
                            <w:i/>
                            <w:sz w:val="20"/>
                            <w:szCs w:val="20"/>
                          </w:rPr>
                        </m:ctrlPr>
                      </m:sSubPr>
                      <m:e>
                        <m:r>
                          <w:rPr>
                            <w:rFonts w:ascii="Cambria Math" w:eastAsiaTheme="minorEastAsia" w:hAnsi="Cambria Math" w:cs="Arial"/>
                            <w:sz w:val="20"/>
                            <w:szCs w:val="20"/>
                          </w:rPr>
                          <m:t>YH</m:t>
                        </m:r>
                      </m:e>
                      <m:sub>
                        <m:r>
                          <w:rPr>
                            <w:rFonts w:ascii="Cambria Math" w:eastAsiaTheme="minorEastAsia" w:hAnsi="Cambria Math" w:cs="Arial"/>
                            <w:sz w:val="20"/>
                            <w:szCs w:val="20"/>
                          </w:rPr>
                          <m:t>h</m:t>
                        </m:r>
                      </m:sub>
                    </m:sSub>
                    <m:r>
                      <w:rPr>
                        <w:rFonts w:ascii="Cambria Math" w:eastAsiaTheme="minorEastAsia" w:hAnsi="Cambria Math" w:cs="Arial"/>
                        <w:sz w:val="20"/>
                        <w:szCs w:val="20"/>
                      </w:rPr>
                      <m:t>*</m:t>
                    </m:r>
                    <m:d>
                      <m:dPr>
                        <m:ctrlPr>
                          <w:rPr>
                            <w:rFonts w:ascii="Cambria Math" w:eastAsiaTheme="minorEastAsia" w:hAnsi="Cambria Math" w:cs="Arial"/>
                            <w:i/>
                            <w:sz w:val="20"/>
                            <w:szCs w:val="20"/>
                          </w:rPr>
                        </m:ctrlPr>
                      </m:dPr>
                      <m:e>
                        <m:r>
                          <w:rPr>
                            <w:rFonts w:ascii="Cambria Math" w:eastAsiaTheme="minorEastAsia" w:hAnsi="Cambria Math" w:cs="Arial"/>
                            <w:sz w:val="20"/>
                            <w:szCs w:val="20"/>
                          </w:rPr>
                          <m:t>1-</m:t>
                        </m:r>
                        <m:sSub>
                          <m:sSubPr>
                            <m:ctrlPr>
                              <w:rPr>
                                <w:rFonts w:ascii="Cambria Math" w:eastAsiaTheme="minorEastAsia" w:hAnsi="Cambria Math" w:cs="Arial"/>
                                <w:i/>
                                <w:sz w:val="20"/>
                                <w:szCs w:val="20"/>
                              </w:rPr>
                            </m:ctrlPr>
                          </m:sSubPr>
                          <m:e>
                            <m:r>
                              <w:rPr>
                                <w:rFonts w:ascii="Cambria Math" w:eastAsiaTheme="minorEastAsia" w:hAnsi="Cambria Math" w:cs="Arial"/>
                                <w:sz w:val="20"/>
                                <w:szCs w:val="20"/>
                              </w:rPr>
                              <m:t>TYH</m:t>
                            </m:r>
                          </m:e>
                          <m:sub>
                            <m:r>
                              <w:rPr>
                                <w:rFonts w:ascii="Cambria Math" w:eastAsiaTheme="minorEastAsia" w:hAnsi="Cambria Math" w:cs="Arial"/>
                                <w:sz w:val="20"/>
                                <w:szCs w:val="20"/>
                              </w:rPr>
                              <m:t>h</m:t>
                            </m:r>
                          </m:sub>
                        </m:sSub>
                      </m:e>
                    </m:d>
                  </m:e>
                </m:d>
                <m:r>
                  <w:rPr>
                    <w:rFonts w:ascii="Cambria Math" w:eastAsiaTheme="minorEastAsia" w:hAnsi="Cambria Math" w:cs="Arial"/>
                    <w:sz w:val="20"/>
                    <w:szCs w:val="20"/>
                  </w:rPr>
                  <m:t>)</m:t>
                </m:r>
              </m:oMath>
            </m:oMathPara>
          </w:p>
        </w:tc>
        <w:tc>
          <w:tcPr>
            <w:tcW w:w="0" w:type="auto"/>
            <w:tcBorders>
              <w:top w:val="nil"/>
              <w:left w:val="nil"/>
              <w:bottom w:val="nil"/>
              <w:right w:val="nil"/>
            </w:tcBorders>
          </w:tcPr>
          <w:p w14:paraId="201045D2" w14:textId="77777777" w:rsidR="000F7773" w:rsidRPr="00847A4D" w:rsidRDefault="000F7773" w:rsidP="00DB0816">
            <w:pPr>
              <w:rPr>
                <w:rFonts w:eastAsiaTheme="minorEastAsia" w:cs="Arial"/>
                <w:sz w:val="20"/>
                <w:szCs w:val="20"/>
              </w:rPr>
            </w:pPr>
            <m:oMathPara>
              <m:oMath>
                <m:r>
                  <w:rPr>
                    <w:rFonts w:ascii="Cambria Math" w:eastAsiaTheme="minorEastAsia" w:hAnsi="Cambria Math" w:cs="Arial"/>
                    <w:sz w:val="20"/>
                    <w:szCs w:val="20"/>
                  </w:rPr>
                  <m:t>(</m:t>
                </m:r>
                <m:sSub>
                  <m:sSubPr>
                    <m:ctrlPr>
                      <w:rPr>
                        <w:rFonts w:ascii="Cambria Math" w:eastAsiaTheme="minorEastAsia" w:hAnsi="Cambria Math" w:cs="Arial"/>
                        <w:i/>
                        <w:sz w:val="20"/>
                        <w:szCs w:val="20"/>
                      </w:rPr>
                    </m:ctrlPr>
                  </m:sSubPr>
                  <m:e>
                    <m:r>
                      <w:rPr>
                        <w:rFonts w:ascii="Cambria Math" w:eastAsiaTheme="minorEastAsia" w:hAnsi="Cambria Math" w:cs="Arial"/>
                        <w:sz w:val="20"/>
                        <w:szCs w:val="20"/>
                      </w:rPr>
                      <m:t>SEH</m:t>
                    </m:r>
                  </m:e>
                  <m:sub>
                    <m:r>
                      <w:rPr>
                        <w:rFonts w:ascii="Cambria Math" w:eastAsiaTheme="minorEastAsia" w:hAnsi="Cambria Math" w:cs="Arial"/>
                        <w:sz w:val="20"/>
                        <w:szCs w:val="20"/>
                      </w:rPr>
                      <m:t>e</m:t>
                    </m:r>
                  </m:sub>
                </m:sSub>
                <m:r>
                  <w:rPr>
                    <w:rFonts w:ascii="Cambria Math" w:eastAsiaTheme="minorEastAsia" w:hAnsi="Cambria Math" w:cs="Arial"/>
                    <w:sz w:val="20"/>
                    <w:szCs w:val="20"/>
                  </w:rPr>
                  <m:t>*</m:t>
                </m:r>
                <m:d>
                  <m:dPr>
                    <m:ctrlPr>
                      <w:rPr>
                        <w:rFonts w:ascii="Cambria Math" w:eastAsiaTheme="minorEastAsia" w:hAnsi="Cambria Math" w:cs="Arial"/>
                        <w:i/>
                        <w:sz w:val="20"/>
                        <w:szCs w:val="20"/>
                      </w:rPr>
                    </m:ctrlPr>
                  </m:dPr>
                  <m:e>
                    <m:sSub>
                      <m:sSubPr>
                        <m:ctrlPr>
                          <w:rPr>
                            <w:rFonts w:ascii="Cambria Math" w:eastAsiaTheme="minorEastAsia" w:hAnsi="Cambria Math" w:cs="Arial"/>
                            <w:i/>
                            <w:sz w:val="20"/>
                            <w:szCs w:val="20"/>
                          </w:rPr>
                        </m:ctrlPr>
                      </m:sSubPr>
                      <m:e>
                        <m:r>
                          <w:rPr>
                            <w:rFonts w:ascii="Cambria Math" w:eastAsiaTheme="minorEastAsia" w:hAnsi="Cambria Math" w:cs="Arial"/>
                            <w:sz w:val="20"/>
                            <w:szCs w:val="20"/>
                          </w:rPr>
                          <m:t>YE</m:t>
                        </m:r>
                      </m:e>
                      <m:sub>
                        <m:r>
                          <w:rPr>
                            <w:rFonts w:ascii="Cambria Math" w:eastAsiaTheme="minorEastAsia" w:hAnsi="Cambria Math" w:cs="Arial"/>
                            <w:sz w:val="20"/>
                            <w:szCs w:val="20"/>
                          </w:rPr>
                          <m:t>e</m:t>
                        </m:r>
                      </m:sub>
                    </m:sSub>
                    <m:r>
                      <w:rPr>
                        <w:rFonts w:ascii="Cambria Math" w:eastAsiaTheme="minorEastAsia" w:hAnsi="Cambria Math" w:cs="Arial"/>
                        <w:sz w:val="20"/>
                        <w:szCs w:val="20"/>
                      </w:rPr>
                      <m:t>*</m:t>
                    </m:r>
                    <m:d>
                      <m:dPr>
                        <m:ctrlPr>
                          <w:rPr>
                            <w:rFonts w:ascii="Cambria Math" w:eastAsiaTheme="minorEastAsia" w:hAnsi="Cambria Math" w:cs="Arial"/>
                            <w:i/>
                            <w:sz w:val="20"/>
                            <w:szCs w:val="20"/>
                          </w:rPr>
                        </m:ctrlPr>
                      </m:dPr>
                      <m:e>
                        <m:r>
                          <w:rPr>
                            <w:rFonts w:ascii="Cambria Math" w:eastAsiaTheme="minorEastAsia" w:hAnsi="Cambria Math" w:cs="Arial"/>
                            <w:sz w:val="20"/>
                            <w:szCs w:val="20"/>
                          </w:rPr>
                          <m:t>1-</m:t>
                        </m:r>
                        <m:sSub>
                          <m:sSubPr>
                            <m:ctrlPr>
                              <w:rPr>
                                <w:rFonts w:ascii="Cambria Math" w:eastAsiaTheme="minorEastAsia" w:hAnsi="Cambria Math" w:cs="Arial"/>
                                <w:i/>
                                <w:sz w:val="20"/>
                                <w:szCs w:val="20"/>
                              </w:rPr>
                            </m:ctrlPr>
                          </m:sSubPr>
                          <m:e>
                            <m:r>
                              <w:rPr>
                                <w:rFonts w:ascii="Cambria Math" w:eastAsiaTheme="minorEastAsia" w:hAnsi="Cambria Math" w:cs="Arial"/>
                                <w:sz w:val="20"/>
                                <w:szCs w:val="20"/>
                              </w:rPr>
                              <m:t>TYE</m:t>
                            </m:r>
                          </m:e>
                          <m:sub>
                            <m:r>
                              <w:rPr>
                                <w:rFonts w:ascii="Cambria Math" w:eastAsiaTheme="minorEastAsia" w:hAnsi="Cambria Math" w:cs="Arial"/>
                                <w:sz w:val="20"/>
                                <w:szCs w:val="20"/>
                              </w:rPr>
                              <m:t>e</m:t>
                            </m:r>
                          </m:sub>
                        </m:sSub>
                      </m:e>
                    </m:d>
                  </m:e>
                </m:d>
                <m:r>
                  <w:rPr>
                    <w:rFonts w:ascii="Cambria Math" w:eastAsiaTheme="minorEastAsia" w:hAnsi="Cambria Math" w:cs="Arial"/>
                    <w:sz w:val="20"/>
                    <w:szCs w:val="20"/>
                  </w:rPr>
                  <m:t>)</m:t>
                </m:r>
              </m:oMath>
            </m:oMathPara>
          </w:p>
        </w:tc>
        <w:tc>
          <w:tcPr>
            <w:tcW w:w="0" w:type="auto"/>
            <w:tcBorders>
              <w:top w:val="nil"/>
              <w:left w:val="nil"/>
              <w:bottom w:val="nil"/>
              <w:right w:val="nil"/>
            </w:tcBorders>
          </w:tcPr>
          <w:p w14:paraId="2B53478E" w14:textId="77777777" w:rsidR="000F7773" w:rsidRPr="00847A4D" w:rsidRDefault="00FA183A" w:rsidP="00DB0816">
            <w:pPr>
              <w:rPr>
                <w:rFonts w:eastAsiaTheme="minorEastAsia" w:cs="Arial"/>
                <w:sz w:val="20"/>
                <w:szCs w:val="20"/>
              </w:rPr>
            </w:pPr>
            <m:oMathPara>
              <m:oMath>
                <m:nary>
                  <m:naryPr>
                    <m:chr m:val="∑"/>
                    <m:limLoc m:val="subSup"/>
                    <m:supHide m:val="1"/>
                    <m:ctrlPr>
                      <w:rPr>
                        <w:rFonts w:ascii="Cambria Math" w:eastAsiaTheme="minorEastAsia" w:hAnsi="Cambria Math" w:cs="Arial"/>
                        <w:i/>
                        <w:sz w:val="20"/>
                        <w:szCs w:val="20"/>
                      </w:rPr>
                    </m:ctrlPr>
                  </m:naryPr>
                  <m:sub>
                    <m:r>
                      <w:rPr>
                        <w:rFonts w:ascii="Cambria Math" w:eastAsiaTheme="minorEastAsia" w:hAnsi="Cambria Math" w:cs="Arial"/>
                        <w:sz w:val="20"/>
                        <w:szCs w:val="20"/>
                      </w:rPr>
                      <m:t>f</m:t>
                    </m:r>
                  </m:sub>
                  <m:sup/>
                  <m:e>
                    <m:sSub>
                      <m:sSubPr>
                        <m:ctrlPr>
                          <w:rPr>
                            <w:rFonts w:ascii="Cambria Math" w:eastAsiaTheme="minorEastAsia" w:hAnsi="Cambria Math" w:cs="Arial"/>
                            <w:i/>
                            <w:sz w:val="20"/>
                            <w:szCs w:val="20"/>
                          </w:rPr>
                        </m:ctrlPr>
                      </m:sSubPr>
                      <m:e>
                        <m:r>
                          <w:rPr>
                            <w:rFonts w:ascii="Cambria Math" w:eastAsiaTheme="minorEastAsia" w:hAnsi="Cambria Math" w:cs="Arial"/>
                            <w:sz w:val="20"/>
                            <w:szCs w:val="20"/>
                          </w:rPr>
                          <m:t>deprec</m:t>
                        </m:r>
                      </m:e>
                      <m:sub>
                        <m:r>
                          <w:rPr>
                            <w:rFonts w:ascii="Cambria Math" w:eastAsiaTheme="minorEastAsia" w:hAnsi="Cambria Math" w:cs="Arial"/>
                            <w:sz w:val="20"/>
                            <w:szCs w:val="20"/>
                          </w:rPr>
                          <m:t>f</m:t>
                        </m:r>
                      </m:sub>
                    </m:sSub>
                  </m:e>
                </m:nary>
              </m:oMath>
            </m:oMathPara>
          </w:p>
        </w:tc>
      </w:tr>
      <w:tr w:rsidR="000F7773" w14:paraId="05D34DA2" w14:textId="77777777" w:rsidTr="00700471">
        <w:trPr>
          <w:trHeight w:val="940"/>
          <w:jc w:val="center"/>
        </w:trPr>
        <w:tc>
          <w:tcPr>
            <w:tcW w:w="0" w:type="auto"/>
            <w:tcBorders>
              <w:top w:val="nil"/>
              <w:left w:val="nil"/>
              <w:bottom w:val="nil"/>
              <w:right w:val="single" w:sz="4" w:space="0" w:color="auto"/>
            </w:tcBorders>
          </w:tcPr>
          <w:p w14:paraId="7FE38704" w14:textId="77777777" w:rsidR="000F7773" w:rsidRPr="00C22533" w:rsidRDefault="000F7773" w:rsidP="00DB0816">
            <w:pPr>
              <w:rPr>
                <w:rFonts w:ascii="Arial" w:eastAsiaTheme="minorEastAsia" w:cs="Arial"/>
              </w:rPr>
            </w:pPr>
            <w:r w:rsidRPr="00C22533">
              <w:rPr>
                <w:rFonts w:ascii="Arial" w:eastAsiaTheme="minorEastAsia" w:cs="Arial"/>
              </w:rPr>
              <w:t>Resto del Mundo</w:t>
            </w:r>
          </w:p>
        </w:tc>
        <w:tc>
          <w:tcPr>
            <w:tcW w:w="0" w:type="auto"/>
            <w:tcBorders>
              <w:top w:val="nil"/>
              <w:left w:val="single" w:sz="4" w:space="0" w:color="auto"/>
              <w:bottom w:val="nil"/>
              <w:right w:val="nil"/>
            </w:tcBorders>
          </w:tcPr>
          <w:p w14:paraId="56BFA8A0" w14:textId="77777777" w:rsidR="000F7773" w:rsidRPr="00847A4D" w:rsidRDefault="000F7773" w:rsidP="00DB0816">
            <w:pPr>
              <w:rPr>
                <w:rFonts w:eastAsiaTheme="minorEastAsia" w:cs="Arial"/>
                <w:sz w:val="20"/>
                <w:szCs w:val="20"/>
              </w:rPr>
            </w:pPr>
          </w:p>
        </w:tc>
        <w:tc>
          <w:tcPr>
            <w:tcW w:w="0" w:type="auto"/>
            <w:tcBorders>
              <w:top w:val="nil"/>
              <w:left w:val="nil"/>
              <w:bottom w:val="nil"/>
              <w:right w:val="nil"/>
            </w:tcBorders>
          </w:tcPr>
          <w:p w14:paraId="11B4EBDA" w14:textId="77777777" w:rsidR="000F7773" w:rsidRPr="00847A4D" w:rsidRDefault="000F7773" w:rsidP="00DB0816">
            <w:pPr>
              <w:rPr>
                <w:rFonts w:eastAsiaTheme="minorEastAsia" w:cs="Arial"/>
                <w:sz w:val="20"/>
                <w:szCs w:val="20"/>
              </w:rPr>
            </w:pPr>
          </w:p>
        </w:tc>
        <w:tc>
          <w:tcPr>
            <w:tcW w:w="0" w:type="auto"/>
            <w:tcBorders>
              <w:top w:val="nil"/>
              <w:left w:val="nil"/>
              <w:bottom w:val="nil"/>
              <w:right w:val="nil"/>
            </w:tcBorders>
          </w:tcPr>
          <w:p w14:paraId="64C8C8FC" w14:textId="77777777" w:rsidR="000F7773" w:rsidRPr="00847A4D" w:rsidRDefault="00FA183A" w:rsidP="00DB0816">
            <w:pPr>
              <w:rPr>
                <w:rFonts w:eastAsiaTheme="minorEastAsia" w:cs="Arial"/>
                <w:sz w:val="20"/>
                <w:szCs w:val="20"/>
              </w:rPr>
            </w:pPr>
            <m:oMathPara>
              <m:oMath>
                <m:d>
                  <m:dPr>
                    <m:ctrlPr>
                      <w:rPr>
                        <w:rFonts w:ascii="Cambria Math" w:eastAsiaTheme="minorEastAsia" w:hAnsi="Cambria Math" w:cs="Arial"/>
                        <w:i/>
                        <w:sz w:val="20"/>
                        <w:szCs w:val="20"/>
                      </w:rPr>
                    </m:ctrlPr>
                  </m:dPr>
                  <m:e>
                    <m:nary>
                      <m:naryPr>
                        <m:chr m:val="∑"/>
                        <m:limLoc m:val="subSup"/>
                        <m:supHide m:val="1"/>
                        <m:ctrlPr>
                          <w:rPr>
                            <w:rFonts w:ascii="Cambria Math" w:eastAsiaTheme="minorEastAsia" w:hAnsi="Cambria Math" w:cs="Arial"/>
                            <w:i/>
                            <w:sz w:val="20"/>
                            <w:szCs w:val="20"/>
                          </w:rPr>
                        </m:ctrlPr>
                      </m:naryPr>
                      <m:sub>
                        <m:r>
                          <w:rPr>
                            <w:rFonts w:ascii="Cambria Math" w:eastAsiaTheme="minorEastAsia" w:hAnsi="Cambria Math" w:cs="Arial"/>
                            <w:sz w:val="20"/>
                            <w:szCs w:val="20"/>
                          </w:rPr>
                          <m:t>f</m:t>
                        </m:r>
                      </m:sub>
                      <m:sup/>
                      <m:e>
                        <m:sSub>
                          <m:sSubPr>
                            <m:ctrlPr>
                              <w:rPr>
                                <w:rFonts w:ascii="Cambria Math" w:eastAsiaTheme="minorEastAsia" w:hAnsi="Cambria Math" w:cs="Arial"/>
                                <w:i/>
                                <w:sz w:val="20"/>
                                <w:szCs w:val="20"/>
                              </w:rPr>
                            </m:ctrlPr>
                          </m:sSubPr>
                          <m:e>
                            <m:eqArr>
                              <m:eqArrPr>
                                <m:ctrlPr>
                                  <w:rPr>
                                    <w:rFonts w:ascii="Cambria Math" w:eastAsiaTheme="minorEastAsia" w:hAnsi="Cambria Math" w:cs="Arial"/>
                                    <w:i/>
                                    <w:sz w:val="20"/>
                                    <w:szCs w:val="20"/>
                                  </w:rPr>
                                </m:ctrlPr>
                              </m:eqArrPr>
                              <m:e>
                                <m:r>
                                  <w:rPr>
                                    <w:rFonts w:ascii="Cambria Math" w:eastAsiaTheme="minorEastAsia" w:hAnsi="Cambria Math" w:cs="Arial"/>
                                    <w:sz w:val="20"/>
                                    <w:szCs w:val="20"/>
                                  </w:rPr>
                                  <m:t>wor</m:t>
                                </m:r>
                              </m:e>
                              <m:e>
                                <m:r>
                                  <w:rPr>
                                    <w:rFonts w:ascii="Cambria Math" w:eastAsiaTheme="minorEastAsia" w:hAnsi="Cambria Math" w:cs="Arial"/>
                                    <w:sz w:val="20"/>
                                    <w:szCs w:val="20"/>
                                  </w:rPr>
                                  <m:t>vas</m:t>
                                </m:r>
                                <m:r>
                                  <w:rPr>
                                    <w:rFonts w:ascii="Cambria Math" w:eastAsiaTheme="minorEastAsia" w:hAnsi="Cambria Math" w:cs="Arial"/>
                                    <w:sz w:val="20"/>
                                    <w:szCs w:val="20"/>
                                  </w:rPr>
                                  <m:t>h</m:t>
                                </m:r>
                              </m:e>
                            </m:eqArr>
                          </m:e>
                          <m:sub>
                            <m:r>
                              <w:rPr>
                                <w:rFonts w:ascii="Cambria Math" w:eastAsiaTheme="minorEastAsia" w:hAnsi="Cambria Math" w:cs="Arial"/>
                                <w:sz w:val="20"/>
                                <w:szCs w:val="20"/>
                              </w:rPr>
                              <m:t>gt</m:t>
                            </m:r>
                            <m:r>
                              <w:rPr>
                                <w:rFonts w:ascii="Cambria Math" w:eastAsiaTheme="minorEastAsia" w:hAnsi="Cambria Math" w:cs="Arial"/>
                                <w:sz w:val="20"/>
                                <w:szCs w:val="20"/>
                              </w:rPr>
                              <m:t>,</m:t>
                            </m:r>
                            <m:r>
                              <w:rPr>
                                <w:rFonts w:ascii="Cambria Math" w:eastAsiaTheme="minorEastAsia" w:hAnsi="Cambria Math" w:cs="Arial"/>
                                <w:sz w:val="20"/>
                                <w:szCs w:val="20"/>
                              </w:rPr>
                              <m:t>f</m:t>
                            </m:r>
                          </m:sub>
                        </m:sSub>
                      </m:e>
                    </m:nary>
                  </m:e>
                </m:d>
              </m:oMath>
            </m:oMathPara>
          </w:p>
        </w:tc>
      </w:tr>
      <w:tr w:rsidR="000F7773" w14:paraId="5128651B" w14:textId="77777777" w:rsidTr="00700471">
        <w:trPr>
          <w:trHeight w:val="464"/>
          <w:jc w:val="center"/>
        </w:trPr>
        <w:tc>
          <w:tcPr>
            <w:tcW w:w="0" w:type="auto"/>
            <w:tcBorders>
              <w:top w:val="nil"/>
              <w:left w:val="nil"/>
              <w:bottom w:val="single" w:sz="4" w:space="0" w:color="auto"/>
              <w:right w:val="single" w:sz="4" w:space="0" w:color="auto"/>
            </w:tcBorders>
          </w:tcPr>
          <w:p w14:paraId="1655EA6A" w14:textId="77777777" w:rsidR="000F7773" w:rsidRPr="00C22533" w:rsidRDefault="000F7773" w:rsidP="00DB0816">
            <w:pPr>
              <w:rPr>
                <w:rFonts w:ascii="Arial" w:eastAsiaTheme="minorEastAsia" w:cs="Arial"/>
              </w:rPr>
            </w:pPr>
            <w:r w:rsidRPr="00C22533">
              <w:rPr>
                <w:rFonts w:ascii="Arial" w:eastAsiaTheme="minorEastAsia" w:cs="Arial"/>
              </w:rPr>
              <w:t>Total</w:t>
            </w:r>
          </w:p>
        </w:tc>
        <w:tc>
          <w:tcPr>
            <w:tcW w:w="0" w:type="auto"/>
            <w:tcBorders>
              <w:top w:val="nil"/>
              <w:left w:val="single" w:sz="4" w:space="0" w:color="auto"/>
              <w:bottom w:val="single" w:sz="4" w:space="0" w:color="auto"/>
              <w:right w:val="nil"/>
            </w:tcBorders>
          </w:tcPr>
          <w:p w14:paraId="790E9E93" w14:textId="77777777" w:rsidR="000F7773" w:rsidRPr="00847A4D" w:rsidRDefault="00FA183A" w:rsidP="00DB0816">
            <w:pPr>
              <w:rPr>
                <w:rFonts w:eastAsiaTheme="minorEastAsia" w:cs="Arial"/>
                <w:sz w:val="20"/>
                <w:szCs w:val="20"/>
              </w:rPr>
            </w:pPr>
            <m:oMathPara>
              <m:oMath>
                <m:sSub>
                  <m:sSubPr>
                    <m:ctrlPr>
                      <w:rPr>
                        <w:rFonts w:ascii="Cambria Math" w:eastAsiaTheme="minorEastAsia" w:hAnsi="Cambria Math" w:cs="Arial"/>
                        <w:i/>
                        <w:sz w:val="20"/>
                        <w:szCs w:val="20"/>
                      </w:rPr>
                    </m:ctrlPr>
                  </m:sSubPr>
                  <m:e>
                    <m:r>
                      <w:rPr>
                        <w:rFonts w:ascii="Cambria Math" w:eastAsiaTheme="minorEastAsia" w:hAnsi="Cambria Math" w:cs="Arial"/>
                        <w:sz w:val="20"/>
                        <w:szCs w:val="20"/>
                      </w:rPr>
                      <m:t>YH</m:t>
                    </m:r>
                  </m:e>
                  <m:sub>
                    <m:r>
                      <w:rPr>
                        <w:rFonts w:ascii="Cambria Math" w:eastAsiaTheme="minorEastAsia" w:hAnsi="Cambria Math" w:cs="Arial"/>
                        <w:sz w:val="20"/>
                        <w:szCs w:val="20"/>
                      </w:rPr>
                      <m:t>c</m:t>
                    </m:r>
                  </m:sub>
                </m:sSub>
              </m:oMath>
            </m:oMathPara>
          </w:p>
        </w:tc>
        <w:tc>
          <w:tcPr>
            <w:tcW w:w="0" w:type="auto"/>
            <w:tcBorders>
              <w:top w:val="nil"/>
              <w:left w:val="nil"/>
              <w:bottom w:val="single" w:sz="4" w:space="0" w:color="auto"/>
              <w:right w:val="nil"/>
            </w:tcBorders>
          </w:tcPr>
          <w:p w14:paraId="40E664D7" w14:textId="77777777" w:rsidR="000F7773" w:rsidRPr="00847A4D" w:rsidRDefault="000F7773" w:rsidP="00DB0816">
            <w:pPr>
              <w:rPr>
                <w:rFonts w:eastAsiaTheme="minorEastAsia" w:cs="Arial"/>
                <w:sz w:val="20"/>
                <w:szCs w:val="20"/>
              </w:rPr>
            </w:pPr>
            <m:oMathPara>
              <m:oMath>
                <m:r>
                  <w:rPr>
                    <w:rFonts w:ascii="Cambria Math" w:eastAsiaTheme="minorEastAsia" w:hAnsi="Cambria Math" w:cs="Arial"/>
                    <w:sz w:val="20"/>
                    <w:szCs w:val="20"/>
                  </w:rPr>
                  <m:t>YE</m:t>
                </m:r>
              </m:oMath>
            </m:oMathPara>
          </w:p>
        </w:tc>
        <w:tc>
          <w:tcPr>
            <w:tcW w:w="0" w:type="auto"/>
            <w:tcBorders>
              <w:top w:val="nil"/>
              <w:left w:val="nil"/>
              <w:bottom w:val="single" w:sz="4" w:space="0" w:color="auto"/>
              <w:right w:val="nil"/>
            </w:tcBorders>
          </w:tcPr>
          <w:p w14:paraId="61B75442" w14:textId="77777777" w:rsidR="000F7773" w:rsidRPr="00847A4D" w:rsidRDefault="00FA183A" w:rsidP="00DB0816">
            <w:pPr>
              <w:rPr>
                <w:rFonts w:eastAsiaTheme="minorEastAsia" w:cs="Arial"/>
                <w:sz w:val="20"/>
                <w:szCs w:val="20"/>
              </w:rPr>
            </w:pPr>
            <m:oMathPara>
              <m:oMath>
                <m:sSub>
                  <m:sSubPr>
                    <m:ctrlPr>
                      <w:rPr>
                        <w:rFonts w:ascii="Cambria Math" w:eastAsiaTheme="minorEastAsia" w:hAnsi="Cambria Math" w:cs="Arial"/>
                        <w:i/>
                        <w:sz w:val="20"/>
                        <w:szCs w:val="20"/>
                      </w:rPr>
                    </m:ctrlPr>
                  </m:sSubPr>
                  <m:e>
                    <m:r>
                      <w:rPr>
                        <w:rFonts w:ascii="Cambria Math" w:eastAsiaTheme="minorEastAsia" w:hAnsi="Cambria Math" w:cs="Arial"/>
                        <w:sz w:val="20"/>
                        <w:szCs w:val="20"/>
                      </w:rPr>
                      <m:t>YF</m:t>
                    </m:r>
                  </m:e>
                  <m:sub>
                    <m:r>
                      <w:rPr>
                        <w:rFonts w:ascii="Cambria Math" w:eastAsiaTheme="minorEastAsia" w:hAnsi="Cambria Math" w:cs="Arial"/>
                        <w:sz w:val="20"/>
                        <w:szCs w:val="20"/>
                      </w:rPr>
                      <m:t>f</m:t>
                    </m:r>
                  </m:sub>
                </m:sSub>
              </m:oMath>
            </m:oMathPara>
          </w:p>
        </w:tc>
      </w:tr>
    </w:tbl>
    <w:p w14:paraId="15BBA3B0" w14:textId="77777777" w:rsidR="000F7773" w:rsidRDefault="000F7773" w:rsidP="000F7773">
      <w:pPr>
        <w:rPr>
          <w:rFonts w:eastAsiaTheme="minorEastAsia" w:cs="Arial"/>
        </w:rPr>
      </w:pPr>
    </w:p>
    <w:p w14:paraId="5A835979" w14:textId="77777777" w:rsidR="000F7773" w:rsidRDefault="000F7773" w:rsidP="000F7773">
      <w:pPr>
        <w:rPr>
          <w:rFonts w:eastAsiaTheme="minorEastAsia" w:cs="Arial"/>
        </w:rPr>
      </w:pPr>
    </w:p>
    <w:tbl>
      <w:tblPr>
        <w:tblStyle w:val="TableGrid"/>
        <w:tblW w:w="8904"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157"/>
        <w:gridCol w:w="2811"/>
        <w:gridCol w:w="2213"/>
        <w:gridCol w:w="1723"/>
      </w:tblGrid>
      <w:tr w:rsidR="000F7773" w14:paraId="4671189D" w14:textId="77777777" w:rsidTr="00700471">
        <w:trPr>
          <w:trHeight w:val="492"/>
        </w:trPr>
        <w:tc>
          <w:tcPr>
            <w:tcW w:w="2157" w:type="dxa"/>
            <w:tcBorders>
              <w:bottom w:val="single" w:sz="4" w:space="0" w:color="auto"/>
              <w:right w:val="single" w:sz="4" w:space="0" w:color="auto"/>
            </w:tcBorders>
          </w:tcPr>
          <w:p w14:paraId="7C0C5C2F" w14:textId="77777777" w:rsidR="000F7773" w:rsidRPr="00C22533" w:rsidRDefault="000F7773" w:rsidP="00DB0816">
            <w:pPr>
              <w:rPr>
                <w:rFonts w:ascii="Arial" w:eastAsiaTheme="minorEastAsia" w:cs="Arial"/>
              </w:rPr>
            </w:pPr>
          </w:p>
        </w:tc>
        <w:tc>
          <w:tcPr>
            <w:tcW w:w="2811" w:type="dxa"/>
            <w:tcBorders>
              <w:left w:val="single" w:sz="4" w:space="0" w:color="auto"/>
              <w:bottom w:val="single" w:sz="4" w:space="0" w:color="auto"/>
            </w:tcBorders>
          </w:tcPr>
          <w:p w14:paraId="01396021" w14:textId="77777777" w:rsidR="000F7773" w:rsidRPr="00C22533" w:rsidRDefault="000F7773" w:rsidP="00DB0816">
            <w:pPr>
              <w:jc w:val="center"/>
              <w:rPr>
                <w:rFonts w:ascii="Arial" w:eastAsiaTheme="minorEastAsia" w:cs="Arial"/>
              </w:rPr>
            </w:pPr>
            <w:r w:rsidRPr="00C22533">
              <w:rPr>
                <w:rFonts w:ascii="Arial" w:eastAsiaTheme="minorEastAsia" w:cs="Arial"/>
              </w:rPr>
              <w:t>Capital</w:t>
            </w:r>
          </w:p>
        </w:tc>
        <w:tc>
          <w:tcPr>
            <w:tcW w:w="2213" w:type="dxa"/>
            <w:tcBorders>
              <w:bottom w:val="single" w:sz="4" w:space="0" w:color="auto"/>
            </w:tcBorders>
          </w:tcPr>
          <w:p w14:paraId="11297894" w14:textId="77777777" w:rsidR="000F7773" w:rsidRPr="00C22533" w:rsidRDefault="000F7773" w:rsidP="00DB0816">
            <w:pPr>
              <w:jc w:val="center"/>
              <w:rPr>
                <w:rFonts w:ascii="Arial" w:eastAsiaTheme="minorEastAsia" w:cs="Arial"/>
              </w:rPr>
            </w:pPr>
            <w:r w:rsidRPr="00C22533">
              <w:rPr>
                <w:rFonts w:ascii="Arial" w:eastAsiaTheme="minorEastAsia" w:cs="Arial"/>
              </w:rPr>
              <w:t>Resto del mundo</w:t>
            </w:r>
          </w:p>
        </w:tc>
        <w:tc>
          <w:tcPr>
            <w:tcW w:w="1723" w:type="dxa"/>
            <w:tcBorders>
              <w:bottom w:val="single" w:sz="4" w:space="0" w:color="auto"/>
            </w:tcBorders>
          </w:tcPr>
          <w:p w14:paraId="7F038E25" w14:textId="77777777" w:rsidR="000F7773" w:rsidRPr="00C22533" w:rsidRDefault="000F7773" w:rsidP="00DB0816">
            <w:pPr>
              <w:jc w:val="center"/>
              <w:rPr>
                <w:rFonts w:ascii="Arial" w:eastAsiaTheme="minorEastAsia" w:cs="Arial"/>
              </w:rPr>
            </w:pPr>
            <w:r w:rsidRPr="00C22533">
              <w:rPr>
                <w:rFonts w:ascii="Arial" w:eastAsiaTheme="minorEastAsia" w:cs="Arial"/>
              </w:rPr>
              <w:t>Total</w:t>
            </w:r>
          </w:p>
        </w:tc>
      </w:tr>
      <w:tr w:rsidR="000F7773" w14:paraId="6DD815F0" w14:textId="77777777" w:rsidTr="00700471">
        <w:trPr>
          <w:trHeight w:val="492"/>
        </w:trPr>
        <w:tc>
          <w:tcPr>
            <w:tcW w:w="2157" w:type="dxa"/>
            <w:tcBorders>
              <w:top w:val="single" w:sz="4" w:space="0" w:color="auto"/>
              <w:right w:val="single" w:sz="4" w:space="0" w:color="auto"/>
            </w:tcBorders>
          </w:tcPr>
          <w:p w14:paraId="7BCA284E" w14:textId="77777777" w:rsidR="000F7773" w:rsidRPr="00C22533" w:rsidRDefault="000F7773" w:rsidP="00DB0816">
            <w:pPr>
              <w:rPr>
                <w:rFonts w:ascii="Arial" w:eastAsiaTheme="minorEastAsia" w:cs="Arial"/>
              </w:rPr>
            </w:pPr>
            <w:r w:rsidRPr="00C22533">
              <w:rPr>
                <w:rFonts w:ascii="Arial" w:eastAsiaTheme="minorEastAsia" w:cs="Arial"/>
              </w:rPr>
              <w:t>Bienes</w:t>
            </w:r>
          </w:p>
        </w:tc>
        <w:tc>
          <w:tcPr>
            <w:tcW w:w="2811" w:type="dxa"/>
            <w:tcBorders>
              <w:top w:val="single" w:sz="4" w:space="0" w:color="auto"/>
              <w:left w:val="single" w:sz="4" w:space="0" w:color="auto"/>
            </w:tcBorders>
          </w:tcPr>
          <w:p w14:paraId="15794069" w14:textId="77777777" w:rsidR="000F7773" w:rsidRPr="006C520F" w:rsidRDefault="00FA183A" w:rsidP="00DB0816">
            <w:pPr>
              <w:rPr>
                <w:rFonts w:eastAsiaTheme="minorEastAsia" w:cs="Arial"/>
                <w:sz w:val="20"/>
                <w:szCs w:val="20"/>
                <w:lang w:val="en-US"/>
              </w:rPr>
            </w:pPr>
            <m:oMathPara>
              <m:oMath>
                <m:sSub>
                  <m:sSubPr>
                    <m:ctrlPr>
                      <w:rPr>
                        <w:rFonts w:ascii="Cambria Math" w:eastAsiaTheme="minorEastAsia" w:hAnsi="Cambria Math" w:cs="Arial"/>
                        <w:i/>
                        <w:sz w:val="20"/>
                        <w:szCs w:val="20"/>
                      </w:rPr>
                    </m:ctrlPr>
                  </m:sSubPr>
                  <m:e>
                    <m:r>
                      <w:rPr>
                        <w:rFonts w:ascii="Cambria Math" w:eastAsiaTheme="minorEastAsia" w:hAnsi="Cambria Math" w:cs="Arial"/>
                        <w:sz w:val="20"/>
                        <w:szCs w:val="20"/>
                      </w:rPr>
                      <m:t>(</m:t>
                    </m:r>
                    <m:r>
                      <w:rPr>
                        <w:rFonts w:ascii="Cambria Math" w:eastAsiaTheme="minorEastAsia" w:hAnsi="Cambria Math" w:cs="Arial"/>
                        <w:sz w:val="20"/>
                        <w:szCs w:val="20"/>
                      </w:rPr>
                      <m:t>PQCD</m:t>
                    </m:r>
                  </m:e>
                  <m:sub>
                    <m:r>
                      <w:rPr>
                        <w:rFonts w:ascii="Cambria Math" w:eastAsiaTheme="minorEastAsia" w:hAnsi="Cambria Math" w:cs="Arial"/>
                        <w:sz w:val="20"/>
                        <w:szCs w:val="20"/>
                      </w:rPr>
                      <m:t>c</m:t>
                    </m:r>
                  </m:sub>
                </m:sSub>
                <m:r>
                  <w:rPr>
                    <w:rFonts w:ascii="Cambria Math" w:eastAsiaTheme="minorEastAsia" w:hAnsi="Cambria Math" w:cs="Arial"/>
                    <w:sz w:val="20"/>
                    <w:szCs w:val="20"/>
                    <w:lang w:val="en-US"/>
                  </w:rPr>
                  <m:t>*</m:t>
                </m:r>
                <m:sSub>
                  <m:sSubPr>
                    <m:ctrlPr>
                      <w:rPr>
                        <w:rFonts w:ascii="Cambria Math" w:eastAsiaTheme="minorEastAsia" w:hAnsi="Cambria Math" w:cs="Arial"/>
                        <w:i/>
                        <w:sz w:val="20"/>
                        <w:szCs w:val="20"/>
                        <w:lang w:val="en-US"/>
                      </w:rPr>
                    </m:ctrlPr>
                  </m:sSubPr>
                  <m:e>
                    <m:r>
                      <w:rPr>
                        <w:rFonts w:ascii="Cambria Math" w:eastAsiaTheme="minorEastAsia" w:hAnsi="Cambria Math" w:cs="Arial"/>
                        <w:sz w:val="20"/>
                        <w:szCs w:val="20"/>
                        <w:lang w:val="en-US"/>
                      </w:rPr>
                      <m:t>QINVD</m:t>
                    </m:r>
                  </m:e>
                  <m:sub>
                    <m:r>
                      <w:rPr>
                        <w:rFonts w:ascii="Cambria Math" w:eastAsiaTheme="minorEastAsia" w:hAnsi="Cambria Math" w:cs="Arial"/>
                        <w:sz w:val="20"/>
                        <w:szCs w:val="20"/>
                        <w:lang w:val="en-US"/>
                      </w:rPr>
                      <m:t>c</m:t>
                    </m:r>
                  </m:sub>
                </m:sSub>
                <m:r>
                  <w:rPr>
                    <w:rFonts w:ascii="Cambria Math" w:eastAsiaTheme="minorEastAsia" w:hAnsi="Cambria Math" w:cs="Arial"/>
                    <w:sz w:val="20"/>
                    <w:szCs w:val="20"/>
                    <w:lang w:val="en-US"/>
                  </w:rPr>
                  <m:t>)</m:t>
                </m:r>
              </m:oMath>
            </m:oMathPara>
          </w:p>
          <w:p w14:paraId="67A8AA39" w14:textId="77777777" w:rsidR="000F7773" w:rsidRPr="00847A4D" w:rsidRDefault="000F7773" w:rsidP="00DB0816">
            <w:pPr>
              <w:rPr>
                <w:rFonts w:eastAsiaTheme="minorEastAsia" w:cs="Arial"/>
                <w:sz w:val="20"/>
                <w:szCs w:val="20"/>
              </w:rPr>
            </w:pPr>
            <m:oMathPara>
              <m:oMath>
                <m:r>
                  <w:rPr>
                    <w:rFonts w:ascii="Cambria Math" w:eastAsiaTheme="minorEastAsia" w:hAnsi="Cambria Math" w:cs="Arial"/>
                    <w:sz w:val="20"/>
                    <w:szCs w:val="20"/>
                  </w:rPr>
                  <m:t>(</m:t>
                </m:r>
                <m:sSub>
                  <m:sSubPr>
                    <m:ctrlPr>
                      <w:rPr>
                        <w:rFonts w:ascii="Cambria Math" w:eastAsiaTheme="minorEastAsia" w:hAnsi="Cambria Math" w:cs="Arial"/>
                        <w:i/>
                        <w:sz w:val="20"/>
                        <w:szCs w:val="20"/>
                      </w:rPr>
                    </m:ctrlPr>
                  </m:sSubPr>
                  <m:e>
                    <m:r>
                      <w:rPr>
                        <w:rFonts w:ascii="Cambria Math" w:eastAsiaTheme="minorEastAsia" w:hAnsi="Cambria Math" w:cs="Arial"/>
                        <w:sz w:val="20"/>
                        <w:szCs w:val="20"/>
                      </w:rPr>
                      <m:t>PQD</m:t>
                    </m:r>
                  </m:e>
                  <m:sub>
                    <m:r>
                      <w:rPr>
                        <w:rFonts w:ascii="Cambria Math" w:eastAsiaTheme="minorEastAsia" w:hAnsi="Cambria Math" w:cs="Arial"/>
                        <w:sz w:val="20"/>
                        <w:szCs w:val="20"/>
                      </w:rPr>
                      <m:t>c</m:t>
                    </m:r>
                  </m:sub>
                </m:sSub>
                <m:r>
                  <w:rPr>
                    <w:rFonts w:ascii="Cambria Math" w:eastAsiaTheme="minorEastAsia" w:hAnsi="Cambria Math" w:cs="Arial"/>
                    <w:sz w:val="20"/>
                    <w:szCs w:val="20"/>
                  </w:rPr>
                  <m:t>*</m:t>
                </m:r>
                <m:sSub>
                  <m:sSubPr>
                    <m:ctrlPr>
                      <w:rPr>
                        <w:rFonts w:ascii="Cambria Math" w:eastAsiaTheme="minorEastAsia" w:hAnsi="Cambria Math" w:cs="Arial"/>
                        <w:i/>
                        <w:sz w:val="20"/>
                        <w:szCs w:val="20"/>
                      </w:rPr>
                    </m:ctrlPr>
                  </m:sSubPr>
                  <m:e>
                    <m:r>
                      <w:rPr>
                        <w:rFonts w:ascii="Cambria Math" w:eastAsiaTheme="minorEastAsia" w:hAnsi="Cambria Math" w:cs="Arial"/>
                        <w:sz w:val="20"/>
                        <w:szCs w:val="20"/>
                      </w:rPr>
                      <m:t>dstocconst</m:t>
                    </m:r>
                  </m:e>
                  <m:sub>
                    <m:r>
                      <w:rPr>
                        <w:rFonts w:ascii="Cambria Math" w:eastAsiaTheme="minorEastAsia" w:hAnsi="Cambria Math" w:cs="Arial"/>
                        <w:sz w:val="20"/>
                        <w:szCs w:val="20"/>
                      </w:rPr>
                      <m:t>c</m:t>
                    </m:r>
                  </m:sub>
                </m:sSub>
                <m:r>
                  <w:rPr>
                    <w:rFonts w:ascii="Cambria Math" w:eastAsiaTheme="minorEastAsia" w:hAnsi="Cambria Math" w:cs="Arial"/>
                    <w:sz w:val="20"/>
                    <w:szCs w:val="20"/>
                  </w:rPr>
                  <m:t>)</m:t>
                </m:r>
              </m:oMath>
            </m:oMathPara>
          </w:p>
        </w:tc>
        <w:tc>
          <w:tcPr>
            <w:tcW w:w="2213" w:type="dxa"/>
            <w:tcBorders>
              <w:top w:val="single" w:sz="4" w:space="0" w:color="auto"/>
            </w:tcBorders>
          </w:tcPr>
          <w:p w14:paraId="4C9741BF" w14:textId="77777777" w:rsidR="000F7773" w:rsidRPr="00847A4D" w:rsidRDefault="000F7773" w:rsidP="00DB0816">
            <w:pPr>
              <w:rPr>
                <w:rFonts w:eastAsiaTheme="minorEastAsia" w:cs="Arial"/>
                <w:sz w:val="20"/>
                <w:szCs w:val="20"/>
              </w:rPr>
            </w:pPr>
            <m:oMathPara>
              <m:oMath>
                <m:r>
                  <w:rPr>
                    <w:rFonts w:ascii="Cambria Math" w:eastAsiaTheme="minorEastAsia" w:hAnsi="Cambria Math" w:cs="Arial"/>
                    <w:sz w:val="20"/>
                    <w:szCs w:val="20"/>
                  </w:rPr>
                  <m:t>(</m:t>
                </m:r>
                <m:sSub>
                  <m:sSubPr>
                    <m:ctrlPr>
                      <w:rPr>
                        <w:rFonts w:ascii="Cambria Math" w:eastAsiaTheme="minorEastAsia" w:hAnsi="Cambria Math" w:cs="Arial"/>
                        <w:i/>
                        <w:sz w:val="20"/>
                        <w:szCs w:val="20"/>
                      </w:rPr>
                    </m:ctrlPr>
                  </m:sSubPr>
                  <m:e>
                    <m:r>
                      <w:rPr>
                        <w:rFonts w:ascii="Cambria Math" w:eastAsiaTheme="minorEastAsia" w:hAnsi="Cambria Math" w:cs="Arial"/>
                        <w:sz w:val="20"/>
                        <w:szCs w:val="20"/>
                      </w:rPr>
                      <m:t>PWE</m:t>
                    </m:r>
                  </m:e>
                  <m:sub>
                    <m:r>
                      <w:rPr>
                        <w:rFonts w:ascii="Cambria Math" w:eastAsiaTheme="minorEastAsia" w:hAnsi="Cambria Math" w:cs="Arial"/>
                        <w:sz w:val="20"/>
                        <w:szCs w:val="20"/>
                      </w:rPr>
                      <m:t>c</m:t>
                    </m:r>
                  </m:sub>
                </m:sSub>
                <m:r>
                  <w:rPr>
                    <w:rFonts w:ascii="Cambria Math" w:eastAsiaTheme="minorEastAsia" w:hAnsi="Cambria Math" w:cs="Arial"/>
                    <w:sz w:val="20"/>
                    <w:szCs w:val="20"/>
                  </w:rPr>
                  <m:t>*</m:t>
                </m:r>
                <m:sSub>
                  <m:sSubPr>
                    <m:ctrlPr>
                      <w:rPr>
                        <w:rFonts w:ascii="Cambria Math" w:eastAsiaTheme="minorEastAsia" w:hAnsi="Cambria Math" w:cs="Arial"/>
                        <w:i/>
                        <w:sz w:val="20"/>
                        <w:szCs w:val="20"/>
                      </w:rPr>
                    </m:ctrlPr>
                  </m:sSubPr>
                  <m:e>
                    <m:r>
                      <w:rPr>
                        <w:rFonts w:ascii="Cambria Math" w:eastAsiaTheme="minorEastAsia" w:hAnsi="Cambria Math" w:cs="Arial"/>
                        <w:sz w:val="20"/>
                        <w:szCs w:val="20"/>
                      </w:rPr>
                      <m:t>QE</m:t>
                    </m:r>
                  </m:e>
                  <m:sub>
                    <m:r>
                      <w:rPr>
                        <w:rFonts w:ascii="Cambria Math" w:eastAsiaTheme="minorEastAsia" w:hAnsi="Cambria Math" w:cs="Arial"/>
                        <w:sz w:val="20"/>
                        <w:szCs w:val="20"/>
                      </w:rPr>
                      <m:t>c</m:t>
                    </m:r>
                  </m:sub>
                </m:sSub>
                <m:r>
                  <w:rPr>
                    <w:rFonts w:ascii="Cambria Math" w:eastAsiaTheme="minorEastAsia" w:hAnsi="Cambria Math" w:cs="Arial"/>
                    <w:sz w:val="20"/>
                    <w:szCs w:val="20"/>
                  </w:rPr>
                  <m:t>*ER)</m:t>
                </m:r>
              </m:oMath>
            </m:oMathPara>
          </w:p>
          <w:p w14:paraId="61C20B96" w14:textId="77777777" w:rsidR="000F7773" w:rsidRPr="00847A4D" w:rsidRDefault="000F7773" w:rsidP="00DB0816">
            <w:pPr>
              <w:rPr>
                <w:rFonts w:eastAsiaTheme="minorEastAsia" w:cs="Arial"/>
                <w:sz w:val="20"/>
                <w:szCs w:val="20"/>
              </w:rPr>
            </w:pPr>
          </w:p>
        </w:tc>
        <w:tc>
          <w:tcPr>
            <w:tcW w:w="1723" w:type="dxa"/>
            <w:tcBorders>
              <w:top w:val="single" w:sz="4" w:space="0" w:color="auto"/>
            </w:tcBorders>
          </w:tcPr>
          <w:p w14:paraId="6C43531B" w14:textId="77777777" w:rsidR="000F7773" w:rsidRPr="00847A4D" w:rsidRDefault="000F7773" w:rsidP="00DB0816">
            <w:pPr>
              <w:rPr>
                <w:rFonts w:eastAsiaTheme="minorEastAsia" w:cs="Arial"/>
                <w:sz w:val="20"/>
                <w:szCs w:val="20"/>
              </w:rPr>
            </w:pPr>
            <m:oMathPara>
              <m:oMath>
                <m:r>
                  <w:rPr>
                    <w:rFonts w:ascii="Cambria Math" w:eastAsiaTheme="minorEastAsia" w:hAnsi="Cambria Math" w:cs="Arial"/>
                    <w:sz w:val="20"/>
                    <w:szCs w:val="20"/>
                  </w:rPr>
                  <m:t>(</m:t>
                </m:r>
                <m:sSub>
                  <m:sSubPr>
                    <m:ctrlPr>
                      <w:rPr>
                        <w:rFonts w:ascii="Cambria Math" w:eastAsiaTheme="minorEastAsia" w:hAnsi="Cambria Math" w:cs="Arial"/>
                        <w:i/>
                        <w:sz w:val="20"/>
                        <w:szCs w:val="20"/>
                      </w:rPr>
                    </m:ctrlPr>
                  </m:sSubPr>
                  <m:e>
                    <m:r>
                      <w:rPr>
                        <w:rFonts w:ascii="Cambria Math" w:eastAsiaTheme="minorEastAsia" w:hAnsi="Cambria Math" w:cs="Arial"/>
                        <w:sz w:val="20"/>
                        <w:szCs w:val="20"/>
                      </w:rPr>
                      <m:t>PQD</m:t>
                    </m:r>
                  </m:e>
                  <m:sub>
                    <m:r>
                      <w:rPr>
                        <w:rFonts w:ascii="Cambria Math" w:eastAsiaTheme="minorEastAsia" w:hAnsi="Cambria Math" w:cs="Arial"/>
                        <w:sz w:val="20"/>
                        <w:szCs w:val="20"/>
                      </w:rPr>
                      <m:t>c</m:t>
                    </m:r>
                  </m:sub>
                </m:sSub>
                <m:r>
                  <w:rPr>
                    <w:rFonts w:ascii="Cambria Math" w:eastAsiaTheme="minorEastAsia" w:hAnsi="Cambria Math" w:cs="Arial"/>
                    <w:sz w:val="20"/>
                    <w:szCs w:val="20"/>
                  </w:rPr>
                  <m:t>*</m:t>
                </m:r>
                <m:sSub>
                  <m:sSubPr>
                    <m:ctrlPr>
                      <w:rPr>
                        <w:rFonts w:ascii="Cambria Math" w:eastAsiaTheme="minorEastAsia" w:hAnsi="Cambria Math" w:cs="Arial"/>
                        <w:i/>
                        <w:sz w:val="20"/>
                        <w:szCs w:val="20"/>
                      </w:rPr>
                    </m:ctrlPr>
                  </m:sSubPr>
                  <m:e>
                    <m:r>
                      <w:rPr>
                        <w:rFonts w:ascii="Cambria Math" w:eastAsiaTheme="minorEastAsia" w:hAnsi="Cambria Math" w:cs="Arial"/>
                        <w:sz w:val="20"/>
                        <w:szCs w:val="20"/>
                      </w:rPr>
                      <m:t>QQ</m:t>
                    </m:r>
                  </m:e>
                  <m:sub>
                    <m:r>
                      <w:rPr>
                        <w:rFonts w:ascii="Cambria Math" w:eastAsiaTheme="minorEastAsia" w:hAnsi="Cambria Math" w:cs="Arial"/>
                        <w:sz w:val="20"/>
                        <w:szCs w:val="20"/>
                      </w:rPr>
                      <m:t>c</m:t>
                    </m:r>
                  </m:sub>
                </m:sSub>
                <m:r>
                  <w:rPr>
                    <w:rFonts w:ascii="Cambria Math" w:eastAsiaTheme="minorEastAsia" w:hAnsi="Cambria Math" w:cs="Arial"/>
                    <w:sz w:val="20"/>
                    <w:szCs w:val="20"/>
                  </w:rPr>
                  <m:t>)</m:t>
                </m:r>
              </m:oMath>
            </m:oMathPara>
          </w:p>
        </w:tc>
      </w:tr>
      <w:tr w:rsidR="000F7773" w14:paraId="37855D59" w14:textId="77777777" w:rsidTr="00700471">
        <w:trPr>
          <w:trHeight w:val="1016"/>
        </w:trPr>
        <w:tc>
          <w:tcPr>
            <w:tcW w:w="2157" w:type="dxa"/>
            <w:tcBorders>
              <w:right w:val="single" w:sz="4" w:space="0" w:color="auto"/>
            </w:tcBorders>
          </w:tcPr>
          <w:p w14:paraId="15CE7E05" w14:textId="77777777" w:rsidR="000F7773" w:rsidRPr="00C22533" w:rsidRDefault="000F7773" w:rsidP="00DB0816">
            <w:pPr>
              <w:rPr>
                <w:rFonts w:ascii="Arial" w:eastAsiaTheme="minorEastAsia" w:cs="Arial"/>
              </w:rPr>
            </w:pPr>
            <w:r w:rsidRPr="00C22533">
              <w:rPr>
                <w:rFonts w:ascii="Arial" w:eastAsiaTheme="minorEastAsia" w:cs="Arial"/>
              </w:rPr>
              <w:lastRenderedPageBreak/>
              <w:t xml:space="preserve">Actividades </w:t>
            </w:r>
          </w:p>
        </w:tc>
        <w:tc>
          <w:tcPr>
            <w:tcW w:w="2811" w:type="dxa"/>
            <w:tcBorders>
              <w:left w:val="single" w:sz="4" w:space="0" w:color="auto"/>
            </w:tcBorders>
          </w:tcPr>
          <w:p w14:paraId="2DC53399" w14:textId="77777777" w:rsidR="000F7773" w:rsidRPr="00847A4D" w:rsidRDefault="000F7773" w:rsidP="00DB0816">
            <w:pPr>
              <w:rPr>
                <w:rFonts w:eastAsiaTheme="minorEastAsia" w:cs="Arial"/>
                <w:i/>
                <w:sz w:val="20"/>
                <w:szCs w:val="20"/>
                <w:lang w:val="en-US"/>
              </w:rPr>
            </w:pPr>
          </w:p>
          <w:p w14:paraId="01594DC0" w14:textId="77777777" w:rsidR="000F7773" w:rsidRPr="00847A4D" w:rsidRDefault="000F7773" w:rsidP="00DB0816">
            <w:pPr>
              <w:rPr>
                <w:rFonts w:eastAsiaTheme="minorEastAsia" w:cs="Arial"/>
                <w:i/>
                <w:sz w:val="20"/>
                <w:szCs w:val="20"/>
                <w:lang w:val="en-US"/>
              </w:rPr>
            </w:pPr>
          </w:p>
        </w:tc>
        <w:tc>
          <w:tcPr>
            <w:tcW w:w="2213" w:type="dxa"/>
          </w:tcPr>
          <w:p w14:paraId="5A087812" w14:textId="77777777" w:rsidR="000F7773" w:rsidRPr="00847A4D" w:rsidRDefault="000F7773" w:rsidP="00DB0816">
            <w:pPr>
              <w:rPr>
                <w:rFonts w:eastAsiaTheme="minorEastAsia" w:cs="Arial"/>
                <w:sz w:val="20"/>
                <w:szCs w:val="20"/>
              </w:rPr>
            </w:pPr>
          </w:p>
        </w:tc>
        <w:tc>
          <w:tcPr>
            <w:tcW w:w="1723" w:type="dxa"/>
          </w:tcPr>
          <w:p w14:paraId="11F322A9" w14:textId="77777777" w:rsidR="000F7773" w:rsidRPr="00847A4D" w:rsidRDefault="000F7773" w:rsidP="00DB0816">
            <w:pPr>
              <w:rPr>
                <w:rFonts w:eastAsiaTheme="minorEastAsia" w:cs="Arial"/>
                <w:sz w:val="20"/>
                <w:szCs w:val="20"/>
              </w:rPr>
            </w:pPr>
            <m:oMathPara>
              <m:oMath>
                <m:r>
                  <w:rPr>
                    <w:rFonts w:ascii="Cambria Math" w:eastAsiaTheme="minorEastAsia" w:hAnsi="Cambria Math" w:cs="Arial"/>
                    <w:sz w:val="20"/>
                    <w:szCs w:val="20"/>
                  </w:rPr>
                  <m:t>(</m:t>
                </m:r>
                <m:sSub>
                  <m:sSubPr>
                    <m:ctrlPr>
                      <w:rPr>
                        <w:rFonts w:ascii="Cambria Math" w:eastAsiaTheme="minorEastAsia" w:hAnsi="Cambria Math" w:cs="Arial"/>
                        <w:i/>
                        <w:sz w:val="20"/>
                        <w:szCs w:val="20"/>
                      </w:rPr>
                    </m:ctrlPr>
                  </m:sSubPr>
                  <m:e>
                    <m:r>
                      <w:rPr>
                        <w:rFonts w:ascii="Cambria Math" w:eastAsiaTheme="minorEastAsia" w:hAnsi="Cambria Math" w:cs="Arial"/>
                        <w:sz w:val="20"/>
                        <w:szCs w:val="20"/>
                      </w:rPr>
                      <m:t>PX</m:t>
                    </m:r>
                  </m:e>
                  <m:sub>
                    <m:r>
                      <w:rPr>
                        <w:rFonts w:ascii="Cambria Math" w:eastAsiaTheme="minorEastAsia" w:hAnsi="Cambria Math" w:cs="Arial"/>
                        <w:sz w:val="20"/>
                        <w:szCs w:val="20"/>
                      </w:rPr>
                      <m:t>a</m:t>
                    </m:r>
                  </m:sub>
                </m:sSub>
                <m:r>
                  <w:rPr>
                    <w:rFonts w:ascii="Cambria Math" w:eastAsiaTheme="minorEastAsia" w:hAnsi="Cambria Math" w:cs="Arial"/>
                    <w:sz w:val="20"/>
                    <w:szCs w:val="20"/>
                  </w:rPr>
                  <m:t>*</m:t>
                </m:r>
                <m:sSub>
                  <m:sSubPr>
                    <m:ctrlPr>
                      <w:rPr>
                        <w:rFonts w:ascii="Cambria Math" w:eastAsiaTheme="minorEastAsia" w:hAnsi="Cambria Math" w:cs="Arial"/>
                        <w:i/>
                        <w:sz w:val="20"/>
                        <w:szCs w:val="20"/>
                      </w:rPr>
                    </m:ctrlPr>
                  </m:sSubPr>
                  <m:e>
                    <m:r>
                      <w:rPr>
                        <w:rFonts w:ascii="Cambria Math" w:eastAsiaTheme="minorEastAsia" w:hAnsi="Cambria Math" w:cs="Arial"/>
                        <w:sz w:val="20"/>
                        <w:szCs w:val="20"/>
                      </w:rPr>
                      <m:t>QX</m:t>
                    </m:r>
                  </m:e>
                  <m:sub>
                    <m:r>
                      <w:rPr>
                        <w:rFonts w:ascii="Cambria Math" w:eastAsiaTheme="minorEastAsia" w:hAnsi="Cambria Math" w:cs="Arial"/>
                        <w:sz w:val="20"/>
                        <w:szCs w:val="20"/>
                      </w:rPr>
                      <m:t>a</m:t>
                    </m:r>
                  </m:sub>
                </m:sSub>
                <m:r>
                  <w:rPr>
                    <w:rFonts w:ascii="Cambria Math" w:eastAsiaTheme="minorEastAsia" w:hAnsi="Cambria Math" w:cs="Arial"/>
                    <w:sz w:val="20"/>
                    <w:szCs w:val="20"/>
                  </w:rPr>
                  <m:t>)</m:t>
                </m:r>
              </m:oMath>
            </m:oMathPara>
          </w:p>
        </w:tc>
      </w:tr>
      <w:tr w:rsidR="000F7773" w14:paraId="62C61ED9" w14:textId="77777777" w:rsidTr="00700471">
        <w:trPr>
          <w:trHeight w:val="492"/>
        </w:trPr>
        <w:tc>
          <w:tcPr>
            <w:tcW w:w="2157" w:type="dxa"/>
            <w:tcBorders>
              <w:right w:val="single" w:sz="4" w:space="0" w:color="auto"/>
            </w:tcBorders>
          </w:tcPr>
          <w:p w14:paraId="125B02C4" w14:textId="77777777" w:rsidR="000F7773" w:rsidRPr="00C22533" w:rsidRDefault="000F7773" w:rsidP="00DB0816">
            <w:pPr>
              <w:rPr>
                <w:rFonts w:ascii="Arial" w:eastAsiaTheme="minorEastAsia" w:cs="Arial"/>
              </w:rPr>
            </w:pPr>
            <w:r w:rsidRPr="00C22533">
              <w:rPr>
                <w:rFonts w:ascii="Arial" w:eastAsiaTheme="minorEastAsia" w:cs="Arial"/>
              </w:rPr>
              <w:t>Factores</w:t>
            </w:r>
          </w:p>
        </w:tc>
        <w:tc>
          <w:tcPr>
            <w:tcW w:w="2811" w:type="dxa"/>
            <w:tcBorders>
              <w:left w:val="single" w:sz="4" w:space="0" w:color="auto"/>
            </w:tcBorders>
          </w:tcPr>
          <w:p w14:paraId="4885CE1A" w14:textId="77777777" w:rsidR="000F7773" w:rsidRPr="00847A4D" w:rsidRDefault="000F7773" w:rsidP="00DB0816">
            <w:pPr>
              <w:rPr>
                <w:rFonts w:eastAsiaTheme="minorEastAsia" w:cs="Arial"/>
                <w:sz w:val="20"/>
                <w:szCs w:val="20"/>
              </w:rPr>
            </w:pPr>
          </w:p>
        </w:tc>
        <w:tc>
          <w:tcPr>
            <w:tcW w:w="2213" w:type="dxa"/>
          </w:tcPr>
          <w:p w14:paraId="50409E6D" w14:textId="77777777" w:rsidR="000F7773" w:rsidRPr="00847A4D" w:rsidRDefault="000F7773" w:rsidP="00DB0816">
            <w:pPr>
              <w:rPr>
                <w:rFonts w:eastAsiaTheme="minorEastAsia" w:cs="Arial"/>
                <w:sz w:val="20"/>
                <w:szCs w:val="20"/>
              </w:rPr>
            </w:pPr>
            <m:oMathPara>
              <m:oMath>
                <m:r>
                  <w:rPr>
                    <w:rFonts w:ascii="Cambria Math" w:eastAsiaTheme="minorEastAsia" w:hAnsi="Cambria Math" w:cs="Arial"/>
                    <w:sz w:val="20"/>
                    <w:szCs w:val="20"/>
                  </w:rPr>
                  <m:t>(</m:t>
                </m:r>
                <m:sSub>
                  <m:sSubPr>
                    <m:ctrlPr>
                      <w:rPr>
                        <w:rFonts w:ascii="Cambria Math" w:eastAsiaTheme="minorEastAsia" w:hAnsi="Cambria Math" w:cs="Arial"/>
                        <w:i/>
                        <w:sz w:val="20"/>
                        <w:szCs w:val="20"/>
                      </w:rPr>
                    </m:ctrlPr>
                  </m:sSubPr>
                  <m:e>
                    <m:r>
                      <w:rPr>
                        <w:rFonts w:ascii="Cambria Math" w:eastAsiaTheme="minorEastAsia" w:hAnsi="Cambria Math" w:cs="Arial"/>
                        <w:sz w:val="20"/>
                        <w:szCs w:val="20"/>
                      </w:rPr>
                      <m:t>factwor</m:t>
                    </m:r>
                  </m:e>
                  <m:sub>
                    <m:r>
                      <w:rPr>
                        <w:rFonts w:ascii="Cambria Math" w:eastAsiaTheme="minorEastAsia" w:hAnsi="Cambria Math" w:cs="Arial"/>
                        <w:sz w:val="20"/>
                        <w:szCs w:val="20"/>
                      </w:rPr>
                      <m:t>f</m:t>
                    </m:r>
                  </m:sub>
                </m:sSub>
                <m:r>
                  <w:rPr>
                    <w:rFonts w:ascii="Cambria Math" w:eastAsiaTheme="minorEastAsia" w:hAnsi="Cambria Math" w:cs="Arial"/>
                    <w:sz w:val="20"/>
                    <w:szCs w:val="20"/>
                  </w:rPr>
                  <m:t>*ER)</m:t>
                </m:r>
              </m:oMath>
            </m:oMathPara>
          </w:p>
        </w:tc>
        <w:tc>
          <w:tcPr>
            <w:tcW w:w="1723" w:type="dxa"/>
          </w:tcPr>
          <w:p w14:paraId="5A0A936A" w14:textId="77777777" w:rsidR="000F7773" w:rsidRPr="00847A4D" w:rsidRDefault="00FA183A" w:rsidP="00DB0816">
            <w:pPr>
              <w:rPr>
                <w:rFonts w:eastAsiaTheme="minorEastAsia" w:cs="Arial"/>
                <w:sz w:val="20"/>
                <w:szCs w:val="20"/>
              </w:rPr>
            </w:pPr>
            <m:oMathPara>
              <m:oMath>
                <m:sSub>
                  <m:sSubPr>
                    <m:ctrlPr>
                      <w:rPr>
                        <w:rFonts w:ascii="Cambria Math" w:eastAsiaTheme="minorEastAsia" w:hAnsi="Cambria Math" w:cs="Arial"/>
                        <w:i/>
                        <w:sz w:val="20"/>
                        <w:szCs w:val="20"/>
                      </w:rPr>
                    </m:ctrlPr>
                  </m:sSubPr>
                  <m:e>
                    <m:r>
                      <w:rPr>
                        <w:rFonts w:ascii="Cambria Math" w:eastAsiaTheme="minorEastAsia" w:hAnsi="Cambria Math" w:cs="Arial"/>
                        <w:sz w:val="20"/>
                        <w:szCs w:val="20"/>
                      </w:rPr>
                      <m:t>YF</m:t>
                    </m:r>
                  </m:e>
                  <m:sub>
                    <m:r>
                      <w:rPr>
                        <w:rFonts w:ascii="Cambria Math" w:eastAsiaTheme="minorEastAsia" w:hAnsi="Cambria Math" w:cs="Arial"/>
                        <w:sz w:val="20"/>
                        <w:szCs w:val="20"/>
                      </w:rPr>
                      <m:t>f</m:t>
                    </m:r>
                  </m:sub>
                </m:sSub>
              </m:oMath>
            </m:oMathPara>
          </w:p>
        </w:tc>
      </w:tr>
      <w:tr w:rsidR="000F7773" w14:paraId="78465C02" w14:textId="77777777" w:rsidTr="00700471">
        <w:trPr>
          <w:trHeight w:val="492"/>
        </w:trPr>
        <w:tc>
          <w:tcPr>
            <w:tcW w:w="2157" w:type="dxa"/>
            <w:tcBorders>
              <w:right w:val="single" w:sz="4" w:space="0" w:color="auto"/>
            </w:tcBorders>
          </w:tcPr>
          <w:p w14:paraId="659A66C3" w14:textId="77777777" w:rsidR="000F7773" w:rsidRPr="00C22533" w:rsidRDefault="000F7773" w:rsidP="00DB0816">
            <w:pPr>
              <w:rPr>
                <w:rFonts w:ascii="Arial" w:eastAsiaTheme="minorEastAsia" w:cs="Arial"/>
              </w:rPr>
            </w:pPr>
          </w:p>
        </w:tc>
        <w:tc>
          <w:tcPr>
            <w:tcW w:w="2811" w:type="dxa"/>
            <w:tcBorders>
              <w:left w:val="single" w:sz="4" w:space="0" w:color="auto"/>
            </w:tcBorders>
          </w:tcPr>
          <w:p w14:paraId="6F65314F" w14:textId="77777777" w:rsidR="000F7773" w:rsidRPr="00847A4D" w:rsidRDefault="000F7773" w:rsidP="00DB0816">
            <w:pPr>
              <w:rPr>
                <w:rFonts w:eastAsiaTheme="minorEastAsia" w:cs="Arial"/>
                <w:sz w:val="20"/>
                <w:szCs w:val="20"/>
              </w:rPr>
            </w:pPr>
          </w:p>
        </w:tc>
        <w:tc>
          <w:tcPr>
            <w:tcW w:w="2213" w:type="dxa"/>
          </w:tcPr>
          <w:p w14:paraId="1821A82D" w14:textId="77777777" w:rsidR="000F7773" w:rsidRDefault="000F7773" w:rsidP="00DB0816">
            <w:pPr>
              <w:rPr>
                <w:rFonts w:eastAsia="Calibri" w:cs="Arial"/>
                <w:sz w:val="20"/>
                <w:szCs w:val="20"/>
              </w:rPr>
            </w:pPr>
          </w:p>
        </w:tc>
        <w:tc>
          <w:tcPr>
            <w:tcW w:w="1723" w:type="dxa"/>
          </w:tcPr>
          <w:p w14:paraId="5E3D7F37" w14:textId="77777777" w:rsidR="000F7773" w:rsidRDefault="000F7773" w:rsidP="00DB0816">
            <w:pPr>
              <w:rPr>
                <w:rFonts w:eastAsia="Calibri" w:cs="Arial"/>
                <w:sz w:val="20"/>
                <w:szCs w:val="20"/>
              </w:rPr>
            </w:pPr>
          </w:p>
        </w:tc>
      </w:tr>
      <w:tr w:rsidR="000F7773" w14:paraId="6290B92C" w14:textId="77777777" w:rsidTr="00700471">
        <w:trPr>
          <w:trHeight w:val="492"/>
        </w:trPr>
        <w:tc>
          <w:tcPr>
            <w:tcW w:w="2157" w:type="dxa"/>
            <w:tcBorders>
              <w:right w:val="single" w:sz="4" w:space="0" w:color="auto"/>
            </w:tcBorders>
          </w:tcPr>
          <w:p w14:paraId="3E44C2AC" w14:textId="77777777" w:rsidR="000F7773" w:rsidRPr="00C22533" w:rsidRDefault="000F7773" w:rsidP="00DB0816">
            <w:pPr>
              <w:rPr>
                <w:rFonts w:ascii="Arial" w:eastAsiaTheme="minorEastAsia" w:cs="Arial"/>
              </w:rPr>
            </w:pPr>
            <w:r w:rsidRPr="00C22533">
              <w:rPr>
                <w:rFonts w:ascii="Arial" w:eastAsiaTheme="minorEastAsia" w:cs="Arial"/>
              </w:rPr>
              <w:t xml:space="preserve">Hogares </w:t>
            </w:r>
          </w:p>
        </w:tc>
        <w:tc>
          <w:tcPr>
            <w:tcW w:w="2811" w:type="dxa"/>
            <w:tcBorders>
              <w:left w:val="single" w:sz="4" w:space="0" w:color="auto"/>
            </w:tcBorders>
          </w:tcPr>
          <w:p w14:paraId="6EED0365" w14:textId="77777777" w:rsidR="000F7773" w:rsidRPr="00847A4D" w:rsidRDefault="000F7773" w:rsidP="00DB0816">
            <w:pPr>
              <w:rPr>
                <w:rFonts w:eastAsiaTheme="minorEastAsia" w:cs="Arial"/>
                <w:sz w:val="20"/>
                <w:szCs w:val="20"/>
              </w:rPr>
            </w:pPr>
          </w:p>
        </w:tc>
        <w:tc>
          <w:tcPr>
            <w:tcW w:w="2213" w:type="dxa"/>
          </w:tcPr>
          <w:p w14:paraId="15A81B67" w14:textId="77777777" w:rsidR="000F7773" w:rsidRPr="00847A4D" w:rsidRDefault="000F7773" w:rsidP="00DB0816">
            <w:pPr>
              <w:rPr>
                <w:rFonts w:eastAsiaTheme="minorEastAsia" w:cs="Arial"/>
                <w:sz w:val="20"/>
                <w:szCs w:val="20"/>
              </w:rPr>
            </w:pPr>
            <m:oMathPara>
              <m:oMath>
                <m:r>
                  <w:rPr>
                    <w:rFonts w:ascii="Cambria Math" w:eastAsiaTheme="minorEastAsia" w:hAnsi="Cambria Math" w:cs="Arial"/>
                    <w:sz w:val="20"/>
                    <w:szCs w:val="20"/>
                  </w:rPr>
                  <m:t>(</m:t>
                </m:r>
                <m:sSub>
                  <m:sSubPr>
                    <m:ctrlPr>
                      <w:rPr>
                        <w:rFonts w:ascii="Cambria Math" w:eastAsiaTheme="minorEastAsia" w:hAnsi="Cambria Math" w:cs="Arial"/>
                        <w:i/>
                        <w:sz w:val="20"/>
                        <w:szCs w:val="20"/>
                      </w:rPr>
                    </m:ctrlPr>
                  </m:sSubPr>
                  <m:e>
                    <m:r>
                      <w:rPr>
                        <w:rFonts w:ascii="Cambria Math" w:eastAsiaTheme="minorEastAsia" w:hAnsi="Cambria Math" w:cs="Arial"/>
                        <w:sz w:val="20"/>
                        <w:szCs w:val="20"/>
                      </w:rPr>
                      <m:t>howor</m:t>
                    </m:r>
                  </m:e>
                  <m:sub>
                    <m:r>
                      <w:rPr>
                        <w:rFonts w:ascii="Cambria Math" w:eastAsiaTheme="minorEastAsia" w:hAnsi="Cambria Math" w:cs="Arial"/>
                        <w:sz w:val="20"/>
                        <w:szCs w:val="20"/>
                      </w:rPr>
                      <m:t>h</m:t>
                    </m:r>
                  </m:sub>
                </m:sSub>
                <m:r>
                  <w:rPr>
                    <w:rFonts w:ascii="Cambria Math" w:eastAsiaTheme="minorEastAsia" w:hAnsi="Cambria Math" w:cs="Arial"/>
                    <w:sz w:val="20"/>
                    <w:szCs w:val="20"/>
                  </w:rPr>
                  <m:t>*ER)</m:t>
                </m:r>
              </m:oMath>
            </m:oMathPara>
          </w:p>
        </w:tc>
        <w:tc>
          <w:tcPr>
            <w:tcW w:w="1723" w:type="dxa"/>
          </w:tcPr>
          <w:p w14:paraId="6D2FEC7F" w14:textId="77777777" w:rsidR="000F7773" w:rsidRPr="00847A4D" w:rsidRDefault="00FA183A" w:rsidP="00DB0816">
            <w:pPr>
              <w:rPr>
                <w:rFonts w:eastAsiaTheme="minorEastAsia" w:cs="Arial"/>
                <w:sz w:val="20"/>
                <w:szCs w:val="20"/>
              </w:rPr>
            </w:pPr>
            <m:oMathPara>
              <m:oMath>
                <m:sSub>
                  <m:sSubPr>
                    <m:ctrlPr>
                      <w:rPr>
                        <w:rFonts w:ascii="Cambria Math" w:eastAsiaTheme="minorEastAsia" w:hAnsi="Cambria Math" w:cs="Arial"/>
                        <w:i/>
                        <w:sz w:val="20"/>
                        <w:szCs w:val="20"/>
                      </w:rPr>
                    </m:ctrlPr>
                  </m:sSubPr>
                  <m:e>
                    <m:r>
                      <w:rPr>
                        <w:rFonts w:ascii="Cambria Math" w:eastAsiaTheme="minorEastAsia" w:hAnsi="Cambria Math" w:cs="Arial"/>
                        <w:sz w:val="20"/>
                        <w:szCs w:val="20"/>
                      </w:rPr>
                      <m:t>YH</m:t>
                    </m:r>
                  </m:e>
                  <m:sub>
                    <m:r>
                      <w:rPr>
                        <w:rFonts w:ascii="Cambria Math" w:eastAsiaTheme="minorEastAsia" w:hAnsi="Cambria Math" w:cs="Arial"/>
                        <w:sz w:val="20"/>
                        <w:szCs w:val="20"/>
                      </w:rPr>
                      <m:t>h</m:t>
                    </m:r>
                  </m:sub>
                </m:sSub>
              </m:oMath>
            </m:oMathPara>
          </w:p>
        </w:tc>
      </w:tr>
      <w:tr w:rsidR="000F7773" w14:paraId="61705B39" w14:textId="77777777" w:rsidTr="00700471">
        <w:trPr>
          <w:trHeight w:val="500"/>
        </w:trPr>
        <w:tc>
          <w:tcPr>
            <w:tcW w:w="2157" w:type="dxa"/>
            <w:tcBorders>
              <w:right w:val="single" w:sz="4" w:space="0" w:color="auto"/>
            </w:tcBorders>
          </w:tcPr>
          <w:p w14:paraId="651CC2B2" w14:textId="77777777" w:rsidR="000F7773" w:rsidRPr="00C22533" w:rsidRDefault="000F7773" w:rsidP="00DB0816">
            <w:pPr>
              <w:rPr>
                <w:rFonts w:ascii="Arial" w:eastAsiaTheme="minorEastAsia" w:cs="Arial"/>
              </w:rPr>
            </w:pPr>
            <w:r w:rsidRPr="00C22533">
              <w:rPr>
                <w:rFonts w:ascii="Arial" w:eastAsiaTheme="minorEastAsia" w:cs="Arial"/>
              </w:rPr>
              <w:t>Empresas</w:t>
            </w:r>
          </w:p>
        </w:tc>
        <w:tc>
          <w:tcPr>
            <w:tcW w:w="2811" w:type="dxa"/>
            <w:tcBorders>
              <w:left w:val="single" w:sz="4" w:space="0" w:color="auto"/>
            </w:tcBorders>
          </w:tcPr>
          <w:p w14:paraId="1B660E38" w14:textId="77777777" w:rsidR="000F7773" w:rsidRPr="00847A4D" w:rsidRDefault="000F7773" w:rsidP="00DB0816">
            <w:pPr>
              <w:rPr>
                <w:rFonts w:eastAsiaTheme="minorEastAsia" w:cs="Arial"/>
                <w:sz w:val="20"/>
                <w:szCs w:val="20"/>
              </w:rPr>
            </w:pPr>
          </w:p>
        </w:tc>
        <w:tc>
          <w:tcPr>
            <w:tcW w:w="2213" w:type="dxa"/>
          </w:tcPr>
          <w:p w14:paraId="353C2EDF" w14:textId="77777777" w:rsidR="000F7773" w:rsidRPr="00847A4D" w:rsidRDefault="000F7773" w:rsidP="00DB0816">
            <w:pPr>
              <w:rPr>
                <w:rFonts w:eastAsiaTheme="minorEastAsia" w:cs="Arial"/>
                <w:sz w:val="20"/>
                <w:szCs w:val="20"/>
              </w:rPr>
            </w:pPr>
            <m:oMathPara>
              <m:oMath>
                <m:r>
                  <w:rPr>
                    <w:rFonts w:ascii="Cambria Math" w:eastAsiaTheme="minorEastAsia" w:hAnsi="Cambria Math" w:cs="Arial"/>
                    <w:sz w:val="20"/>
                    <w:szCs w:val="20"/>
                  </w:rPr>
                  <m:t>(entwor*ER)</m:t>
                </m:r>
              </m:oMath>
            </m:oMathPara>
          </w:p>
        </w:tc>
        <w:tc>
          <w:tcPr>
            <w:tcW w:w="1723" w:type="dxa"/>
          </w:tcPr>
          <w:p w14:paraId="60DEE126" w14:textId="77777777" w:rsidR="000F7773" w:rsidRPr="00847A4D" w:rsidRDefault="000F7773" w:rsidP="00DB0816">
            <w:pPr>
              <w:rPr>
                <w:rFonts w:eastAsiaTheme="minorEastAsia" w:cs="Arial"/>
                <w:sz w:val="20"/>
                <w:szCs w:val="20"/>
              </w:rPr>
            </w:pPr>
            <m:oMathPara>
              <m:oMath>
                <m:r>
                  <w:rPr>
                    <w:rFonts w:ascii="Cambria Math" w:eastAsiaTheme="minorEastAsia" w:hAnsi="Cambria Math" w:cs="Arial"/>
                    <w:sz w:val="20"/>
                    <w:szCs w:val="20"/>
                  </w:rPr>
                  <m:t>EENT</m:t>
                </m:r>
              </m:oMath>
            </m:oMathPara>
          </w:p>
        </w:tc>
      </w:tr>
      <w:tr w:rsidR="000F7773" w14:paraId="7AA83F3C" w14:textId="77777777" w:rsidTr="00700471">
        <w:trPr>
          <w:trHeight w:val="1006"/>
        </w:trPr>
        <w:tc>
          <w:tcPr>
            <w:tcW w:w="2157" w:type="dxa"/>
            <w:tcBorders>
              <w:right w:val="single" w:sz="4" w:space="0" w:color="auto"/>
            </w:tcBorders>
          </w:tcPr>
          <w:p w14:paraId="2E68938B" w14:textId="77777777" w:rsidR="000F7773" w:rsidRPr="00C22533" w:rsidRDefault="000F7773" w:rsidP="00DB0816">
            <w:pPr>
              <w:rPr>
                <w:rFonts w:ascii="Arial" w:eastAsiaTheme="minorEastAsia" w:cs="Arial"/>
              </w:rPr>
            </w:pPr>
            <w:r w:rsidRPr="00C22533">
              <w:rPr>
                <w:rFonts w:ascii="Arial" w:eastAsiaTheme="minorEastAsia" w:cs="Arial"/>
              </w:rPr>
              <w:t>Gobierno</w:t>
            </w:r>
          </w:p>
        </w:tc>
        <w:tc>
          <w:tcPr>
            <w:tcW w:w="2811" w:type="dxa"/>
            <w:tcBorders>
              <w:left w:val="single" w:sz="4" w:space="0" w:color="auto"/>
            </w:tcBorders>
          </w:tcPr>
          <w:p w14:paraId="7CF0FC4E" w14:textId="77777777" w:rsidR="000F7773" w:rsidRPr="00847A4D" w:rsidRDefault="000F7773" w:rsidP="00DB0816">
            <w:pPr>
              <w:rPr>
                <w:rFonts w:eastAsiaTheme="minorEastAsia" w:cs="Arial"/>
                <w:sz w:val="20"/>
                <w:szCs w:val="20"/>
              </w:rPr>
            </w:pPr>
          </w:p>
          <w:p w14:paraId="440C411C" w14:textId="77777777" w:rsidR="000F7773" w:rsidRPr="00847A4D" w:rsidRDefault="000F7773" w:rsidP="00DB0816">
            <w:pPr>
              <w:rPr>
                <w:rFonts w:eastAsiaTheme="minorEastAsia" w:cs="Arial"/>
                <w:sz w:val="20"/>
                <w:szCs w:val="20"/>
              </w:rPr>
            </w:pPr>
          </w:p>
          <w:p w14:paraId="252AA3EB" w14:textId="77777777" w:rsidR="000F7773" w:rsidRPr="00847A4D" w:rsidRDefault="000F7773" w:rsidP="00DB0816">
            <w:pPr>
              <w:rPr>
                <w:rFonts w:eastAsiaTheme="minorEastAsia" w:cs="Arial"/>
                <w:sz w:val="20"/>
                <w:szCs w:val="20"/>
              </w:rPr>
            </w:pPr>
          </w:p>
          <w:p w14:paraId="6FDF328E" w14:textId="77777777" w:rsidR="000F7773" w:rsidRPr="00847A4D" w:rsidRDefault="000F7773" w:rsidP="00DB0816">
            <w:pPr>
              <w:rPr>
                <w:rFonts w:eastAsiaTheme="minorEastAsia" w:cs="Arial"/>
                <w:sz w:val="20"/>
                <w:szCs w:val="20"/>
              </w:rPr>
            </w:pPr>
          </w:p>
          <w:p w14:paraId="60A356AA" w14:textId="77777777" w:rsidR="000F7773" w:rsidRPr="00847A4D" w:rsidRDefault="000F7773" w:rsidP="00DB0816">
            <w:pPr>
              <w:rPr>
                <w:rFonts w:eastAsiaTheme="minorEastAsia" w:cs="Arial"/>
                <w:sz w:val="20"/>
                <w:szCs w:val="20"/>
              </w:rPr>
            </w:pPr>
          </w:p>
        </w:tc>
        <w:tc>
          <w:tcPr>
            <w:tcW w:w="2213" w:type="dxa"/>
          </w:tcPr>
          <w:p w14:paraId="754092F1" w14:textId="77777777" w:rsidR="000F7773" w:rsidRPr="00847A4D" w:rsidRDefault="000F7773" w:rsidP="00DB0816">
            <w:pPr>
              <w:rPr>
                <w:rFonts w:eastAsiaTheme="minorEastAsia" w:cs="Arial"/>
                <w:sz w:val="20"/>
                <w:szCs w:val="20"/>
              </w:rPr>
            </w:pPr>
            <m:oMathPara>
              <m:oMath>
                <m:r>
                  <w:rPr>
                    <w:rFonts w:ascii="Cambria Math" w:eastAsiaTheme="minorEastAsia" w:hAnsi="Cambria Math" w:cs="Arial"/>
                    <w:sz w:val="20"/>
                    <w:szCs w:val="20"/>
                  </w:rPr>
                  <m:t>(govwor*ER)</m:t>
                </m:r>
              </m:oMath>
            </m:oMathPara>
          </w:p>
          <w:p w14:paraId="495229ED" w14:textId="77777777" w:rsidR="000F7773" w:rsidRPr="00847A4D" w:rsidRDefault="000F7773" w:rsidP="00DB0816">
            <w:pPr>
              <w:rPr>
                <w:rFonts w:eastAsiaTheme="minorEastAsia" w:cs="Arial"/>
                <w:sz w:val="20"/>
                <w:szCs w:val="20"/>
              </w:rPr>
            </w:pPr>
          </w:p>
        </w:tc>
        <w:tc>
          <w:tcPr>
            <w:tcW w:w="1723" w:type="dxa"/>
          </w:tcPr>
          <w:p w14:paraId="701F4508" w14:textId="77777777" w:rsidR="000F7773" w:rsidRPr="00847A4D" w:rsidRDefault="000F7773" w:rsidP="00DB0816">
            <w:pPr>
              <w:rPr>
                <w:rFonts w:eastAsiaTheme="minorEastAsia" w:cs="Arial"/>
                <w:sz w:val="20"/>
                <w:szCs w:val="20"/>
              </w:rPr>
            </w:pPr>
            <m:oMathPara>
              <m:oMath>
                <m:r>
                  <w:rPr>
                    <w:rFonts w:ascii="Cambria Math" w:eastAsiaTheme="minorEastAsia" w:hAnsi="Cambria Math" w:cs="Arial"/>
                    <w:sz w:val="20"/>
                    <w:szCs w:val="20"/>
                  </w:rPr>
                  <m:t>EG</m:t>
                </m:r>
              </m:oMath>
            </m:oMathPara>
          </w:p>
        </w:tc>
      </w:tr>
      <w:tr w:rsidR="000F7773" w14:paraId="12C694F4" w14:textId="77777777" w:rsidTr="00700471">
        <w:trPr>
          <w:trHeight w:val="492"/>
        </w:trPr>
        <w:tc>
          <w:tcPr>
            <w:tcW w:w="2157" w:type="dxa"/>
            <w:tcBorders>
              <w:right w:val="single" w:sz="4" w:space="0" w:color="auto"/>
            </w:tcBorders>
          </w:tcPr>
          <w:p w14:paraId="238EE067" w14:textId="77777777" w:rsidR="000F7773" w:rsidRPr="00C22533" w:rsidRDefault="000F7773" w:rsidP="00DB0816">
            <w:pPr>
              <w:rPr>
                <w:rFonts w:ascii="Arial" w:eastAsiaTheme="minorEastAsia" w:cs="Arial"/>
              </w:rPr>
            </w:pPr>
            <w:r w:rsidRPr="00C22533">
              <w:rPr>
                <w:rFonts w:ascii="Arial" w:eastAsiaTheme="minorEastAsia" w:cs="Arial"/>
              </w:rPr>
              <w:t>Capital</w:t>
            </w:r>
          </w:p>
        </w:tc>
        <w:tc>
          <w:tcPr>
            <w:tcW w:w="2811" w:type="dxa"/>
            <w:tcBorders>
              <w:left w:val="single" w:sz="4" w:space="0" w:color="auto"/>
            </w:tcBorders>
          </w:tcPr>
          <w:p w14:paraId="3B438FC8" w14:textId="77777777" w:rsidR="000F7773" w:rsidRPr="00847A4D" w:rsidRDefault="000F7773" w:rsidP="00DB0816">
            <w:pPr>
              <w:rPr>
                <w:rFonts w:eastAsiaTheme="minorEastAsia" w:cs="Arial"/>
                <w:sz w:val="20"/>
                <w:szCs w:val="20"/>
              </w:rPr>
            </w:pPr>
          </w:p>
        </w:tc>
        <w:tc>
          <w:tcPr>
            <w:tcW w:w="2213" w:type="dxa"/>
          </w:tcPr>
          <w:p w14:paraId="29EFC69F" w14:textId="77777777" w:rsidR="000F7773" w:rsidRPr="00847A4D" w:rsidRDefault="000F7773" w:rsidP="00DB0816">
            <w:pPr>
              <w:rPr>
                <w:rFonts w:eastAsiaTheme="minorEastAsia" w:cs="Arial"/>
                <w:sz w:val="20"/>
                <w:szCs w:val="20"/>
              </w:rPr>
            </w:pPr>
            <m:oMathPara>
              <m:oMath>
                <m:r>
                  <w:rPr>
                    <w:rFonts w:ascii="Cambria Math" w:eastAsiaTheme="minorEastAsia" w:hAnsi="Cambria Math" w:cs="Arial"/>
                    <w:sz w:val="20"/>
                    <w:szCs w:val="20"/>
                  </w:rPr>
                  <m:t>(CAPWOR*EG)</m:t>
                </m:r>
              </m:oMath>
            </m:oMathPara>
          </w:p>
        </w:tc>
        <w:tc>
          <w:tcPr>
            <w:tcW w:w="1723" w:type="dxa"/>
          </w:tcPr>
          <w:p w14:paraId="6EA388DE" w14:textId="77777777" w:rsidR="000F7773" w:rsidRPr="00847A4D" w:rsidRDefault="000F7773" w:rsidP="00DB0816">
            <w:pPr>
              <w:rPr>
                <w:rFonts w:eastAsiaTheme="minorEastAsia" w:cs="Arial"/>
                <w:sz w:val="20"/>
                <w:szCs w:val="20"/>
              </w:rPr>
            </w:pPr>
            <m:oMathPara>
              <m:oMath>
                <m:r>
                  <w:rPr>
                    <w:rFonts w:ascii="Cambria Math" w:eastAsiaTheme="minorEastAsia" w:hAnsi="Cambria Math" w:cs="Arial"/>
                    <w:sz w:val="20"/>
                    <w:szCs w:val="20"/>
                  </w:rPr>
                  <m:t>TOTSAV</m:t>
                </m:r>
              </m:oMath>
            </m:oMathPara>
          </w:p>
        </w:tc>
      </w:tr>
      <w:tr w:rsidR="000F7773" w14:paraId="44F8B3AC" w14:textId="77777777" w:rsidTr="00700471">
        <w:trPr>
          <w:trHeight w:val="997"/>
        </w:trPr>
        <w:tc>
          <w:tcPr>
            <w:tcW w:w="2157" w:type="dxa"/>
            <w:tcBorders>
              <w:right w:val="single" w:sz="4" w:space="0" w:color="auto"/>
            </w:tcBorders>
          </w:tcPr>
          <w:p w14:paraId="674D021F" w14:textId="77777777" w:rsidR="000F7773" w:rsidRPr="00C22533" w:rsidRDefault="000F7773" w:rsidP="00DB0816">
            <w:pPr>
              <w:rPr>
                <w:rFonts w:ascii="Arial" w:eastAsiaTheme="minorEastAsia" w:cs="Arial"/>
              </w:rPr>
            </w:pPr>
            <w:r w:rsidRPr="00C22533">
              <w:rPr>
                <w:rFonts w:ascii="Arial" w:eastAsiaTheme="minorEastAsia" w:cs="Arial"/>
              </w:rPr>
              <w:t>Resto del Mundo</w:t>
            </w:r>
          </w:p>
        </w:tc>
        <w:tc>
          <w:tcPr>
            <w:tcW w:w="2811" w:type="dxa"/>
            <w:tcBorders>
              <w:left w:val="single" w:sz="4" w:space="0" w:color="auto"/>
            </w:tcBorders>
          </w:tcPr>
          <w:p w14:paraId="105742EB" w14:textId="77777777" w:rsidR="000F7773" w:rsidRPr="00847A4D" w:rsidRDefault="000F7773" w:rsidP="00DB0816">
            <w:pPr>
              <w:rPr>
                <w:rFonts w:eastAsiaTheme="minorEastAsia" w:cs="Arial"/>
                <w:sz w:val="20"/>
                <w:szCs w:val="20"/>
              </w:rPr>
            </w:pPr>
          </w:p>
        </w:tc>
        <w:tc>
          <w:tcPr>
            <w:tcW w:w="2213" w:type="dxa"/>
          </w:tcPr>
          <w:p w14:paraId="7EAEFB2C" w14:textId="77777777" w:rsidR="000F7773" w:rsidRPr="00847A4D" w:rsidRDefault="000F7773" w:rsidP="00DB0816">
            <w:pPr>
              <w:rPr>
                <w:rFonts w:eastAsiaTheme="minorEastAsia" w:cs="Arial"/>
                <w:sz w:val="20"/>
                <w:szCs w:val="20"/>
              </w:rPr>
            </w:pPr>
          </w:p>
        </w:tc>
        <w:tc>
          <w:tcPr>
            <w:tcW w:w="1723" w:type="dxa"/>
          </w:tcPr>
          <w:p w14:paraId="19E6C3F8" w14:textId="77777777" w:rsidR="000F7773" w:rsidRPr="00774869" w:rsidRDefault="000F7773" w:rsidP="00DB0816">
            <w:pPr>
              <w:jc w:val="center"/>
              <w:rPr>
                <w:rFonts w:ascii="Arial" w:eastAsiaTheme="minorEastAsia" w:cs="Arial"/>
              </w:rPr>
            </w:pPr>
            <w:r w:rsidRPr="00774869">
              <w:rPr>
                <w:rFonts w:ascii="Arial" w:eastAsiaTheme="minorEastAsia" w:cs="Arial"/>
              </w:rPr>
              <w:t>Gasto total</w:t>
            </w:r>
          </w:p>
        </w:tc>
      </w:tr>
      <w:tr w:rsidR="000F7773" w14:paraId="44A74C4A" w14:textId="77777777" w:rsidTr="00700471">
        <w:trPr>
          <w:trHeight w:val="492"/>
        </w:trPr>
        <w:tc>
          <w:tcPr>
            <w:tcW w:w="2157" w:type="dxa"/>
            <w:tcBorders>
              <w:bottom w:val="single" w:sz="4" w:space="0" w:color="auto"/>
              <w:right w:val="single" w:sz="4" w:space="0" w:color="auto"/>
            </w:tcBorders>
          </w:tcPr>
          <w:p w14:paraId="14119844" w14:textId="77777777" w:rsidR="000F7773" w:rsidRPr="00C22533" w:rsidRDefault="000F7773" w:rsidP="00DB0816">
            <w:pPr>
              <w:rPr>
                <w:rFonts w:ascii="Arial" w:eastAsiaTheme="minorEastAsia" w:cs="Arial"/>
              </w:rPr>
            </w:pPr>
            <w:r w:rsidRPr="00C22533">
              <w:rPr>
                <w:rFonts w:ascii="Arial" w:eastAsiaTheme="minorEastAsia" w:cs="Arial"/>
              </w:rPr>
              <w:t>Total</w:t>
            </w:r>
          </w:p>
        </w:tc>
        <w:tc>
          <w:tcPr>
            <w:tcW w:w="2811" w:type="dxa"/>
            <w:tcBorders>
              <w:left w:val="single" w:sz="4" w:space="0" w:color="auto"/>
              <w:bottom w:val="single" w:sz="4" w:space="0" w:color="auto"/>
            </w:tcBorders>
          </w:tcPr>
          <w:p w14:paraId="020B26D3" w14:textId="77777777" w:rsidR="000F7773" w:rsidRPr="00847A4D" w:rsidRDefault="000F7773" w:rsidP="00DB0816">
            <w:pPr>
              <w:rPr>
                <w:rFonts w:eastAsiaTheme="minorEastAsia" w:cs="Arial"/>
                <w:sz w:val="20"/>
                <w:szCs w:val="20"/>
              </w:rPr>
            </w:pPr>
            <m:oMathPara>
              <m:oMath>
                <m:r>
                  <w:rPr>
                    <w:rFonts w:ascii="Cambria Math" w:eastAsiaTheme="minorEastAsia" w:hAnsi="Cambria Math" w:cs="Arial"/>
                    <w:sz w:val="20"/>
                    <w:szCs w:val="20"/>
                  </w:rPr>
                  <m:t>INVEST</m:t>
                </m:r>
              </m:oMath>
            </m:oMathPara>
          </w:p>
        </w:tc>
        <w:tc>
          <w:tcPr>
            <w:tcW w:w="2213" w:type="dxa"/>
            <w:tcBorders>
              <w:bottom w:val="single" w:sz="4" w:space="0" w:color="auto"/>
            </w:tcBorders>
          </w:tcPr>
          <w:p w14:paraId="00DD1006" w14:textId="77777777" w:rsidR="000F7773" w:rsidRPr="00774869" w:rsidRDefault="000F7773" w:rsidP="00DB0816">
            <w:pPr>
              <w:jc w:val="center"/>
              <w:rPr>
                <w:rFonts w:ascii="Arial" w:eastAsiaTheme="minorEastAsia" w:cs="Arial"/>
                <w:sz w:val="20"/>
                <w:szCs w:val="20"/>
              </w:rPr>
            </w:pPr>
            <w:r w:rsidRPr="00774869">
              <w:rPr>
                <w:rFonts w:ascii="Arial" w:eastAsiaTheme="minorEastAsia" w:cs="Arial"/>
                <w:szCs w:val="20"/>
              </w:rPr>
              <w:t>Ingreso total</w:t>
            </w:r>
          </w:p>
        </w:tc>
        <w:tc>
          <w:tcPr>
            <w:tcW w:w="1723" w:type="dxa"/>
            <w:tcBorders>
              <w:bottom w:val="single" w:sz="4" w:space="0" w:color="auto"/>
            </w:tcBorders>
          </w:tcPr>
          <w:p w14:paraId="3BBC5F78" w14:textId="77777777" w:rsidR="000F7773" w:rsidRPr="00847A4D" w:rsidRDefault="000F7773" w:rsidP="00DB0816">
            <w:pPr>
              <w:rPr>
                <w:rFonts w:eastAsiaTheme="minorEastAsia" w:cs="Arial"/>
                <w:sz w:val="20"/>
                <w:szCs w:val="20"/>
              </w:rPr>
            </w:pPr>
          </w:p>
        </w:tc>
      </w:tr>
    </w:tbl>
    <w:p w14:paraId="6126877A" w14:textId="0C858358" w:rsidR="000F7773" w:rsidRPr="00942031" w:rsidRDefault="000F7773" w:rsidP="000F7773">
      <w:pPr>
        <w:rPr>
          <w:rFonts w:cs="Arial"/>
          <w:sz w:val="18"/>
        </w:rPr>
      </w:pPr>
      <w:r w:rsidRPr="00116456">
        <w:rPr>
          <w:rFonts w:eastAsiaTheme="minorEastAsia" w:cs="Arial"/>
          <w:sz w:val="18"/>
        </w:rPr>
        <w:t xml:space="preserve">Fuente: </w:t>
      </w:r>
      <w:r w:rsidRPr="00116456">
        <w:rPr>
          <w:rFonts w:cs="Arial"/>
          <w:sz w:val="18"/>
        </w:rPr>
        <w:fldChar w:fldCharType="begin" w:fldLock="1"/>
      </w:r>
      <w:r w:rsidR="00475856">
        <w:rPr>
          <w:rFonts w:cs="Arial"/>
          <w:sz w:val="18"/>
        </w:rPr>
        <w:instrText>ADDIN CSL_CITATION {"citationItems":[{"id":"ITEM-1","itemData":{"author":[{"dropping-particle":"","family":"McDonald","given":"Scott","non-dropping-particle":"","parse-names":false,"suffix":""},{"dropping-particle":"","family":"Thierfelder","given":"Karen","non-dropping-particle":"","parse-names":false,"suffix":""}],"id":"ITEM-1","issue":"January","issued":{"date-parts":[["2017"]]},"number-of-pages":"1-89","title":"A Static Applied General Equilibrium Model: Technical Documentation - STAGE_int Version","type":"report"},"uris":["http://www.mendeley.com/documents/?uuid=83316eb5-e8df-4029-aa83-a2c1fd511a0d"]}],"mendeley":{"formattedCitation":"(McDonald &amp; Thierfelder, 2017)","manualFormatting":"McDonald &amp; Thierfelder (2017)","plainTextFormattedCitation":"(McDonald &amp; Thierfelder, 2017)","previouslyFormattedCitation":"(McDonald &amp; Thierfelder, 2017)"},"properties":{"noteIndex":0},"schema":"https://github.com/citation-style-language/schema/raw/master/csl-citation.json"}</w:instrText>
      </w:r>
      <w:r w:rsidRPr="00116456">
        <w:rPr>
          <w:rFonts w:cs="Arial"/>
          <w:sz w:val="18"/>
        </w:rPr>
        <w:fldChar w:fldCharType="separate"/>
      </w:r>
      <w:r w:rsidRPr="00116456">
        <w:rPr>
          <w:rFonts w:cs="Arial"/>
          <w:noProof/>
          <w:sz w:val="18"/>
        </w:rPr>
        <w:t>McDonald &amp; Thierfelder (2017)</w:t>
      </w:r>
      <w:r w:rsidRPr="00116456">
        <w:rPr>
          <w:rFonts w:cs="Arial"/>
          <w:sz w:val="18"/>
        </w:rPr>
        <w:fldChar w:fldCharType="end"/>
      </w:r>
      <w:r w:rsidRPr="00116456">
        <w:rPr>
          <w:rFonts w:cs="Arial"/>
          <w:sz w:val="18"/>
        </w:rPr>
        <w:t>.</w:t>
      </w:r>
    </w:p>
    <w:p w14:paraId="1E282FEF" w14:textId="77777777" w:rsidR="000F7773" w:rsidRDefault="000F7773" w:rsidP="00700471">
      <w:pPr>
        <w:spacing w:line="240" w:lineRule="auto"/>
        <w:rPr>
          <w:rFonts w:eastAsiaTheme="minorEastAsia" w:cs="Arial"/>
        </w:rPr>
      </w:pPr>
      <w:r>
        <w:rPr>
          <w:rFonts w:eastAsiaTheme="minorEastAsia" w:cs="Arial"/>
        </w:rPr>
        <w:t xml:space="preserve">La producción local recibe un precio promedio, </w:t>
      </w:r>
      <m:oMath>
        <m:sSub>
          <m:sSubPr>
            <m:ctrlPr>
              <w:rPr>
                <w:rFonts w:ascii="Cambria Math" w:eastAsiaTheme="minorEastAsia" w:hAnsi="Cambria Math" w:cs="Arial"/>
                <w:i/>
              </w:rPr>
            </m:ctrlPr>
          </m:sSubPr>
          <m:e>
            <m:r>
              <w:rPr>
                <w:rFonts w:ascii="Cambria Math" w:eastAsiaTheme="minorEastAsia" w:hAnsi="Cambria Math" w:cs="Arial"/>
              </w:rPr>
              <m:t>PX</m:t>
            </m:r>
          </m:e>
          <m:sub>
            <m:r>
              <w:rPr>
                <w:rFonts w:ascii="Cambria Math" w:eastAsiaTheme="minorEastAsia" w:hAnsi="Cambria Math" w:cs="Arial"/>
              </w:rPr>
              <m:t>a</m:t>
            </m:r>
          </m:sub>
        </m:sSub>
      </m:oMath>
      <w:r>
        <w:rPr>
          <w:rFonts w:eastAsiaTheme="minorEastAsia" w:cs="Arial"/>
        </w:rPr>
        <w:t xml:space="preserve">, que es determinado por la composición de los bienes de su producción. Las actividades producen múltiples bienes, estos son representados como, </w:t>
      </w:r>
      <m:oMath>
        <m:sSub>
          <m:sSubPr>
            <m:ctrlPr>
              <w:rPr>
                <w:rFonts w:ascii="Cambria Math" w:eastAsiaTheme="minorEastAsia" w:hAnsi="Cambria Math" w:cs="Arial"/>
                <w:i/>
              </w:rPr>
            </m:ctrlPr>
          </m:sSubPr>
          <m:e>
            <m:r>
              <w:rPr>
                <w:rFonts w:ascii="Cambria Math" w:eastAsiaTheme="minorEastAsia" w:hAnsi="Cambria Math" w:cs="Arial"/>
              </w:rPr>
              <m:t>QX</m:t>
            </m:r>
          </m:e>
          <m:sub>
            <m:r>
              <w:rPr>
                <w:rFonts w:ascii="Cambria Math" w:eastAsiaTheme="minorEastAsia" w:hAnsi="Cambria Math" w:cs="Arial"/>
              </w:rPr>
              <m:t>a</m:t>
            </m:r>
          </m:sub>
        </m:sSub>
      </m:oMath>
      <w:r>
        <w:rPr>
          <w:rFonts w:eastAsiaTheme="minorEastAsia" w:cs="Arial"/>
        </w:rPr>
        <w:t xml:space="preserve">, formados por la composición de los bienes. Adicionalmente a los bienes intermedios, las actividades pueden comprar insumos, </w:t>
      </w:r>
      <m:oMath>
        <m:sSub>
          <m:sSubPr>
            <m:ctrlPr>
              <w:rPr>
                <w:rFonts w:ascii="Cambria Math" w:eastAsiaTheme="minorEastAsia" w:hAnsi="Cambria Math" w:cs="Arial"/>
                <w:i/>
              </w:rPr>
            </m:ctrlPr>
          </m:sSubPr>
          <m:e>
            <m:r>
              <w:rPr>
                <w:rFonts w:ascii="Cambria Math" w:eastAsiaTheme="minorEastAsia" w:hAnsi="Cambria Math" w:cs="Arial"/>
              </w:rPr>
              <m:t>FD</m:t>
            </m:r>
          </m:e>
          <m:sub>
            <m:r>
              <w:rPr>
                <w:rFonts w:ascii="Cambria Math" w:eastAsiaTheme="minorEastAsia" w:hAnsi="Cambria Math" w:cs="Arial"/>
              </w:rPr>
              <m:t>f,a</m:t>
            </m:r>
          </m:sub>
        </m:sSub>
      </m:oMath>
      <w:r>
        <w:rPr>
          <w:rFonts w:eastAsiaTheme="minorEastAsia" w:cs="Arial"/>
        </w:rPr>
        <w:t xml:space="preserve">, por los cuales pagan el precio intermedio, </w:t>
      </w:r>
      <m:oMath>
        <m:sSub>
          <m:sSubPr>
            <m:ctrlPr>
              <w:rPr>
                <w:rFonts w:ascii="Cambria Math" w:eastAsiaTheme="minorEastAsia" w:hAnsi="Cambria Math" w:cs="Arial"/>
                <w:i/>
              </w:rPr>
            </m:ctrlPr>
          </m:sSubPr>
          <m:e>
            <m:r>
              <w:rPr>
                <w:rFonts w:ascii="Cambria Math" w:eastAsiaTheme="minorEastAsia" w:hAnsi="Cambria Math" w:cs="Arial"/>
              </w:rPr>
              <m:t>WF</m:t>
            </m:r>
          </m:e>
          <m:sub>
            <m:r>
              <w:rPr>
                <w:rFonts w:ascii="Cambria Math" w:eastAsiaTheme="minorEastAsia" w:hAnsi="Cambria Math" w:cs="Arial"/>
              </w:rPr>
              <m:t>f</m:t>
            </m:r>
          </m:sub>
        </m:sSub>
      </m:oMath>
      <w:r>
        <w:rPr>
          <w:rFonts w:eastAsiaTheme="minorEastAsia" w:cs="Arial"/>
        </w:rPr>
        <w:t xml:space="preserve">. El precio de los factores se ve reducido por el impuesto a los factores, </w:t>
      </w:r>
      <m:oMath>
        <m:sSub>
          <m:sSubPr>
            <m:ctrlPr>
              <w:rPr>
                <w:rFonts w:ascii="Cambria Math" w:eastAsiaTheme="minorEastAsia" w:hAnsi="Cambria Math" w:cs="Arial"/>
                <w:i/>
              </w:rPr>
            </m:ctrlPr>
          </m:sSubPr>
          <m:e>
            <m:r>
              <w:rPr>
                <w:rFonts w:ascii="Cambria Math" w:eastAsiaTheme="minorEastAsia" w:hAnsi="Cambria Math" w:cs="Arial"/>
              </w:rPr>
              <m:t>TF</m:t>
            </m:r>
          </m:e>
          <m:sub>
            <m:r>
              <w:rPr>
                <w:rFonts w:ascii="Cambria Math" w:eastAsiaTheme="minorEastAsia" w:hAnsi="Cambria Math" w:cs="Arial"/>
              </w:rPr>
              <m:t>f,a</m:t>
            </m:r>
          </m:sub>
        </m:sSub>
      </m:oMath>
      <w:r>
        <w:rPr>
          <w:rFonts w:eastAsiaTheme="minorEastAsia" w:cs="Arial"/>
        </w:rPr>
        <w:t xml:space="preserve">, además, cada actividad paga el impuesto a las actividades, </w:t>
      </w:r>
      <m:oMath>
        <m:sSub>
          <m:sSubPr>
            <m:ctrlPr>
              <w:rPr>
                <w:rFonts w:ascii="Cambria Math" w:eastAsiaTheme="minorEastAsia" w:hAnsi="Cambria Math" w:cs="Arial"/>
                <w:i/>
              </w:rPr>
            </m:ctrlPr>
          </m:sSubPr>
          <m:e>
            <m:r>
              <w:rPr>
                <w:rFonts w:ascii="Cambria Math" w:eastAsiaTheme="minorEastAsia" w:hAnsi="Cambria Math" w:cs="Arial"/>
              </w:rPr>
              <m:t>TX</m:t>
            </m:r>
          </m:e>
          <m:sub>
            <m:r>
              <w:rPr>
                <w:rFonts w:ascii="Cambria Math" w:eastAsiaTheme="minorEastAsia" w:hAnsi="Cambria Math" w:cs="Arial"/>
              </w:rPr>
              <m:t>a</m:t>
            </m:r>
          </m:sub>
        </m:sSub>
      </m:oMath>
      <w:r>
        <w:rPr>
          <w:rFonts w:eastAsiaTheme="minorEastAsia" w:cs="Arial"/>
        </w:rPr>
        <w:t>.</w:t>
      </w:r>
    </w:p>
    <w:p w14:paraId="06C3AAC9" w14:textId="77777777" w:rsidR="000F7773" w:rsidRDefault="000F7773" w:rsidP="00700471">
      <w:pPr>
        <w:spacing w:line="240" w:lineRule="auto"/>
        <w:rPr>
          <w:rFonts w:eastAsiaTheme="minorEastAsia" w:cs="Arial"/>
        </w:rPr>
      </w:pPr>
      <w:r>
        <w:rPr>
          <w:rFonts w:eastAsiaTheme="minorEastAsia" w:cs="Arial"/>
        </w:rPr>
        <w:t xml:space="preserve">El modelo permite el uso de producción de propiedad nacional y extranjera, por lo tanto, los ingresos por factores se agregan por el pago realizado por actividades locales y extranjeras, siendo este último determinado exógenamente y denominadas en moneda extranjeras. Después de contar la depreciación, </w:t>
      </w:r>
      <m:oMath>
        <m:r>
          <w:rPr>
            <w:rFonts w:ascii="Cambria Math" w:eastAsiaTheme="minorEastAsia" w:hAnsi="Cambria Math" w:cs="Arial"/>
          </w:rPr>
          <m:t>deprecf</m:t>
        </m:r>
      </m:oMath>
      <w:r>
        <w:rPr>
          <w:rFonts w:eastAsiaTheme="minorEastAsia" w:cs="Arial"/>
        </w:rPr>
        <w:t xml:space="preserve">, y el pago de impuestos a los ingresos de los factores </w:t>
      </w:r>
      <m:oMath>
        <m:sSub>
          <m:sSubPr>
            <m:ctrlPr>
              <w:rPr>
                <w:rFonts w:ascii="Cambria Math" w:eastAsiaTheme="minorEastAsia" w:hAnsi="Cambria Math" w:cs="Arial"/>
                <w:i/>
              </w:rPr>
            </m:ctrlPr>
          </m:sSubPr>
          <m:e>
            <m:r>
              <w:rPr>
                <w:rFonts w:ascii="Cambria Math" w:eastAsiaTheme="minorEastAsia" w:hAnsi="Cambria Math" w:cs="Arial"/>
              </w:rPr>
              <m:t>TYF</m:t>
            </m:r>
          </m:e>
          <m:sub>
            <m:r>
              <w:rPr>
                <w:rFonts w:ascii="Cambria Math" w:eastAsiaTheme="minorEastAsia" w:hAnsi="Cambria Math" w:cs="Arial"/>
              </w:rPr>
              <m:t>f</m:t>
            </m:r>
          </m:sub>
        </m:sSub>
      </m:oMath>
      <w:r>
        <w:rPr>
          <w:rFonts w:eastAsiaTheme="minorEastAsia" w:cs="Arial"/>
        </w:rPr>
        <w:t xml:space="preserve">, los ingresos residuales, </w:t>
      </w:r>
      <m:oMath>
        <m:sSub>
          <m:sSubPr>
            <m:ctrlPr>
              <w:rPr>
                <w:rFonts w:ascii="Cambria Math" w:eastAsiaTheme="minorEastAsia" w:hAnsi="Cambria Math" w:cs="Arial"/>
                <w:i/>
              </w:rPr>
            </m:ctrlPr>
          </m:sSubPr>
          <m:e>
            <m:r>
              <w:rPr>
                <w:rFonts w:ascii="Cambria Math" w:eastAsiaTheme="minorEastAsia" w:hAnsi="Cambria Math" w:cs="Arial"/>
              </w:rPr>
              <m:t>YFDIST</m:t>
            </m:r>
          </m:e>
          <m:sub>
            <m:r>
              <w:rPr>
                <w:rFonts w:ascii="Cambria Math" w:eastAsiaTheme="minorEastAsia" w:hAnsi="Cambria Math" w:cs="Arial"/>
              </w:rPr>
              <m:t>f</m:t>
            </m:r>
          </m:sub>
        </m:sSub>
      </m:oMath>
      <w:r>
        <w:rPr>
          <w:rFonts w:eastAsiaTheme="minorEastAsia" w:cs="Arial"/>
        </w:rPr>
        <w:t xml:space="preserve">, se divide entre las instituciones locales (Hogares, empresas y gobierno) y el resto del mundo en proporciones fijas. </w:t>
      </w:r>
      <w:r>
        <w:rPr>
          <w:rFonts w:cs="Arial"/>
        </w:rPr>
        <w:fldChar w:fldCharType="begin" w:fldLock="1"/>
      </w:r>
      <w:r>
        <w:rPr>
          <w:rFonts w:cs="Arial"/>
        </w:rPr>
        <w:instrText>ADDIN CSL_CITATION {"citationItems":[{"id":"ITEM-1","itemData":{"author":[{"dropping-particle":"","family":"McDonald","given":"Scott","non-dropping-particle":"","parse-names":false,"suffix":""},{"dropping-particle":"","family":"Thierfelder","given":"Karen","non-dropping-particle":"","parse-names":false,"suffix":""}],"id":"ITEM-1","issue":"January","issued":{"date-parts":[["2017"]]},"number-of-pages":"1-89","title":"A Static Applied General Equilibrium Model: Technical Documentation - STAGE_int Version","type":"report"},"uris":["http://www.mendeley.com/documents/?uuid=83316eb5-e8df-4029-aa83-a2c1fd511a0d"]}],"mendeley":{"formattedCitation":"(McDonald &amp; Thierfelder, 2017)","plainTextFormattedCitation":"(McDonald &amp; Thierfelder, 2017)","previouslyFormattedCitation":"(McDonald &amp; Thierfelder, 2017)"},"properties":{"noteIndex":0},"schema":"https://github.com/citation-style-language/schema/raw/master/csl-citation.json"}</w:instrText>
      </w:r>
      <w:r>
        <w:rPr>
          <w:rFonts w:cs="Arial"/>
        </w:rPr>
        <w:fldChar w:fldCharType="separate"/>
      </w:r>
      <w:r w:rsidRPr="005269EE">
        <w:rPr>
          <w:rFonts w:cs="Arial"/>
          <w:noProof/>
        </w:rPr>
        <w:t>(McDonald &amp; Thierfelder, 2017)</w:t>
      </w:r>
      <w:r>
        <w:rPr>
          <w:rFonts w:cs="Arial"/>
        </w:rPr>
        <w:fldChar w:fldCharType="end"/>
      </w:r>
      <w:r>
        <w:rPr>
          <w:rFonts w:cs="Arial"/>
        </w:rPr>
        <w:t>.</w:t>
      </w:r>
      <w:r w:rsidRPr="008D7E5E">
        <w:rPr>
          <w:rFonts w:cs="Arial"/>
        </w:rPr>
        <w:t xml:space="preserve">  </w:t>
      </w:r>
    </w:p>
    <w:p w14:paraId="1B7B9506" w14:textId="77777777" w:rsidR="000F7773" w:rsidRDefault="000F7773" w:rsidP="00700471">
      <w:pPr>
        <w:spacing w:line="240" w:lineRule="auto"/>
        <w:rPr>
          <w:rFonts w:eastAsiaTheme="minorEastAsia" w:cs="Arial"/>
        </w:rPr>
      </w:pPr>
      <w:r>
        <w:rPr>
          <w:rFonts w:eastAsiaTheme="minorEastAsia" w:cs="Arial"/>
        </w:rPr>
        <w:t>Los hogares son el bloque más importante para este proyecto de tesis, debido a que el enfoque de esta es la incidencia. Reciben su ingreso por su trabajo y por transferencias de las distintas instituciones. Además, se les descuenta el pago de impuesto y una tasa de ahorro. Sus gastos se dan en el consumo de bienes y servicios, que a su vez se multiplican por los precios.</w:t>
      </w:r>
    </w:p>
    <w:p w14:paraId="6F10BCE7" w14:textId="21829D23" w:rsidR="000F7773" w:rsidRDefault="000F7773" w:rsidP="00700471">
      <w:pPr>
        <w:spacing w:line="240" w:lineRule="auto"/>
        <w:rPr>
          <w:rFonts w:eastAsiaTheme="minorEastAsia" w:cs="Arial"/>
        </w:rPr>
      </w:pPr>
      <w:r>
        <w:rPr>
          <w:rFonts w:eastAsiaTheme="minorEastAsia" w:cs="Arial"/>
        </w:rPr>
        <w:t xml:space="preserve">Las empresas por otro lado reciben el ingreso </w:t>
      </w:r>
      <w:r w:rsidR="0012650D">
        <w:rPr>
          <w:rFonts w:eastAsiaTheme="minorEastAsia" w:cs="Arial"/>
        </w:rPr>
        <w:t>mediante el uso d</w:t>
      </w:r>
      <w:r>
        <w:rPr>
          <w:rFonts w:eastAsiaTheme="minorEastAsia" w:cs="Arial"/>
        </w:rPr>
        <w:t xml:space="preserve">e los factores, asimismo reciben transferencias de instituciones. El gasto se descompone en compra de bienes intermedios, pago de impuestos y ahorro. El gobierno por su parte recibe ingresos de los diversos instrumentos de impuestos y realiza transferencias a las </w:t>
      </w:r>
      <w:r>
        <w:rPr>
          <w:rFonts w:eastAsiaTheme="minorEastAsia" w:cs="Arial"/>
        </w:rPr>
        <w:lastRenderedPageBreak/>
        <w:t>demás instituciones, sin embargo, es importante aclarar que el racionamiento del gobierno no sigue una función de comportamiento, sino una forma contable.</w:t>
      </w:r>
    </w:p>
    <w:p w14:paraId="79E5F07A" w14:textId="6C625358" w:rsidR="0080385C" w:rsidRDefault="000F7773" w:rsidP="00297657">
      <w:pPr>
        <w:spacing w:line="240" w:lineRule="auto"/>
        <w:rPr>
          <w:rFonts w:eastAsiaTheme="minorEastAsia" w:cs="Arial"/>
        </w:rPr>
      </w:pPr>
      <w:r>
        <w:rPr>
          <w:rFonts w:eastAsiaTheme="minorEastAsia" w:cs="Arial"/>
        </w:rPr>
        <w:t>La inversión representa un componente importante en el funcionamiento de la economía, la estimación de estos valores se desprende la MCS, y las tasas de interés pueden ser modificadas. El ahorro total es definido como la suma de ahorro de las instituciones de la economía. Del resto del se reciben bienes y factores, además de esta misma cuenta se exportan bienes y factores.</w:t>
      </w:r>
    </w:p>
    <w:p w14:paraId="5B5D8B80" w14:textId="0E2A0A59" w:rsidR="000F7773" w:rsidRPr="00FE234E" w:rsidRDefault="000F7773" w:rsidP="00E859F1">
      <w:pPr>
        <w:spacing w:line="240" w:lineRule="auto"/>
        <w:rPr>
          <w:rFonts w:eastAsiaTheme="minorEastAsia" w:cs="Arial"/>
        </w:rPr>
      </w:pPr>
      <w:r>
        <w:rPr>
          <w:rFonts w:eastAsiaTheme="minorEastAsia" w:cs="Arial"/>
        </w:rPr>
        <w:t>Para el caso de las relaciones de la producción de bienes y servicios se muestran las</w:t>
      </w:r>
      <w:r w:rsidR="00EF3A97">
        <w:rPr>
          <w:rFonts w:eastAsiaTheme="minorEastAsia" w:cs="Arial"/>
        </w:rPr>
        <w:t xml:space="preserve"> figuras</w:t>
      </w:r>
      <w:r w:rsidR="00D10A76">
        <w:rPr>
          <w:rFonts w:eastAsiaTheme="minorEastAsia" w:cs="Arial"/>
        </w:rPr>
        <w:t xml:space="preserve"> </w:t>
      </w:r>
      <w:r w:rsidR="00FE234E">
        <w:rPr>
          <w:rFonts w:eastAsiaTheme="minorEastAsia" w:cs="Arial"/>
        </w:rPr>
        <w:fldChar w:fldCharType="begin"/>
      </w:r>
      <w:r w:rsidR="00FE234E">
        <w:rPr>
          <w:rFonts w:eastAsiaTheme="minorEastAsia" w:cs="Arial"/>
        </w:rPr>
        <w:instrText xml:space="preserve"> REF _Ref527300164 </w:instrText>
      </w:r>
      <w:r w:rsidR="009903EA" w:rsidRPr="009903EA">
        <w:rPr>
          <w:rFonts w:eastAsiaTheme="minorEastAsia" w:cs="Arial"/>
        </w:rPr>
        <w:instrText>\</w:instrText>
      </w:r>
      <w:r w:rsidR="009903EA">
        <w:rPr>
          <w:rFonts w:eastAsiaTheme="minorEastAsia" w:cs="Arial"/>
        </w:rPr>
        <w:instrText># 0</w:instrText>
      </w:r>
      <w:r w:rsidR="009903EA" w:rsidRPr="009903EA">
        <w:rPr>
          <w:rFonts w:eastAsiaTheme="minorEastAsia" w:cs="Arial"/>
        </w:rPr>
        <w:instrText xml:space="preserve"> </w:instrText>
      </w:r>
      <w:r w:rsidR="00FE234E">
        <w:rPr>
          <w:rFonts w:eastAsiaTheme="minorEastAsia" w:cs="Arial"/>
        </w:rPr>
        <w:instrText xml:space="preserve">\h </w:instrText>
      </w:r>
      <w:r w:rsidR="00FE234E">
        <w:rPr>
          <w:rFonts w:eastAsiaTheme="minorEastAsia" w:cs="Arial"/>
        </w:rPr>
      </w:r>
      <w:r w:rsidR="00FE234E">
        <w:rPr>
          <w:rFonts w:eastAsiaTheme="minorEastAsia" w:cs="Arial"/>
        </w:rPr>
        <w:fldChar w:fldCharType="separate"/>
      </w:r>
      <w:r w:rsidR="00A95E32">
        <w:rPr>
          <w:rFonts w:eastAsiaTheme="minorEastAsia" w:cs="Arial"/>
        </w:rPr>
        <w:t>6</w:t>
      </w:r>
      <w:r w:rsidR="00FE234E">
        <w:rPr>
          <w:rFonts w:eastAsiaTheme="minorEastAsia" w:cs="Arial"/>
        </w:rPr>
        <w:fldChar w:fldCharType="end"/>
      </w:r>
      <w:r w:rsidR="00A764A7">
        <w:rPr>
          <w:rFonts w:eastAsiaTheme="minorEastAsia" w:cs="Arial"/>
        </w:rPr>
        <w:t xml:space="preserve"> </w:t>
      </w:r>
      <w:r w:rsidR="00D10A76">
        <w:rPr>
          <w:rFonts w:eastAsiaTheme="minorEastAsia" w:cs="Arial"/>
        </w:rPr>
        <w:t>y</w:t>
      </w:r>
      <w:r w:rsidR="00A764A7">
        <w:rPr>
          <w:rFonts w:eastAsiaTheme="minorEastAsia" w:cs="Arial"/>
        </w:rPr>
        <w:t xml:space="preserve"> </w:t>
      </w:r>
      <w:r w:rsidR="00A764A7">
        <w:rPr>
          <w:rFonts w:eastAsiaTheme="minorEastAsia" w:cs="Arial"/>
        </w:rPr>
        <w:fldChar w:fldCharType="begin"/>
      </w:r>
      <w:r w:rsidR="00A764A7">
        <w:rPr>
          <w:rFonts w:eastAsiaTheme="minorEastAsia" w:cs="Arial"/>
        </w:rPr>
        <w:instrText xml:space="preserve"> REF _Ref525022713 \# 0 \h </w:instrText>
      </w:r>
      <w:r w:rsidR="00E859F1">
        <w:rPr>
          <w:rFonts w:eastAsiaTheme="minorEastAsia" w:cs="Arial"/>
        </w:rPr>
        <w:instrText xml:space="preserve"> \* MERGEFORMAT </w:instrText>
      </w:r>
      <w:r w:rsidR="00A764A7">
        <w:rPr>
          <w:rFonts w:eastAsiaTheme="minorEastAsia" w:cs="Arial"/>
        </w:rPr>
      </w:r>
      <w:r w:rsidR="00A764A7">
        <w:rPr>
          <w:rFonts w:eastAsiaTheme="minorEastAsia" w:cs="Arial"/>
        </w:rPr>
        <w:fldChar w:fldCharType="separate"/>
      </w:r>
      <w:r w:rsidR="00A95E32">
        <w:rPr>
          <w:rFonts w:eastAsiaTheme="minorEastAsia" w:cs="Arial"/>
        </w:rPr>
        <w:t>7</w:t>
      </w:r>
      <w:r w:rsidR="00A764A7">
        <w:rPr>
          <w:rFonts w:eastAsiaTheme="minorEastAsia" w:cs="Arial"/>
        </w:rPr>
        <w:fldChar w:fldCharType="end"/>
      </w:r>
      <w:r w:rsidR="00D10A76">
        <w:rPr>
          <w:rFonts w:eastAsiaTheme="minorEastAsia" w:cs="Arial"/>
        </w:rPr>
        <w:t xml:space="preserve">. </w:t>
      </w:r>
      <w:r>
        <w:rPr>
          <w:rFonts w:eastAsiaTheme="minorEastAsia" w:cs="Arial"/>
        </w:rPr>
        <w:t>La oferta de precios de la composición de bienes (</w:t>
      </w:r>
      <m:oMath>
        <m:sSub>
          <m:sSubPr>
            <m:ctrlPr>
              <w:rPr>
                <w:rFonts w:ascii="Cambria Math" w:eastAsiaTheme="minorEastAsia" w:hAnsi="Cambria Math" w:cs="Arial"/>
                <w:i/>
              </w:rPr>
            </m:ctrlPr>
          </m:sSubPr>
          <m:e>
            <m:r>
              <w:rPr>
                <w:rFonts w:ascii="Cambria Math" w:eastAsiaTheme="minorEastAsia" w:hAnsi="Cambria Math" w:cs="Arial"/>
              </w:rPr>
              <m:t>PQS</m:t>
            </m:r>
          </m:e>
          <m:sub>
            <m:r>
              <w:rPr>
                <w:rFonts w:ascii="Cambria Math" w:eastAsiaTheme="minorEastAsia" w:hAnsi="Cambria Math" w:cs="Arial"/>
              </w:rPr>
              <m:t>c</m:t>
            </m:r>
          </m:sub>
        </m:sSub>
        <m:r>
          <w:rPr>
            <w:rFonts w:ascii="Cambria Math" w:eastAsiaTheme="minorEastAsia" w:hAnsi="Cambria Math" w:cs="Arial"/>
          </w:rPr>
          <m:t>)</m:t>
        </m:r>
      </m:oMath>
      <w:r>
        <w:rPr>
          <w:rFonts w:eastAsiaTheme="minorEastAsia" w:cs="Arial"/>
        </w:rPr>
        <w:t xml:space="preserve"> es definido como el promedio ponderado de los productos locales que son consumidos localmente (</w:t>
      </w:r>
      <m:oMath>
        <m:sSub>
          <m:sSubPr>
            <m:ctrlPr>
              <w:rPr>
                <w:rFonts w:ascii="Cambria Math" w:eastAsiaTheme="minorEastAsia" w:hAnsi="Cambria Math" w:cs="Arial"/>
                <w:i/>
              </w:rPr>
            </m:ctrlPr>
          </m:sSubPr>
          <m:e>
            <m:r>
              <w:rPr>
                <w:rFonts w:ascii="Cambria Math" w:eastAsiaTheme="minorEastAsia" w:hAnsi="Cambria Math" w:cs="Arial"/>
              </w:rPr>
              <m:t>PD</m:t>
            </m:r>
          </m:e>
          <m:sub>
            <m:r>
              <w:rPr>
                <w:rFonts w:ascii="Cambria Math" w:eastAsiaTheme="minorEastAsia" w:hAnsi="Cambria Math" w:cs="Arial"/>
              </w:rPr>
              <m:t>c</m:t>
            </m:r>
          </m:sub>
        </m:sSub>
        <m:r>
          <w:rPr>
            <w:rFonts w:ascii="Cambria Math" w:eastAsiaTheme="minorEastAsia" w:hAnsi="Cambria Math" w:cs="Arial"/>
          </w:rPr>
          <m:t>)</m:t>
        </m:r>
      </m:oMath>
      <w:r>
        <w:rPr>
          <w:rFonts w:eastAsiaTheme="minorEastAsia" w:cs="Arial"/>
        </w:rPr>
        <w:t xml:space="preserve"> y los precios locales de los bienes importados (</w:t>
      </w:r>
      <m:oMath>
        <m:sSub>
          <m:sSubPr>
            <m:ctrlPr>
              <w:rPr>
                <w:rFonts w:ascii="Cambria Math" w:eastAsiaTheme="minorEastAsia" w:hAnsi="Cambria Math" w:cs="Arial"/>
                <w:i/>
              </w:rPr>
            </m:ctrlPr>
          </m:sSubPr>
          <m:e>
            <m:r>
              <w:rPr>
                <w:rFonts w:ascii="Cambria Math" w:eastAsiaTheme="minorEastAsia" w:hAnsi="Cambria Math" w:cs="Arial"/>
              </w:rPr>
              <m:t>PM</m:t>
            </m:r>
          </m:e>
          <m:sub>
            <m:r>
              <w:rPr>
                <w:rFonts w:ascii="Cambria Math" w:eastAsiaTheme="minorEastAsia" w:hAnsi="Cambria Math" w:cs="Arial"/>
              </w:rPr>
              <m:t>c</m:t>
            </m:r>
          </m:sub>
        </m:sSub>
        <m:r>
          <w:rPr>
            <w:rFonts w:ascii="Cambria Math" w:eastAsiaTheme="minorEastAsia" w:hAnsi="Cambria Math" w:cs="Arial"/>
          </w:rPr>
          <m:t>)</m:t>
        </m:r>
      </m:oMath>
      <w:r>
        <w:rPr>
          <w:rFonts w:eastAsiaTheme="minorEastAsia" w:cs="Arial"/>
        </w:rPr>
        <w:t xml:space="preserve">, los cuales son definidos con los precios de los productos del resto del mundo, </w:t>
      </w:r>
      <m:oMath>
        <m:sSub>
          <m:sSubPr>
            <m:ctrlPr>
              <w:rPr>
                <w:rFonts w:ascii="Cambria Math" w:eastAsiaTheme="minorEastAsia" w:hAnsi="Cambria Math" w:cs="Arial"/>
                <w:i/>
              </w:rPr>
            </m:ctrlPr>
          </m:sSubPr>
          <m:e>
            <m:r>
              <w:rPr>
                <w:rFonts w:ascii="Cambria Math" w:eastAsiaTheme="minorEastAsia" w:hAnsi="Cambria Math" w:cs="Arial"/>
              </w:rPr>
              <m:t>PWM</m:t>
            </m:r>
          </m:e>
          <m:sub>
            <m:r>
              <w:rPr>
                <w:rFonts w:ascii="Cambria Math" w:eastAsiaTheme="minorEastAsia" w:hAnsi="Cambria Math" w:cs="Arial"/>
              </w:rPr>
              <m:t>c</m:t>
            </m:r>
          </m:sub>
        </m:sSub>
      </m:oMath>
      <w:r>
        <w:rPr>
          <w:rFonts w:eastAsiaTheme="minorEastAsia" w:cs="Arial"/>
        </w:rPr>
        <w:t xml:space="preserve">, y el tipo de cambio, </w:t>
      </w:r>
      <m:oMath>
        <m:r>
          <w:rPr>
            <w:rFonts w:ascii="Cambria Math" w:eastAsiaTheme="minorEastAsia" w:hAnsi="Cambria Math" w:cs="Arial"/>
          </w:rPr>
          <m:t>ER</m:t>
        </m:r>
      </m:oMath>
      <w:r>
        <w:rPr>
          <w:rFonts w:eastAsiaTheme="minorEastAsia" w:cs="Arial"/>
        </w:rPr>
        <w:t>, teniendo en cuenta los aranceles (</w:t>
      </w:r>
      <m:oMath>
        <m:sSub>
          <m:sSubPr>
            <m:ctrlPr>
              <w:rPr>
                <w:rFonts w:ascii="Cambria Math" w:eastAsiaTheme="minorEastAsia" w:hAnsi="Cambria Math" w:cs="Arial"/>
                <w:i/>
              </w:rPr>
            </m:ctrlPr>
          </m:sSubPr>
          <m:e>
            <m:r>
              <w:rPr>
                <w:rFonts w:ascii="Cambria Math" w:eastAsiaTheme="minorEastAsia" w:hAnsi="Cambria Math" w:cs="Arial"/>
              </w:rPr>
              <m:t>TM</m:t>
            </m:r>
          </m:e>
          <m:sub>
            <m:r>
              <w:rPr>
                <w:rFonts w:ascii="Cambria Math" w:eastAsiaTheme="minorEastAsia" w:hAnsi="Cambria Math" w:cs="Arial"/>
              </w:rPr>
              <m:t>c</m:t>
            </m:r>
          </m:sub>
        </m:sSub>
        <m:r>
          <w:rPr>
            <w:rFonts w:ascii="Cambria Math" w:eastAsiaTheme="minorEastAsia" w:hAnsi="Cambria Math" w:cs="Arial"/>
          </w:rPr>
          <m:t>)</m:t>
        </m:r>
      </m:oMath>
      <w:r>
        <w:rPr>
          <w:rFonts w:eastAsiaTheme="minorEastAsia" w:cs="Arial"/>
        </w:rPr>
        <w:t xml:space="preserve">. Las ponderaciones son actualizadas mediante las condiciones de </w:t>
      </w:r>
      <w:r w:rsidR="0080385C">
        <w:rPr>
          <w:rFonts w:eastAsiaTheme="minorEastAsia" w:cs="Arial"/>
        </w:rPr>
        <w:t>primer</w:t>
      </w:r>
      <w:r>
        <w:rPr>
          <w:rFonts w:eastAsiaTheme="minorEastAsia" w:cs="Arial"/>
        </w:rPr>
        <w:t xml:space="preserve"> orden. Los precios promedios no incluyen el impuesto de ventas, posteriormente se agregan al precio los impuestos de ventas y los impuestos especiales (</w:t>
      </w:r>
      <m:oMath>
        <m:sSub>
          <m:sSubPr>
            <m:ctrlPr>
              <w:rPr>
                <w:rFonts w:ascii="Cambria Math" w:eastAsiaTheme="minorEastAsia" w:hAnsi="Cambria Math" w:cs="Arial"/>
                <w:i/>
              </w:rPr>
            </m:ctrlPr>
          </m:sSubPr>
          <m:e>
            <m:r>
              <w:rPr>
                <w:rFonts w:ascii="Cambria Math" w:eastAsiaTheme="minorEastAsia" w:hAnsi="Cambria Math" w:cs="Arial"/>
              </w:rPr>
              <m:t>TS</m:t>
            </m:r>
          </m:e>
          <m:sub>
            <m:r>
              <w:rPr>
                <w:rFonts w:ascii="Cambria Math" w:eastAsiaTheme="minorEastAsia" w:hAnsi="Cambria Math" w:cs="Arial"/>
              </w:rPr>
              <m:t>c</m:t>
            </m:r>
          </m:sub>
        </m:sSub>
        <m:r>
          <w:rPr>
            <w:rFonts w:ascii="Cambria Math" w:eastAsiaTheme="minorEastAsia" w:hAnsi="Cambria Math" w:cs="Arial"/>
          </w:rPr>
          <m:t xml:space="preserve">,  </m:t>
        </m:r>
        <m:sSub>
          <m:sSubPr>
            <m:ctrlPr>
              <w:rPr>
                <w:rFonts w:ascii="Cambria Math" w:eastAsiaTheme="minorEastAsia" w:hAnsi="Cambria Math" w:cs="Arial"/>
                <w:i/>
              </w:rPr>
            </m:ctrlPr>
          </m:sSubPr>
          <m:e>
            <m:r>
              <w:rPr>
                <w:rFonts w:ascii="Cambria Math" w:eastAsiaTheme="minorEastAsia" w:hAnsi="Cambria Math" w:cs="Arial"/>
              </w:rPr>
              <m:t>TSS</m:t>
            </m:r>
          </m:e>
          <m:sub>
            <m:r>
              <w:rPr>
                <w:rFonts w:ascii="Cambria Math" w:eastAsiaTheme="minorEastAsia" w:hAnsi="Cambria Math" w:cs="Arial"/>
              </w:rPr>
              <m:t>c</m:t>
            </m:r>
          </m:sub>
        </m:sSub>
        <m:r>
          <w:rPr>
            <w:rFonts w:ascii="Cambria Math" w:eastAsiaTheme="minorEastAsia" w:hAnsi="Cambria Math" w:cs="Arial"/>
          </w:rPr>
          <m:t xml:space="preserve">, </m:t>
        </m:r>
        <m:sSub>
          <m:sSubPr>
            <m:ctrlPr>
              <w:rPr>
                <w:rFonts w:ascii="Cambria Math" w:eastAsiaTheme="minorEastAsia" w:hAnsi="Cambria Math" w:cs="Arial"/>
                <w:i/>
              </w:rPr>
            </m:ctrlPr>
          </m:sSubPr>
          <m:e>
            <m:r>
              <w:rPr>
                <w:rFonts w:ascii="Cambria Math" w:eastAsiaTheme="minorEastAsia" w:hAnsi="Cambria Math" w:cs="Arial"/>
              </w:rPr>
              <m:t>TEX</m:t>
            </m:r>
          </m:e>
          <m:sub>
            <m:r>
              <w:rPr>
                <w:rFonts w:ascii="Cambria Math" w:eastAsiaTheme="minorEastAsia" w:hAnsi="Cambria Math" w:cs="Arial"/>
              </w:rPr>
              <m:t>c</m:t>
            </m:r>
          </m:sub>
        </m:sSub>
        <m:r>
          <w:rPr>
            <w:rFonts w:ascii="Cambria Math" w:eastAsiaTheme="minorEastAsia" w:hAnsi="Cambria Math" w:cs="Arial"/>
          </w:rPr>
          <m:t>)</m:t>
        </m:r>
      </m:oMath>
      <w:r>
        <w:rPr>
          <w:rFonts w:eastAsiaTheme="minorEastAsia" w:cs="Arial"/>
        </w:rPr>
        <w:t xml:space="preserve"> y la posibilidad de otros instrumentos de impuestos, además se agregan los márgenes comerciales y de transporte </w:t>
      </w:r>
      <m:oMath>
        <m:sSub>
          <m:sSubPr>
            <m:ctrlPr>
              <w:rPr>
                <w:rFonts w:ascii="Cambria Math" w:eastAsiaTheme="minorEastAsia" w:hAnsi="Cambria Math" w:cs="Arial"/>
                <w:i/>
              </w:rPr>
            </m:ctrlPr>
          </m:sSubPr>
          <m:e>
            <m:r>
              <w:rPr>
                <w:rFonts w:ascii="Cambria Math" w:eastAsiaTheme="minorEastAsia" w:hAnsi="Cambria Math" w:cs="Arial"/>
              </w:rPr>
              <m:t>(ioqttqq</m:t>
            </m:r>
          </m:e>
          <m:sub>
            <m:r>
              <w:rPr>
                <w:rFonts w:ascii="Cambria Math" w:eastAsiaTheme="minorEastAsia" w:hAnsi="Cambria Math" w:cs="Arial"/>
              </w:rPr>
              <m:t>m,a</m:t>
            </m:r>
          </m:sub>
        </m:sSub>
        <m:r>
          <w:rPr>
            <w:rFonts w:ascii="Cambria Math" w:eastAsiaTheme="minorEastAsia" w:hAnsi="Cambria Math" w:cs="Arial"/>
          </w:rPr>
          <m:t xml:space="preserve"> </m:t>
        </m:r>
      </m:oMath>
      <w:r>
        <w:rPr>
          <w:rFonts w:eastAsiaTheme="minorEastAsia" w:cs="Arial"/>
        </w:rPr>
        <w:t xml:space="preserve">* </w:t>
      </w:r>
      <m:oMath>
        <m:sSub>
          <m:sSubPr>
            <m:ctrlPr>
              <w:rPr>
                <w:rFonts w:ascii="Cambria Math" w:eastAsiaTheme="minorEastAsia" w:hAnsi="Cambria Math" w:cs="Arial"/>
                <w:i/>
              </w:rPr>
            </m:ctrlPr>
          </m:sSubPr>
          <m:e>
            <m:r>
              <w:rPr>
                <w:rFonts w:ascii="Cambria Math" w:eastAsiaTheme="minorEastAsia" w:hAnsi="Cambria Math" w:cs="Arial"/>
              </w:rPr>
              <m:t>PTT</m:t>
            </m:r>
          </m:e>
          <m:sub>
            <m:r>
              <w:rPr>
                <w:rFonts w:ascii="Cambria Math" w:eastAsiaTheme="minorEastAsia" w:hAnsi="Cambria Math" w:cs="Arial"/>
              </w:rPr>
              <m:t>m</m:t>
            </m:r>
          </m:sub>
        </m:sSub>
        <m:r>
          <w:rPr>
            <w:rFonts w:ascii="Cambria Math" w:eastAsiaTheme="minorEastAsia" w:hAnsi="Cambria Math" w:cs="Arial"/>
          </w:rPr>
          <m:t>)</m:t>
        </m:r>
      </m:oMath>
      <w:r>
        <w:rPr>
          <w:rFonts w:eastAsiaTheme="minorEastAsia" w:cs="Arial"/>
        </w:rPr>
        <w:t xml:space="preserve"> para reflejar el precio compuesto del consumidor, </w:t>
      </w:r>
      <m:oMath>
        <m:r>
          <w:rPr>
            <w:rFonts w:ascii="Cambria Math" w:eastAsiaTheme="minorEastAsia" w:hAnsi="Cambria Math" w:cs="Arial"/>
          </w:rPr>
          <m:t>(</m:t>
        </m:r>
        <m:sSub>
          <m:sSubPr>
            <m:ctrlPr>
              <w:rPr>
                <w:rFonts w:ascii="Cambria Math" w:eastAsiaTheme="minorEastAsia" w:hAnsi="Cambria Math" w:cs="Arial"/>
                <w:i/>
              </w:rPr>
            </m:ctrlPr>
          </m:sSubPr>
          <m:e>
            <m:r>
              <w:rPr>
                <w:rFonts w:ascii="Cambria Math" w:eastAsiaTheme="minorEastAsia" w:hAnsi="Cambria Math" w:cs="Arial"/>
              </w:rPr>
              <m:t>PQD</m:t>
            </m:r>
          </m:e>
          <m:sub>
            <m:r>
              <w:rPr>
                <w:rFonts w:ascii="Cambria Math" w:eastAsiaTheme="minorEastAsia" w:hAnsi="Cambria Math" w:cs="Arial"/>
              </w:rPr>
              <m:t>c</m:t>
            </m:r>
          </m:sub>
        </m:sSub>
        <m:r>
          <w:rPr>
            <w:rFonts w:ascii="Cambria Math" w:eastAsiaTheme="minorEastAsia" w:hAnsi="Cambria Math" w:cs="Arial"/>
          </w:rPr>
          <m:t>)</m:t>
        </m:r>
      </m:oMath>
      <w:r>
        <w:rPr>
          <w:rFonts w:eastAsiaTheme="minorEastAsia" w:cs="Arial"/>
        </w:rPr>
        <w:t xml:space="preserve">. </w:t>
      </w:r>
    </w:p>
    <w:p w14:paraId="2EBD870A" w14:textId="5BDBE146" w:rsidR="000F7773" w:rsidRDefault="000F7773" w:rsidP="00700471">
      <w:pPr>
        <w:spacing w:line="240" w:lineRule="auto"/>
        <w:rPr>
          <w:rFonts w:eastAsiaTheme="minorEastAsia" w:cs="Arial"/>
        </w:rPr>
      </w:pPr>
      <w:r>
        <w:rPr>
          <w:rFonts w:eastAsiaTheme="minorEastAsia" w:cs="Arial"/>
        </w:rPr>
        <w:t xml:space="preserve">El precio de la demanda final para los hogares </w:t>
      </w:r>
      <m:oMath>
        <m:r>
          <w:rPr>
            <w:rFonts w:ascii="Cambria Math" w:eastAsiaTheme="minorEastAsia" w:hAnsi="Cambria Math" w:cs="Arial"/>
          </w:rPr>
          <m:t>(</m:t>
        </m:r>
        <m:sSub>
          <m:sSubPr>
            <m:ctrlPr>
              <w:rPr>
                <w:rFonts w:ascii="Cambria Math" w:eastAsiaTheme="minorEastAsia" w:hAnsi="Cambria Math" w:cs="Arial"/>
                <w:i/>
              </w:rPr>
            </m:ctrlPr>
          </m:sSubPr>
          <m:e>
            <m:r>
              <w:rPr>
                <w:rFonts w:ascii="Cambria Math" w:eastAsiaTheme="minorEastAsia" w:hAnsi="Cambria Math" w:cs="Arial"/>
              </w:rPr>
              <m:t>PQCD</m:t>
            </m:r>
          </m:e>
          <m:sub>
            <m:r>
              <w:rPr>
                <w:rFonts w:ascii="Cambria Math" w:eastAsiaTheme="minorEastAsia" w:hAnsi="Cambria Math" w:cs="Arial"/>
              </w:rPr>
              <m:t>c</m:t>
            </m:r>
          </m:sub>
        </m:sSub>
        <m:r>
          <w:rPr>
            <w:rFonts w:ascii="Cambria Math" w:eastAsiaTheme="minorEastAsia" w:hAnsi="Cambria Math" w:cs="Arial"/>
          </w:rPr>
          <m:t>)</m:t>
        </m:r>
      </m:oMath>
      <w:r>
        <w:rPr>
          <w:rFonts w:eastAsiaTheme="minorEastAsia" w:cs="Arial"/>
        </w:rPr>
        <w:t xml:space="preserve"> es definida incluyendo el Impuesto al Valor Agregado, </w:t>
      </w:r>
      <m:oMath>
        <m:r>
          <w:rPr>
            <w:rFonts w:ascii="Cambria Math" w:eastAsiaTheme="minorEastAsia" w:hAnsi="Cambria Math" w:cs="Arial"/>
          </w:rPr>
          <m:t>TV</m:t>
        </m:r>
      </m:oMath>
      <w:r>
        <w:rPr>
          <w:rFonts w:eastAsiaTheme="minorEastAsia" w:cs="Arial"/>
        </w:rPr>
        <w:t xml:space="preserve">. El precio al productor de los bienes </w:t>
      </w:r>
      <m:oMath>
        <m:r>
          <w:rPr>
            <w:rFonts w:ascii="Cambria Math" w:eastAsiaTheme="minorEastAsia" w:hAnsi="Cambria Math" w:cs="Arial"/>
          </w:rPr>
          <m:t>(</m:t>
        </m:r>
        <m:sSub>
          <m:sSubPr>
            <m:ctrlPr>
              <w:rPr>
                <w:rFonts w:ascii="Cambria Math" w:eastAsiaTheme="minorEastAsia" w:hAnsi="Cambria Math" w:cs="Arial"/>
                <w:i/>
              </w:rPr>
            </m:ctrlPr>
          </m:sSubPr>
          <m:e>
            <m:r>
              <w:rPr>
                <w:rFonts w:ascii="Cambria Math" w:eastAsiaTheme="minorEastAsia" w:hAnsi="Cambria Math" w:cs="Arial"/>
              </w:rPr>
              <m:t>PXC</m:t>
            </m:r>
          </m:e>
          <m:sub>
            <m:r>
              <w:rPr>
                <w:rFonts w:ascii="Cambria Math" w:eastAsiaTheme="minorEastAsia" w:hAnsi="Cambria Math" w:cs="Arial"/>
              </w:rPr>
              <m:t>c</m:t>
            </m:r>
          </m:sub>
        </m:sSub>
        <m:r>
          <w:rPr>
            <w:rFonts w:ascii="Cambria Math" w:eastAsiaTheme="minorEastAsia" w:hAnsi="Cambria Math" w:cs="Arial"/>
          </w:rPr>
          <m:t>)</m:t>
        </m:r>
      </m:oMath>
      <w:r>
        <w:rPr>
          <w:rFonts w:eastAsiaTheme="minorEastAsia" w:cs="Arial"/>
        </w:rPr>
        <w:t xml:space="preserve"> es definido de manera similar, con el promedio ponderado de los productos recibidos para producción doméstica, que se venden en el país y en el extranjero. Estos precios son actualizados por la condición de </w:t>
      </w:r>
      <w:r w:rsidR="0080385C">
        <w:rPr>
          <w:rFonts w:eastAsiaTheme="minorEastAsia" w:cs="Arial"/>
        </w:rPr>
        <w:t>primer</w:t>
      </w:r>
      <w:r>
        <w:rPr>
          <w:rFonts w:eastAsiaTheme="minorEastAsia" w:cs="Arial"/>
        </w:rPr>
        <w:t xml:space="preserve"> orden. Los precios recibidos en el mercado de exportación son definidos con el precio mundial </w:t>
      </w:r>
      <m:oMath>
        <m:r>
          <w:rPr>
            <w:rFonts w:ascii="Cambria Math" w:eastAsiaTheme="minorEastAsia" w:hAnsi="Cambria Math" w:cs="Arial"/>
          </w:rPr>
          <m:t>(</m:t>
        </m:r>
        <m:sSub>
          <m:sSubPr>
            <m:ctrlPr>
              <w:rPr>
                <w:rFonts w:ascii="Cambria Math" w:eastAsiaTheme="minorEastAsia" w:hAnsi="Cambria Math" w:cs="Arial"/>
                <w:i/>
              </w:rPr>
            </m:ctrlPr>
          </m:sSubPr>
          <m:e>
            <m:r>
              <w:rPr>
                <w:rFonts w:ascii="Cambria Math" w:eastAsiaTheme="minorEastAsia" w:hAnsi="Cambria Math" w:cs="Arial"/>
              </w:rPr>
              <m:t>PWE</m:t>
            </m:r>
          </m:e>
          <m:sub>
            <m:r>
              <w:rPr>
                <w:rFonts w:ascii="Cambria Math" w:eastAsiaTheme="minorEastAsia" w:hAnsi="Cambria Math" w:cs="Arial"/>
              </w:rPr>
              <m:t>c</m:t>
            </m:r>
          </m:sub>
        </m:sSub>
        <m:r>
          <w:rPr>
            <w:rFonts w:ascii="Cambria Math" w:eastAsiaTheme="minorEastAsia" w:hAnsi="Cambria Math" w:cs="Arial"/>
          </w:rPr>
          <m:t>)</m:t>
        </m:r>
      </m:oMath>
      <w:r>
        <w:rPr>
          <w:rFonts w:eastAsiaTheme="minorEastAsia" w:cs="Arial"/>
        </w:rPr>
        <w:t xml:space="preserve"> y el tipo de cambio, menos los impuestos por exportación </w:t>
      </w:r>
      <m:oMath>
        <m:r>
          <w:rPr>
            <w:rFonts w:ascii="Cambria Math" w:eastAsiaTheme="minorEastAsia" w:hAnsi="Cambria Math" w:cs="Arial"/>
          </w:rPr>
          <m:t>(</m:t>
        </m:r>
        <m:sSub>
          <m:sSubPr>
            <m:ctrlPr>
              <w:rPr>
                <w:rFonts w:ascii="Cambria Math" w:eastAsiaTheme="minorEastAsia" w:hAnsi="Cambria Math" w:cs="Arial"/>
                <w:i/>
              </w:rPr>
            </m:ctrlPr>
          </m:sSubPr>
          <m:e>
            <m:r>
              <w:rPr>
                <w:rFonts w:ascii="Cambria Math" w:eastAsiaTheme="minorEastAsia" w:hAnsi="Cambria Math" w:cs="Arial"/>
              </w:rPr>
              <m:t>TE</m:t>
            </m:r>
          </m:e>
          <m:sub>
            <m:r>
              <w:rPr>
                <w:rFonts w:ascii="Cambria Math" w:eastAsiaTheme="minorEastAsia" w:hAnsi="Cambria Math" w:cs="Arial"/>
              </w:rPr>
              <m:t>c</m:t>
            </m:r>
          </m:sub>
        </m:sSub>
        <m:r>
          <w:rPr>
            <w:rFonts w:ascii="Cambria Math" w:eastAsiaTheme="minorEastAsia" w:hAnsi="Cambria Math" w:cs="Arial"/>
          </w:rPr>
          <m:t>)</m:t>
        </m:r>
      </m:oMath>
      <w:r>
        <w:rPr>
          <w:rFonts w:eastAsiaTheme="minorEastAsia" w:cs="Arial"/>
        </w:rPr>
        <w:t>.</w:t>
      </w:r>
    </w:p>
    <w:p w14:paraId="22BE8379" w14:textId="4E3EC13F" w:rsidR="003B6B33" w:rsidRDefault="000F7773" w:rsidP="008D02D1">
      <w:pPr>
        <w:spacing w:line="240" w:lineRule="auto"/>
      </w:pPr>
      <w:r>
        <w:rPr>
          <w:rFonts w:eastAsiaTheme="minorEastAsia" w:cs="Arial"/>
        </w:rPr>
        <w:t xml:space="preserve">El precio promedio por unidad de producción recibida por actividad </w:t>
      </w:r>
      <m:oMath>
        <m:r>
          <w:rPr>
            <w:rFonts w:ascii="Cambria Math" w:eastAsiaTheme="minorEastAsia" w:hAnsi="Cambria Math" w:cs="Arial"/>
          </w:rPr>
          <m:t>(</m:t>
        </m:r>
        <m:sSub>
          <m:sSubPr>
            <m:ctrlPr>
              <w:rPr>
                <w:rFonts w:ascii="Cambria Math" w:eastAsiaTheme="minorEastAsia" w:hAnsi="Cambria Math" w:cs="Arial"/>
                <w:i/>
              </w:rPr>
            </m:ctrlPr>
          </m:sSubPr>
          <m:e>
            <m:r>
              <w:rPr>
                <w:rFonts w:ascii="Cambria Math" w:eastAsiaTheme="minorEastAsia" w:hAnsi="Cambria Math" w:cs="Arial"/>
              </w:rPr>
              <m:t>PX</m:t>
            </m:r>
          </m:e>
          <m:sub>
            <m:r>
              <w:rPr>
                <w:rFonts w:ascii="Cambria Math" w:eastAsiaTheme="minorEastAsia" w:hAnsi="Cambria Math" w:cs="Arial"/>
              </w:rPr>
              <m:t>a</m:t>
            </m:r>
          </m:sub>
        </m:sSub>
        <m:r>
          <w:rPr>
            <w:rFonts w:ascii="Cambria Math" w:eastAsiaTheme="minorEastAsia" w:hAnsi="Cambria Math" w:cs="Arial"/>
          </w:rPr>
          <m:t>)</m:t>
        </m:r>
      </m:oMath>
      <w:r>
        <w:rPr>
          <w:rFonts w:eastAsiaTheme="minorEastAsia" w:cs="Arial"/>
        </w:rPr>
        <w:t xml:space="preserve">, es definido como el promedio ponderado de los </w:t>
      </w:r>
      <w:r w:rsidR="00CB2DD3">
        <w:rPr>
          <w:rFonts w:eastAsiaTheme="minorEastAsia" w:cs="Arial"/>
        </w:rPr>
        <w:t>pr</w:t>
      </w:r>
      <w:r>
        <w:rPr>
          <w:rFonts w:eastAsiaTheme="minorEastAsia" w:cs="Arial"/>
        </w:rPr>
        <w:t xml:space="preserve">ecios internos del productor </w:t>
      </w:r>
      <m:oMath>
        <m:r>
          <w:rPr>
            <w:rFonts w:ascii="Cambria Math" w:eastAsiaTheme="minorEastAsia" w:hAnsi="Cambria Math" w:cs="Arial"/>
          </w:rPr>
          <m:t>(</m:t>
        </m:r>
        <m:sSub>
          <m:sSubPr>
            <m:ctrlPr>
              <w:rPr>
                <w:rFonts w:ascii="Cambria Math" w:eastAsiaTheme="minorEastAsia" w:hAnsi="Cambria Math" w:cs="Arial"/>
                <w:i/>
              </w:rPr>
            </m:ctrlPr>
          </m:sSubPr>
          <m:e>
            <m:r>
              <w:rPr>
                <w:rFonts w:ascii="Cambria Math" w:eastAsiaTheme="minorEastAsia" w:hAnsi="Cambria Math" w:cs="Arial"/>
              </w:rPr>
              <m:t>PXAC</m:t>
            </m:r>
          </m:e>
          <m:sub>
            <m:r>
              <w:rPr>
                <w:rFonts w:ascii="Cambria Math" w:eastAsiaTheme="minorEastAsia" w:hAnsi="Cambria Math" w:cs="Arial"/>
              </w:rPr>
              <m:t>a.c</m:t>
            </m:r>
          </m:sub>
        </m:sSub>
        <m:r>
          <w:rPr>
            <w:rFonts w:ascii="Cambria Math" w:eastAsiaTheme="minorEastAsia" w:hAnsi="Cambria Math" w:cs="Arial"/>
          </w:rPr>
          <m:t>)</m:t>
        </m:r>
      </m:oMath>
      <w:r>
        <w:rPr>
          <w:rFonts w:eastAsiaTheme="minorEastAsia" w:cs="Arial"/>
        </w:rPr>
        <w:t xml:space="preserve">, donde las ponderaciones son constantes o variables dependiendo de la configuración del modelo. Después del pago de los impuestos a la producción </w:t>
      </w:r>
      <m:oMath>
        <m:r>
          <w:rPr>
            <w:rFonts w:ascii="Cambria Math" w:eastAsiaTheme="minorEastAsia" w:hAnsi="Cambria Math" w:cs="Arial"/>
          </w:rPr>
          <m:t>(</m:t>
        </m:r>
        <m:sSub>
          <m:sSubPr>
            <m:ctrlPr>
              <w:rPr>
                <w:rFonts w:ascii="Cambria Math" w:eastAsiaTheme="minorEastAsia" w:hAnsi="Cambria Math" w:cs="Arial"/>
                <w:i/>
              </w:rPr>
            </m:ctrlPr>
          </m:sSubPr>
          <m:e>
            <m:r>
              <w:rPr>
                <w:rFonts w:ascii="Cambria Math" w:eastAsiaTheme="minorEastAsia" w:hAnsi="Cambria Math" w:cs="Arial"/>
              </w:rPr>
              <m:t>TX</m:t>
            </m:r>
          </m:e>
          <m:sub>
            <m:r>
              <w:rPr>
                <w:rFonts w:ascii="Cambria Math" w:eastAsiaTheme="minorEastAsia" w:hAnsi="Cambria Math" w:cs="Arial"/>
              </w:rPr>
              <m:t>a</m:t>
            </m:r>
          </m:sub>
        </m:sSub>
        <m:r>
          <w:rPr>
            <w:rFonts w:ascii="Cambria Math" w:eastAsiaTheme="minorEastAsia" w:hAnsi="Cambria Math" w:cs="Arial"/>
          </w:rPr>
          <m:t>)</m:t>
        </m:r>
      </m:oMath>
      <w:r>
        <w:rPr>
          <w:rFonts w:eastAsiaTheme="minorEastAsia" w:cs="Arial"/>
        </w:rPr>
        <w:t>, este se divide entre los pagos al valor agregado,</w:t>
      </w:r>
      <m:oMath>
        <m:r>
          <w:rPr>
            <w:rFonts w:ascii="Cambria Math" w:eastAsiaTheme="minorEastAsia" w:hAnsi="Cambria Math" w:cs="Arial"/>
          </w:rPr>
          <m:t xml:space="preserve"> </m:t>
        </m:r>
        <m:sSub>
          <m:sSubPr>
            <m:ctrlPr>
              <w:rPr>
                <w:rFonts w:ascii="Cambria Math" w:eastAsiaTheme="minorEastAsia" w:hAnsi="Cambria Math" w:cs="Arial"/>
                <w:i/>
              </w:rPr>
            </m:ctrlPr>
          </m:sSubPr>
          <m:e>
            <m:r>
              <w:rPr>
                <w:rFonts w:ascii="Cambria Math" w:eastAsiaTheme="minorEastAsia" w:hAnsi="Cambria Math" w:cs="Arial"/>
              </w:rPr>
              <m:t>PVA</m:t>
            </m:r>
          </m:e>
          <m:sub>
            <m:r>
              <w:rPr>
                <w:rFonts w:ascii="Cambria Math" w:eastAsiaTheme="minorEastAsia" w:hAnsi="Cambria Math" w:cs="Arial"/>
              </w:rPr>
              <m:t>a</m:t>
            </m:r>
          </m:sub>
        </m:sSub>
      </m:oMath>
      <w:r>
        <w:rPr>
          <w:rFonts w:eastAsiaTheme="minorEastAsia" w:cs="Arial"/>
        </w:rPr>
        <w:t xml:space="preserve"> ,es decir, el monto disponible para pagar los insumos primarios e intermedios (</w:t>
      </w:r>
      <m:oMath>
        <m:sSub>
          <m:sSubPr>
            <m:ctrlPr>
              <w:rPr>
                <w:rFonts w:ascii="Cambria Math" w:eastAsiaTheme="minorEastAsia" w:hAnsi="Cambria Math" w:cs="Arial"/>
                <w:i/>
              </w:rPr>
            </m:ctrlPr>
          </m:sSubPr>
          <m:e>
            <m:r>
              <w:rPr>
                <w:rFonts w:ascii="Cambria Math" w:eastAsiaTheme="minorEastAsia" w:hAnsi="Cambria Math" w:cs="Arial"/>
              </w:rPr>
              <m:t>PINT</m:t>
            </m:r>
          </m:e>
          <m:sub>
            <m:r>
              <w:rPr>
                <w:rFonts w:ascii="Cambria Math" w:eastAsiaTheme="minorEastAsia" w:hAnsi="Cambria Math" w:cs="Arial"/>
              </w:rPr>
              <m:t>a</m:t>
            </m:r>
          </m:sub>
        </m:sSub>
        <m:r>
          <w:rPr>
            <w:rFonts w:ascii="Cambria Math" w:eastAsiaTheme="minorEastAsia" w:hAnsi="Cambria Math" w:cs="Arial"/>
          </w:rPr>
          <m:t>)</m:t>
        </m:r>
      </m:oMath>
      <w:r>
        <w:rPr>
          <w:rFonts w:eastAsiaTheme="minorEastAsia" w:cs="Arial"/>
        </w:rPr>
        <w:t>.</w:t>
      </w:r>
      <w:r w:rsidRPr="008A3F8A">
        <w:t xml:space="preserve"> </w:t>
      </w:r>
      <w:r w:rsidRPr="008A3F8A">
        <w:rPr>
          <w:rFonts w:eastAsiaTheme="minorEastAsia" w:cs="Arial"/>
        </w:rPr>
        <w:t>Los pagos totales por insumos intermedios por unidad de insumo intermedio agregado se definen como las sumas ponderadas de los precios de los insumos</w:t>
      </w:r>
      <w:r>
        <w:t xml:space="preserve"> </w:t>
      </w:r>
      <m:oMath>
        <m:sSub>
          <m:sSubPr>
            <m:ctrlPr>
              <w:rPr>
                <w:rFonts w:ascii="Cambria Math" w:eastAsiaTheme="minorEastAsia" w:hAnsi="Cambria Math" w:cs="Arial"/>
                <w:i/>
              </w:rPr>
            </m:ctrlPr>
          </m:sSubPr>
          <m:e>
            <m:r>
              <w:rPr>
                <w:rFonts w:ascii="Cambria Math" w:eastAsiaTheme="minorEastAsia" w:hAnsi="Cambria Math" w:cs="Arial"/>
              </w:rPr>
              <m:t>(PQD</m:t>
            </m:r>
          </m:e>
          <m:sub>
            <m:r>
              <w:rPr>
                <w:rFonts w:ascii="Cambria Math" w:eastAsiaTheme="minorEastAsia" w:hAnsi="Cambria Math" w:cs="Arial"/>
              </w:rPr>
              <m:t>c</m:t>
            </m:r>
          </m:sub>
        </m:sSub>
        <m:r>
          <w:rPr>
            <w:rFonts w:ascii="Cambria Math" w:eastAsiaTheme="minorEastAsia" w:hAnsi="Cambria Math" w:cs="Arial"/>
          </w:rPr>
          <m:t>)</m:t>
        </m:r>
      </m:oMath>
      <w:r>
        <w:t>.</w:t>
      </w:r>
      <w:r>
        <w:tab/>
      </w:r>
      <w:bookmarkStart w:id="40" w:name="_Ref524802502"/>
      <w:bookmarkStart w:id="41" w:name="_Toc524946937"/>
    </w:p>
    <w:p w14:paraId="04EBD1A4" w14:textId="77777777" w:rsidR="008D02D1" w:rsidRDefault="008D02D1">
      <w:pPr>
        <w:jc w:val="left"/>
        <w:rPr>
          <w:b/>
          <w:iCs/>
          <w:color w:val="000000" w:themeColor="text1"/>
          <w:sz w:val="22"/>
          <w:szCs w:val="18"/>
        </w:rPr>
      </w:pPr>
      <w:bookmarkStart w:id="42" w:name="_Ref525022684"/>
      <w:r>
        <w:br w:type="page"/>
      </w:r>
    </w:p>
    <w:p w14:paraId="6520977D" w14:textId="5BD33E0D" w:rsidR="000F7773" w:rsidRPr="00284EE4" w:rsidRDefault="000F7773" w:rsidP="000F7773">
      <w:pPr>
        <w:pStyle w:val="Caption"/>
      </w:pPr>
      <w:bookmarkStart w:id="43" w:name="_Ref527300164"/>
      <w:bookmarkStart w:id="44" w:name="_Toc2853723"/>
      <w:r>
        <w:lastRenderedPageBreak/>
        <w:t xml:space="preserve">Figura </w:t>
      </w:r>
      <w:r w:rsidR="00F700CF">
        <w:rPr>
          <w:noProof/>
        </w:rPr>
        <w:fldChar w:fldCharType="begin"/>
      </w:r>
      <w:r w:rsidR="00F700CF">
        <w:rPr>
          <w:noProof/>
        </w:rPr>
        <w:instrText xml:space="preserve"> SEQ Figura \* ARABIC </w:instrText>
      </w:r>
      <w:r w:rsidR="00F700CF">
        <w:rPr>
          <w:noProof/>
        </w:rPr>
        <w:fldChar w:fldCharType="separate"/>
      </w:r>
      <w:r w:rsidR="00A95E32">
        <w:rPr>
          <w:noProof/>
        </w:rPr>
        <w:t>6</w:t>
      </w:r>
      <w:r w:rsidR="00F700CF">
        <w:rPr>
          <w:noProof/>
        </w:rPr>
        <w:fldChar w:fldCharType="end"/>
      </w:r>
      <w:bookmarkEnd w:id="42"/>
      <w:bookmarkEnd w:id="43"/>
      <w:r>
        <w:t xml:space="preserve"> </w:t>
      </w:r>
      <w:r>
        <w:br/>
      </w:r>
      <w:r w:rsidRPr="00DA2239">
        <w:t>La relación de precios para el modelo STAGE</w:t>
      </w:r>
      <w:bookmarkEnd w:id="40"/>
      <w:bookmarkEnd w:id="41"/>
      <w:bookmarkEnd w:id="44"/>
    </w:p>
    <w:p w14:paraId="2E607040" w14:textId="4A4C5D6A" w:rsidR="000F7773" w:rsidRDefault="00FA183A" w:rsidP="000F7773">
      <w:pPr>
        <w:jc w:val="center"/>
        <w:rPr>
          <w:rFonts w:eastAsiaTheme="minorEastAsia" w:cs="Arial"/>
        </w:rPr>
      </w:pPr>
      <w:r>
        <w:rPr>
          <w:rFonts w:eastAsiaTheme="minorEastAsia" w:cs="Arial"/>
        </w:rPr>
      </w:r>
      <w:r>
        <w:rPr>
          <w:rFonts w:eastAsiaTheme="minorEastAsia" w:cs="Arial"/>
        </w:rPr>
        <w:pict w14:anchorId="6940EA16">
          <v:group id="_x0000_s4234" style="width:373.15pt;height:600pt;mso-position-horizontal-relative:char;mso-position-vertical-relative:line" coordorigin="1612,2138" coordsize="7463,12000">
            <v:shape id="_x0000_s4235" type="#_x0000_t75" style="position:absolute;left:8598;top:6935;width:477;height:358">
              <v:imagedata r:id="rId35" o:title=""/>
            </v:shape>
            <v:group id="_x0000_s4236" style="position:absolute;left:1612;top:2138;width:6943;height:12000" coordorigin="1612,2138" coordsize="6943,12000">
              <v:shape id="_x0000_s4237" type="#_x0000_t75" style="position:absolute;left:1680;top:10692;width:920;height:383">
                <v:imagedata r:id="rId36" o:title=""/>
              </v:shape>
              <v:group id="_x0000_s4238" style="position:absolute;left:1612;top:2138;width:6943;height:12000" coordorigin="1612,2138" coordsize="6943,12000">
                <v:shape id="Straight Arrow Connector 8" o:spid="_x0000_s4239" type="#_x0000_t32" style="position:absolute;left:6598;top:3729;width:749;height:216;flip:x y;visibility:visible" strokeweight=".5pt">
                  <v:stroke endarrow="block" joinstyle="miter"/>
                </v:shape>
                <v:shape id="Straight Arrow Connector 9" o:spid="_x0000_s4240" type="#_x0000_t32" style="position:absolute;left:6598;top:4150;width:749;height:216;flip:x y;visibility:visible" strokeweight=".5pt">
                  <v:stroke endarrow="block" joinstyle="miter"/>
                </v:shape>
                <v:shape id="Straight Arrow Connector 5" o:spid="_x0000_s4241" type="#_x0000_t32" style="position:absolute;left:6598;top:2967;width:750;height:222;flip:x y;visibility:visible" strokeweight=".5pt">
                  <v:stroke endarrow="block" joinstyle="miter"/>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Straight Arrow Connector 6" o:spid="_x0000_s4242" type="#_x0000_t34" style="position:absolute;left:5370;top:3567;width:2016;height:1;rotation:270;visibility:visible" adj=",-98971200,-95655" strokeweight=".5pt">
                  <v:stroke endarrow="block"/>
                </v:shape>
                <v:shape id="Straight Arrow Connector 7" o:spid="_x0000_s4243" type="#_x0000_t32" style="position:absolute;left:6598;top:3364;width:750;height:222;flip:x y;visibility:visible" strokeweight=".5pt">
                  <v:stroke endarrow="block" joinstyle="miter"/>
                </v:shape>
                <v:group id="Group 47" o:spid="_x0000_s4244" style="position:absolute;left:4992;top:3951;width:2709;height:2275" coordsize="17200,14446">
                  <v:shape id="Straight Arrow Connector 11" o:spid="_x0000_s4245" type="#_x0000_t32" style="position:absolute;left:10983;top:6546;width:6217;height:7900;flip:x y;visibility:visible" o:connectortype="straight" strokeweight=".5pt">
                    <v:stroke endarrow="block" joinstyle="miter"/>
                  </v:shape>
                  <v:shape id="Straight Arrow Connector 12" o:spid="_x0000_s4246" type="#_x0000_t32" style="position:absolute;top:6546;width:6217;height:7900;flip:y;visibility:visible" o:connectortype="straight" strokeweight=".5pt">
                    <v:stroke endarrow="block" joinstyle="miter"/>
                  </v:shape>
                  <v:shape id="Arc 14" o:spid="_x0000_s4247" style="position:absolute;left:3408;width:11308;height:10550;rotation:9105719fd;visibility:visible;v-text-anchor:middle" coordsize="1130826,1055077" o:spt="100" adj="0,,0" path="m565413,nsc877682,,1130826,236187,1130826,527539r-565413,l565413,xem565413,nfc877682,,1130826,236187,1130826,527539e" filled="f" strokeweight=".5pt">
                    <v:stroke joinstyle="miter"/>
                    <v:formulas/>
                    <v:path arrowok="t" o:connecttype="custom" o:connectlocs="565413,0;1130826,527539" o:connectangles="0,0"/>
                  </v:shape>
                </v:group>
                <v:shape id="Straight Arrow Connector 52" o:spid="_x0000_s4248" type="#_x0000_t32" style="position:absolute;left:7684;top:6609;width:0;height:720;flip:y;visibility:visible" strokeweight=".5pt">
                  <v:stroke endarrow="block" joinstyle="miter"/>
                </v:shape>
                <v:shape id="Straight Arrow Connector 53" o:spid="_x0000_s4249" type="#_x0000_t32" style="position:absolute;left:4948;top:6609;width:0;height:720;flip:y;visibility:visible" strokeweight=".5pt">
                  <v:stroke endarrow="block" joinstyle="miter"/>
                </v:shape>
                <v:shape id="Straight Arrow Connector 62" o:spid="_x0000_s4250" type="#_x0000_t32" style="position:absolute;left:5369;top:3729;width:749;height:216;flip:y;visibility:visible" strokeweight=".5pt">
                  <v:stroke endarrow="block" joinstyle="miter"/>
                </v:shape>
                <v:shape id="Straight Arrow Connector 61" o:spid="_x0000_s4251" type="#_x0000_t32" style="position:absolute;left:7806;top:6875;width:749;height:216;flip:x y;visibility:visible" strokeweight=".5pt">
                  <v:stroke endarrow="block" joinstyle="miter"/>
                </v:shape>
                <v:shape id="_x0000_s4252" type="#_x0000_t75" style="position:absolute;left:6064;top:2138;width:640;height:358">
                  <v:imagedata r:id="rId37" o:title=""/>
                </v:shape>
                <v:shape id="_x0000_s4253" type="#_x0000_t75" style="position:absolute;left:7382;top:3035;width:400;height:358">
                  <v:imagedata r:id="rId38" o:title=""/>
                </v:shape>
                <v:shape id="_x0000_s4254" type="#_x0000_t75" style="position:absolute;left:5890;top:4594;width:937;height:358">
                  <v:imagedata r:id="rId39" o:title=""/>
                </v:shape>
                <v:shape id="_x0000_s4255" type="#_x0000_t75" style="position:absolute;left:7304;top:3444;width:579;height:358">
                  <v:imagedata r:id="rId40" o:title=""/>
                </v:shape>
                <v:shape id="_x0000_s4256" type="#_x0000_t75" style="position:absolute;left:7319;top:3802;width:383;height:358">
                  <v:imagedata r:id="rId41" o:title=""/>
                </v:shape>
                <v:shape id="_x0000_s4257" type="#_x0000_t75" style="position:absolute;left:7319;top:4236;width:503;height:358">
                  <v:imagedata r:id="rId42" o:title=""/>
                </v:shape>
                <v:shape id="_x0000_s4258" type="#_x0000_t75" style="position:absolute;left:6204;top:5244;width:298;height:358">
                  <v:imagedata r:id="rId43" o:title=""/>
                </v:shape>
                <v:shape id="_x0000_s4259" type="#_x0000_t75" style="position:absolute;left:7278;top:6277;width:861;height:358">
                  <v:imagedata r:id="rId44" o:title=""/>
                </v:shape>
                <v:shape id="_x0000_s4260" type="#_x0000_t75" style="position:absolute;left:4611;top:6282;width:801;height:358">
                  <v:imagedata r:id="rId45" o:title=""/>
                </v:shape>
                <v:shape id="_x0000_s4261" type="#_x0000_t75" style="position:absolute;left:4466;top:7317;width:937;height:358">
                  <v:imagedata r:id="rId46" o:title=""/>
                </v:shape>
                <v:shape id="_x0000_s4262" type="#_x0000_t75" style="position:absolute;left:7091;top:7317;width:1142;height:358">
                  <v:imagedata r:id="rId47" o:title=""/>
                </v:shape>
                <v:shape id="_x0000_s4263" type="#_x0000_t75" style="position:absolute;left:3248;top:3802;width:2096;height:537">
                  <v:imagedata r:id="rId48" o:title=""/>
                </v:shape>
                <v:group id="_x0000_s4264" style="position:absolute;left:1612;top:6277;width:6321;height:7861" coordorigin="1612,6277" coordsize="6321,7861">
                  <v:group id="_x0000_s4265" editas="canvas" style="position:absolute;left:3184;top:9529;width:710;height:748" coordorigin="3184,9528" coordsize="710,748">
                    <o:lock v:ext="edit" aspectratio="t"/>
                    <v:shape id="_x0000_s4266" type="#_x0000_t75" style="position:absolute;left:3184;top:9528;width:710;height:748" o:preferrelative="f">
                      <v:fill o:detectmouseclick="t"/>
                      <v:path o:extrusionok="t" o:connecttype="none"/>
                      <o:lock v:ext="edit" text="t"/>
                    </v:shape>
                    <v:rect id="_x0000_s4267" style="position:absolute;left:3435;top:9555;width:67;height:712;mso-wrap-style:none" filled="f" stroked="f">
                      <v:textbox style="mso-next-textbox:#_x0000_s4267;mso-rotate-with-shape:t;mso-fit-shape-to-text:t" inset="0,0,0,0">
                        <w:txbxContent>
                          <w:p w14:paraId="036ADC1D" w14:textId="77777777" w:rsidR="005E1105" w:rsidRDefault="005E1105" w:rsidP="00774869">
                            <w:r>
                              <w:rPr>
                                <w:color w:val="000000"/>
                              </w:rPr>
                              <w:t>/</w:t>
                            </w:r>
                          </w:p>
                        </w:txbxContent>
                      </v:textbox>
                    </v:rect>
                    <v:rect id="_x0000_s4268" style="position:absolute;left:3704;top:9705;width:148;height:482;mso-wrap-style:none" filled="f" stroked="f">
                      <v:textbox style="mso-next-textbox:#_x0000_s4268;mso-rotate-with-shape:t;mso-fit-shape-to-text:t" inset="0,0,0,0">
                        <w:txbxContent>
                          <w:p w14:paraId="358AF637" w14:textId="77777777" w:rsidR="005E1105" w:rsidRDefault="005E1105" w:rsidP="00774869">
                            <w:r>
                              <w:rPr>
                                <w:i/>
                                <w:iCs/>
                                <w:color w:val="000000"/>
                                <w:sz w:val="14"/>
                                <w:szCs w:val="14"/>
                              </w:rPr>
                              <w:t>ac</w:t>
                            </w:r>
                          </w:p>
                        </w:txbxContent>
                      </v:textbox>
                    </v:rect>
                    <v:rect id="_x0000_s4269" style="position:absolute;left:3532;top:9528;width:145;height:748;mso-wrap-style:none" filled="f" stroked="f">
                      <v:textbox style="mso-next-textbox:#_x0000_s4269;mso-rotate-with-shape:t;mso-fit-shape-to-text:t" inset="0,0,0,0">
                        <w:txbxContent>
                          <w:p w14:paraId="2F145FDE" w14:textId="77777777" w:rsidR="005E1105" w:rsidRDefault="005E1105" w:rsidP="00774869">
                            <w:r>
                              <w:rPr>
                                <w:rFonts w:ascii="Symbol" w:hAnsi="Symbol" w:cs="Symbol"/>
                                <w:i/>
                                <w:iCs/>
                                <w:color w:val="000000"/>
                              </w:rPr>
                              <w:t></w:t>
                            </w:r>
                          </w:p>
                        </w:txbxContent>
                      </v:textbox>
                    </v:rect>
                    <v:rect id="_x0000_s4270" style="position:absolute;left:3217;top:9528;width:172;height:748;mso-wrap-style:none" filled="f" stroked="f">
                      <v:textbox style="mso-next-textbox:#_x0000_s4270;mso-rotate-with-shape:t;mso-fit-shape-to-text:t" inset="0,0,0,0">
                        <w:txbxContent>
                          <w:p w14:paraId="3BAE90DB" w14:textId="77777777" w:rsidR="005E1105" w:rsidRDefault="005E1105" w:rsidP="00774869">
                            <w:r>
                              <w:rPr>
                                <w:rFonts w:ascii="Symbol" w:hAnsi="Symbol" w:cs="Symbol"/>
                                <w:color w:val="000000"/>
                              </w:rPr>
                              <w:t></w:t>
                            </w:r>
                          </w:p>
                        </w:txbxContent>
                      </v:textbox>
                    </v:rect>
                  </v:group>
                  <v:shape id="_x0000_s4271" type="#_x0000_t75" style="position:absolute;left:3085;top:6933;width:418;height:358">
                    <v:imagedata r:id="rId49" o:title=""/>
                  </v:shape>
                  <v:shape id="_x0000_s4272" type="#_x0000_t75" style="position:absolute;left:3042;top:9045;width:937;height:358">
                    <v:imagedata r:id="rId50" o:title=""/>
                  </v:shape>
                  <v:shape id="Straight Arrow Connector 195" o:spid="_x0000_s4273" type="#_x0000_t32" style="position:absolute;left:2090;top:9478;width:962;height:1244;flip:x;visibility:visible" strokeweight=".5pt">
                    <v:stroke endarrow="block" joinstyle="miter"/>
                  </v:shape>
                  <v:shape id="Straight Arrow Connector 196" o:spid="_x0000_s4274" type="#_x0000_t32" style="position:absolute;left:3918;top:9445;width:963;height:1244;visibility:visible" strokeweight=".5pt">
                    <v:stroke endarrow="block" joinstyle="miter"/>
                  </v:shape>
                  <v:shape id="Arc 197" o:spid="_x0000_s4275" style="position:absolute;left:2722;top:8411;width:1686;height:1607;rotation:9061002fd;visibility:visible;mso-width-relative:margin;mso-height-relative:margin;v-text-anchor:middle" coordsize="1070881,1020756" o:spt="100" adj="0,,0" path="m535440,nsc831156,,1070881,228504,1070881,510378r-535440,c535441,340252,535440,170126,535440,xem535440,nfc831156,,1070881,228504,1070881,510378e" filled="f" strokeweight=".5pt">
                    <v:stroke joinstyle="miter"/>
                    <v:formulas/>
                    <v:path arrowok="t" o:connecttype="custom" o:connectlocs="535440,0;1070881,510378" o:connectangles="0,0"/>
                  </v:shape>
                  <v:shape id="Straight Arrow Connector 59" o:spid="_x0000_s4276" type="#_x0000_t32" style="position:absolute;left:2156;top:6554;width:0;height:720;flip:y;visibility:visible" strokeweight=".5pt">
                    <v:stroke endarrow="block" joinstyle="miter"/>
                  </v:shape>
                  <v:shape id="Straight Arrow Connector 60" o:spid="_x0000_s4277" type="#_x0000_t32" style="position:absolute;left:2311;top:6875;width:750;height:222;flip:x y;visibility:visible" strokeweight=".5pt">
                    <v:stroke endarrow="block" joinstyle="miter"/>
                  </v:shape>
                  <v:group id="Group 48" o:spid="_x0000_s4278" style="position:absolute;left:2167;top:7706;width:2708;height:2275;flip:y" coordsize="17200,14446">
                    <v:shape id="Straight Arrow Connector 49" o:spid="_x0000_s4279" type="#_x0000_t32" style="position:absolute;left:10983;top:6546;width:6217;height:7900;flip:x y;visibility:visible" o:connectortype="straight" strokeweight=".5pt">
                      <v:stroke endarrow="block" joinstyle="miter"/>
                    </v:shape>
                    <v:shape id="Straight Arrow Connector 50" o:spid="_x0000_s4280" type="#_x0000_t32" style="position:absolute;top:6546;width:6217;height:7900;flip:y;visibility:visible" o:connectortype="straight" strokeweight=".5pt">
                      <v:stroke endarrow="block" joinstyle="miter"/>
                    </v:shape>
                    <v:shape id="Arc 51" o:spid="_x0000_s4281" style="position:absolute;left:3408;width:11308;height:10550;rotation:9105719fd;visibility:visible;v-text-anchor:middle" coordsize="1130826,1055077" o:spt="100" adj="0,,0" path="m565413,nsc877682,,1130826,236187,1130826,527539r-565413,l565413,xem565413,nfc877682,,1130826,236187,1130826,527539e" filled="f" strokeweight=".5pt">
                      <v:stroke joinstyle="miter"/>
                      <v:formulas/>
                      <v:path arrowok="t" o:connecttype="custom" o:connectlocs="565413,0;1130826,527539" o:connectangles="0,0"/>
                    </v:shape>
                  </v:group>
                  <v:shape id="_x0000_s4282" type="#_x0000_t75" style="position:absolute;left:1782;top:7317;width:784;height:358">
                    <v:imagedata r:id="rId51" o:title=""/>
                  </v:shape>
                  <v:shape id="_x0000_s4283" type="#_x0000_t75" style="position:absolute;left:1612;top:6277;width:1218;height:358">
                    <v:imagedata r:id="rId52" o:title=""/>
                  </v:shape>
                  <v:shape id="_x0000_s4284" type="#_x0000_t75" style="position:absolute;left:3375;top:8432;width:341;height:358">
                    <v:imagedata r:id="rId53" o:title=""/>
                  </v:shape>
                  <v:group id="_x0000_s4285" style="position:absolute;left:4586;top:10698;width:3347;height:3440" coordorigin="4586,10698" coordsize="3347,3440">
                    <v:group id="Group 63" o:spid="_x0000_s4286" style="position:absolute;left:5202;top:11106;width:2145;height:1772;flip:y" coordsize="17200,14446">
                      <v:shape id="Straight Arrow Connector 192" o:spid="_x0000_s4287" type="#_x0000_t32" style="position:absolute;left:10983;top:6546;width:6217;height:7900;flip:x y;visibility:visible" o:connectortype="straight" strokeweight=".5pt">
                        <v:stroke endarrow="block" joinstyle="miter"/>
                      </v:shape>
                      <v:shape id="Straight Arrow Connector 193" o:spid="_x0000_s4288" type="#_x0000_t32" style="position:absolute;top:6546;width:6217;height:7900;flip:y;visibility:visible" o:connectortype="straight" strokeweight=".5pt">
                        <v:stroke endarrow="block" joinstyle="miter"/>
                      </v:shape>
                      <v:shape id="Arc 194" o:spid="_x0000_s4289" style="position:absolute;left:3408;width:11308;height:10550;rotation:9105719fd;visibility:visible;v-text-anchor:middle" coordsize="1130826,1055077" o:spt="100" adj="0,,0" path="m565413,nsc877682,,1130826,236187,1130826,527539r-565413,l565413,xem565413,nfc877682,,1130826,236187,1130826,527539e" filled="f" strokeweight=".5pt">
                        <v:stroke joinstyle="miter"/>
                        <v:formulas/>
                        <v:path arrowok="t" o:connecttype="custom" o:connectlocs="565413,0;1130826,527539" o:connectangles="0,0"/>
                      </v:shape>
                    </v:group>
                    <v:shape id="_x0000_s4290" type="#_x0000_t75" style="position:absolute;left:4586;top:10698;width:937;height:383">
                      <v:imagedata r:id="rId54" o:title=""/>
                    </v:shape>
                    <v:shape id="_x0000_s4291" type="#_x0000_t75" style="position:absolute;left:6911;top:10698;width:1022;height:383">
                      <v:imagedata r:id="rId55" o:title=""/>
                    </v:shape>
                    <v:group id="_x0000_s4292" style="position:absolute;left:5294;top:11576;width:2358;height:2562" coordorigin="5294,11576" coordsize="2358,2562">
                      <v:shape id="Straight Arrow Connector 198" o:spid="_x0000_s4293" type="#_x0000_t32" style="position:absolute;left:6240;top:12343;width:0;height:720;visibility:visible;mso-position-horizontal-relative:margin;mso-width-relative:margin;mso-height-relative:margin" strokeweight=".5pt">
                        <v:stroke endarrow="block" joinstyle="miter"/>
                      </v:shape>
                      <v:shape id="Straight Arrow Connector 199" o:spid="_x0000_s4294" type="#_x0000_t32" style="position:absolute;left:6451;top:12608;width:749;height:216;visibility:visible;mso-position-horizontal-relative:margin;mso-width-relative:margin;mso-height-relative:margin" strokeweight=".5pt">
                        <v:stroke endarrow="block" joinstyle="miter"/>
                      </v:shape>
                      <v:shape id="_x0000_s4295" type="#_x0000_t75" style="position:absolute;left:7216;top:12649;width:436;height:357">
                        <v:imagedata r:id="rId56" o:title=""/>
                      </v:shape>
                      <v:group id="_x0000_s4296" style="position:absolute;left:5294;top:12993;width:1838;height:1145" coordorigin="5294,12993" coordsize="1838,1145">
                        <v:shape id="Straight Arrow Connector 201" o:spid="_x0000_s4297" type="#_x0000_t32" style="position:absolute;left:6233;top:13134;width:608;height:621;visibility:visible" strokeweight=".5pt">
                          <v:stroke endarrow="block" joinstyle="miter"/>
                        </v:shape>
                        <v:group id="_x0000_s4298" style="position:absolute;left:5294;top:12993;width:1838;height:1145" coordorigin="5294,12993" coordsize="1838,1145">
                          <v:shape id="Arc 202" o:spid="_x0000_s4299" style="position:absolute;left:5945;top:12993;width:626;height:569;rotation:9061002fd;visibility:visible;mso-width-relative:margin;mso-height-relative:margin;v-text-anchor:middle" coordsize="397826,361411" o:spt="100" adj="0,,0" path="m198913,nsc308770,,397826,80905,397826,180706r-198913,l198913,xem198913,nfc308770,,397826,80905,397826,180706e" filled="f" strokeweight=".5pt">
                            <v:stroke joinstyle="miter"/>
                            <v:formulas/>
                            <v:path arrowok="t" o:connecttype="custom" o:connectlocs="198913,0;397826,180706" o:connectangles="0,0"/>
                          </v:shape>
                          <v:shape id="Straight Arrow Connector 200" o:spid="_x0000_s4300" type="#_x0000_t32" style="position:absolute;left:5623;top:13134;width:608;height:621;flip:x;visibility:visible" strokeweight=".5pt">
                            <v:stroke endarrow="block" joinstyle="miter"/>
                          </v:shape>
                          <v:shape id="_x0000_s4301" type="#_x0000_t75" style="position:absolute;left:5294;top:13782;width:663;height:356">
                            <v:imagedata r:id="rId57" o:title=""/>
                          </v:shape>
                          <v:shape id="_x0000_s4302" type="#_x0000_t75" style="position:absolute;left:6550;top:13782;width:582;height:356">
                            <v:imagedata r:id="rId58" o:title=""/>
                          </v:shape>
                          <v:shape id="_x0000_s4303" type="#_x0000_t75" style="position:absolute;left:6090;top:13189;width:283;height:363">
                            <v:imagedata r:id="rId59" o:title=""/>
                          </v:shape>
                        </v:group>
                      </v:group>
                      <v:shape id="_x0000_s4304" type="#_x0000_t75" style="position:absolute;left:5965;top:11576;width:739;height:362">
                        <v:imagedata r:id="rId60" o:title=""/>
                      </v:shape>
                    </v:group>
                  </v:group>
                </v:group>
              </v:group>
            </v:group>
            <w10:wrap type="none"/>
            <w10:anchorlock/>
          </v:group>
          <o:OLEObject Type="Embed" ProgID="Equation.DSMT4" ShapeID="_x0000_s4235" DrawAspect="Content" ObjectID="_1706015199" r:id="rId61"/>
          <o:OLEObject Type="Embed" ProgID="Equation.DSMT4" ShapeID="_x0000_s4237" DrawAspect="Content" ObjectID="_1706015200" r:id="rId62"/>
          <o:OLEObject Type="Embed" ProgID="Equation.DSMT4" ShapeID="_x0000_s4252" DrawAspect="Content" ObjectID="_1706015201" r:id="rId63"/>
          <o:OLEObject Type="Embed" ProgID="Equation.DSMT4" ShapeID="_x0000_s4253" DrawAspect="Content" ObjectID="_1706015202" r:id="rId64"/>
          <o:OLEObject Type="Embed" ProgID="Equation.DSMT4" ShapeID="_x0000_s4254" DrawAspect="Content" ObjectID="_1706015203" r:id="rId65"/>
          <o:OLEObject Type="Embed" ProgID="Equation.DSMT4" ShapeID="_x0000_s4255" DrawAspect="Content" ObjectID="_1706015204" r:id="rId66"/>
          <o:OLEObject Type="Embed" ProgID="Equation.DSMT4" ShapeID="_x0000_s4256" DrawAspect="Content" ObjectID="_1706015205" r:id="rId67"/>
          <o:OLEObject Type="Embed" ProgID="Equation.DSMT4" ShapeID="_x0000_s4257" DrawAspect="Content" ObjectID="_1706015206" r:id="rId68"/>
          <o:OLEObject Type="Embed" ProgID="Equation.DSMT4" ShapeID="_x0000_s4258" DrawAspect="Content" ObjectID="_1706015207" r:id="rId69"/>
          <o:OLEObject Type="Embed" ProgID="Equation.DSMT4" ShapeID="_x0000_s4259" DrawAspect="Content" ObjectID="_1706015208" r:id="rId70"/>
          <o:OLEObject Type="Embed" ProgID="Equation.DSMT4" ShapeID="_x0000_s4260" DrawAspect="Content" ObjectID="_1706015209" r:id="rId71"/>
          <o:OLEObject Type="Embed" ProgID="Equation.DSMT4" ShapeID="_x0000_s4261" DrawAspect="Content" ObjectID="_1706015210" r:id="rId72"/>
          <o:OLEObject Type="Embed" ProgID="Equation.DSMT4" ShapeID="_x0000_s4262" DrawAspect="Content" ObjectID="_1706015211" r:id="rId73"/>
          <o:OLEObject Type="Embed" ProgID="Equation.DSMT4" ShapeID="_x0000_s4263" DrawAspect="Content" ObjectID="_1706015212" r:id="rId74"/>
          <o:OLEObject Type="Embed" ProgID="Equation.DSMT4" ShapeID="_x0000_s4271" DrawAspect="Content" ObjectID="_1706015213" r:id="rId75"/>
          <o:OLEObject Type="Embed" ProgID="Equation.DSMT4" ShapeID="_x0000_s4272" DrawAspect="Content" ObjectID="_1706015214" r:id="rId76"/>
          <o:OLEObject Type="Embed" ProgID="Equation.DSMT4" ShapeID="_x0000_s4282" DrawAspect="Content" ObjectID="_1706015215" r:id="rId77"/>
          <o:OLEObject Type="Embed" ProgID="Equation.DSMT4" ShapeID="_x0000_s4283" DrawAspect="Content" ObjectID="_1706015216" r:id="rId78"/>
          <o:OLEObject Type="Embed" ProgID="Equation.DSMT4" ShapeID="_x0000_s4284" DrawAspect="Content" ObjectID="_1706015217" r:id="rId79"/>
          <o:OLEObject Type="Embed" ProgID="Equation.DSMT4" ShapeID="_x0000_s4290" DrawAspect="Content" ObjectID="_1706015218" r:id="rId80"/>
          <o:OLEObject Type="Embed" ProgID="Equation.DSMT4" ShapeID="_x0000_s4291" DrawAspect="Content" ObjectID="_1706015219" r:id="rId81"/>
          <o:OLEObject Type="Embed" ProgID="Equation.DSMT4" ShapeID="_x0000_s4295" DrawAspect="Content" ObjectID="_1706015220" r:id="rId82"/>
          <o:OLEObject Type="Embed" ProgID="Equation.DSMT4" ShapeID="_x0000_s4301" DrawAspect="Content" ObjectID="_1706015221" r:id="rId83"/>
          <o:OLEObject Type="Embed" ProgID="Equation.DSMT4" ShapeID="_x0000_s4302" DrawAspect="Content" ObjectID="_1706015222" r:id="rId84"/>
          <o:OLEObject Type="Embed" ProgID="Equation.DSMT4" ShapeID="_x0000_s4303" DrawAspect="Content" ObjectID="_1706015223" r:id="rId85"/>
          <o:OLEObject Type="Embed" ProgID="Equation.DSMT4" ShapeID="_x0000_s4304" DrawAspect="Content" ObjectID="_1706015224" r:id="rId86"/>
        </w:pict>
      </w:r>
    </w:p>
    <w:p w14:paraId="44BF18EC" w14:textId="037630BD" w:rsidR="000F7773" w:rsidRDefault="000F7773" w:rsidP="000F7773">
      <w:pPr>
        <w:rPr>
          <w:rFonts w:cs="Arial"/>
          <w:sz w:val="18"/>
        </w:rPr>
      </w:pPr>
      <w:r w:rsidRPr="006D0A35">
        <w:rPr>
          <w:rFonts w:cs="Arial"/>
          <w:sz w:val="18"/>
        </w:rPr>
        <w:t xml:space="preserve">Fuente: </w:t>
      </w:r>
      <w:r w:rsidRPr="006D0A35">
        <w:rPr>
          <w:rFonts w:cs="Arial"/>
          <w:sz w:val="18"/>
        </w:rPr>
        <w:fldChar w:fldCharType="begin" w:fldLock="1"/>
      </w:r>
      <w:r w:rsidR="00475856">
        <w:rPr>
          <w:rFonts w:cs="Arial"/>
          <w:sz w:val="18"/>
        </w:rPr>
        <w:instrText>ADDIN CSL_CITATION {"citationItems":[{"id":"ITEM-1","itemData":{"author":[{"dropping-particle":"","family":"McDonald","given":"Scott","non-dropping-particle":"","parse-names":false,"suffix":""},{"dropping-particle":"","family":"Thierfelder","given":"Karen","non-dropping-particle":"","parse-names":false,"suffix":""}],"id":"ITEM-1","issue":"January","issued":{"date-parts":[["2017"]]},"number-of-pages":"1-89","title":"A Static Applied General Equilibrium Model: Technical Documentation - STAGE_int Version","type":"report"},"uris":["http://www.mendeley.com/documents/?uuid=83316eb5-e8df-4029-aa83-a2c1fd511a0d"]}],"mendeley":{"formattedCitation":"(McDonald &amp; Thierfelder, 2017)","manualFormatting":"McDonald &amp; Thierfelder (2017)","plainTextFormattedCitation":"(McDonald &amp; Thierfelder, 2017)","previouslyFormattedCitation":"(McDonald &amp; Thierfelder, 2017)"},"properties":{"noteIndex":0},"schema":"https://github.com/citation-style-language/schema/raw/master/csl-citation.json"}</w:instrText>
      </w:r>
      <w:r w:rsidRPr="006D0A35">
        <w:rPr>
          <w:rFonts w:cs="Arial"/>
          <w:sz w:val="18"/>
        </w:rPr>
        <w:fldChar w:fldCharType="separate"/>
      </w:r>
      <w:r w:rsidRPr="006D0A35">
        <w:rPr>
          <w:rFonts w:cs="Arial"/>
          <w:noProof/>
          <w:sz w:val="18"/>
        </w:rPr>
        <w:t>McDonald &amp; Thierfelder (2017)</w:t>
      </w:r>
      <w:r w:rsidRPr="006D0A35">
        <w:rPr>
          <w:rFonts w:cs="Arial"/>
          <w:sz w:val="18"/>
        </w:rPr>
        <w:fldChar w:fldCharType="end"/>
      </w:r>
      <w:r w:rsidRPr="006D0A35">
        <w:rPr>
          <w:rFonts w:cs="Arial"/>
          <w:sz w:val="18"/>
        </w:rPr>
        <w:t>.</w:t>
      </w:r>
    </w:p>
    <w:p w14:paraId="1A816CDA" w14:textId="5B1CBBE1" w:rsidR="000F7773" w:rsidRDefault="000F7773" w:rsidP="00700471">
      <w:pPr>
        <w:spacing w:line="240" w:lineRule="auto"/>
        <w:rPr>
          <w:rFonts w:eastAsiaTheme="minorEastAsia" w:cs="Arial"/>
        </w:rPr>
      </w:pPr>
      <w:r>
        <w:rPr>
          <w:rFonts w:eastAsiaTheme="minorEastAsia" w:cs="Arial"/>
        </w:rPr>
        <w:lastRenderedPageBreak/>
        <w:t xml:space="preserve">La demanda total de los bienes compuestos, </w:t>
      </w:r>
      <m:oMath>
        <m:sSub>
          <m:sSubPr>
            <m:ctrlPr>
              <w:rPr>
                <w:rFonts w:ascii="Cambria Math" w:eastAsiaTheme="minorEastAsia" w:hAnsi="Cambria Math" w:cs="Arial"/>
                <w:i/>
              </w:rPr>
            </m:ctrlPr>
          </m:sSubPr>
          <m:e>
            <m:r>
              <w:rPr>
                <w:rFonts w:ascii="Cambria Math" w:eastAsiaTheme="minorEastAsia" w:hAnsi="Cambria Math" w:cs="Arial"/>
              </w:rPr>
              <m:t>QQ</m:t>
            </m:r>
          </m:e>
          <m:sub>
            <m:r>
              <w:rPr>
                <w:rFonts w:ascii="Cambria Math" w:eastAsiaTheme="minorEastAsia" w:hAnsi="Cambria Math" w:cs="Arial"/>
              </w:rPr>
              <m:t>c</m:t>
            </m:r>
          </m:sub>
        </m:sSub>
      </m:oMath>
      <w:r>
        <w:rPr>
          <w:rFonts w:eastAsiaTheme="minorEastAsia" w:cs="Arial"/>
        </w:rPr>
        <w:t xml:space="preserve">, consiste en: la demanda de bienes intermedios, </w:t>
      </w:r>
      <m:oMath>
        <m:sSub>
          <m:sSubPr>
            <m:ctrlPr>
              <w:rPr>
                <w:rFonts w:ascii="Cambria Math" w:eastAsiaTheme="minorEastAsia" w:hAnsi="Cambria Math" w:cs="Arial"/>
                <w:i/>
              </w:rPr>
            </m:ctrlPr>
          </m:sSubPr>
          <m:e>
            <m:r>
              <w:rPr>
                <w:rFonts w:ascii="Cambria Math" w:eastAsiaTheme="minorEastAsia" w:hAnsi="Cambria Math" w:cs="Arial"/>
              </w:rPr>
              <m:t>QINTD</m:t>
            </m:r>
          </m:e>
          <m:sub>
            <m:r>
              <w:rPr>
                <w:rFonts w:ascii="Cambria Math" w:eastAsiaTheme="minorEastAsia" w:hAnsi="Cambria Math" w:cs="Arial"/>
              </w:rPr>
              <m:t>c</m:t>
            </m:r>
          </m:sub>
        </m:sSub>
      </m:oMath>
      <w:r>
        <w:rPr>
          <w:rFonts w:eastAsiaTheme="minorEastAsia" w:cs="Arial"/>
        </w:rPr>
        <w:t xml:space="preserve">, consumo de los hogares, </w:t>
      </w:r>
      <m:oMath>
        <m:sSub>
          <m:sSubPr>
            <m:ctrlPr>
              <w:rPr>
                <w:rFonts w:ascii="Cambria Math" w:eastAsiaTheme="minorEastAsia" w:hAnsi="Cambria Math" w:cs="Arial"/>
                <w:i/>
              </w:rPr>
            </m:ctrlPr>
          </m:sSubPr>
          <m:e>
            <m:r>
              <w:rPr>
                <w:rFonts w:ascii="Cambria Math" w:eastAsiaTheme="minorEastAsia" w:hAnsi="Cambria Math" w:cs="Arial"/>
              </w:rPr>
              <m:t>QCD</m:t>
            </m:r>
          </m:e>
          <m:sub>
            <m:r>
              <w:rPr>
                <w:rFonts w:ascii="Cambria Math" w:eastAsiaTheme="minorEastAsia" w:hAnsi="Cambria Math" w:cs="Arial"/>
              </w:rPr>
              <m:t>c</m:t>
            </m:r>
          </m:sub>
        </m:sSub>
      </m:oMath>
      <w:r>
        <w:rPr>
          <w:rFonts w:eastAsiaTheme="minorEastAsia" w:cs="Arial"/>
        </w:rPr>
        <w:t xml:space="preserve">, empresas, </w:t>
      </w:r>
      <m:oMath>
        <m:sSub>
          <m:sSubPr>
            <m:ctrlPr>
              <w:rPr>
                <w:rFonts w:ascii="Cambria Math" w:eastAsiaTheme="minorEastAsia" w:hAnsi="Cambria Math" w:cs="Arial"/>
                <w:i/>
              </w:rPr>
            </m:ctrlPr>
          </m:sSubPr>
          <m:e>
            <m:r>
              <w:rPr>
                <w:rFonts w:ascii="Cambria Math" w:eastAsiaTheme="minorEastAsia" w:hAnsi="Cambria Math" w:cs="Arial"/>
              </w:rPr>
              <m:t>QENTD</m:t>
            </m:r>
          </m:e>
          <m:sub>
            <m:r>
              <w:rPr>
                <w:rFonts w:ascii="Cambria Math" w:eastAsiaTheme="minorEastAsia" w:hAnsi="Cambria Math" w:cs="Arial"/>
              </w:rPr>
              <m:t>c</m:t>
            </m:r>
          </m:sub>
        </m:sSub>
      </m:oMath>
      <w:r>
        <w:rPr>
          <w:rFonts w:eastAsiaTheme="minorEastAsia" w:cs="Arial"/>
        </w:rPr>
        <w:t xml:space="preserve"> y gobierno, </w:t>
      </w:r>
      <m:oMath>
        <m:sSub>
          <m:sSubPr>
            <m:ctrlPr>
              <w:rPr>
                <w:rFonts w:ascii="Cambria Math" w:eastAsiaTheme="minorEastAsia" w:hAnsi="Cambria Math" w:cs="Arial"/>
                <w:i/>
              </w:rPr>
            </m:ctrlPr>
          </m:sSubPr>
          <m:e>
            <m:r>
              <w:rPr>
                <w:rFonts w:ascii="Cambria Math" w:eastAsiaTheme="minorEastAsia" w:hAnsi="Cambria Math" w:cs="Arial"/>
              </w:rPr>
              <m:t>QGD</m:t>
            </m:r>
          </m:e>
          <m:sub>
            <m:r>
              <w:rPr>
                <w:rFonts w:ascii="Cambria Math" w:eastAsiaTheme="minorEastAsia" w:hAnsi="Cambria Math" w:cs="Arial"/>
              </w:rPr>
              <m:t>c</m:t>
            </m:r>
          </m:sub>
        </m:sSub>
      </m:oMath>
      <w:r>
        <w:rPr>
          <w:rFonts w:eastAsiaTheme="minorEastAsia" w:cs="Arial"/>
        </w:rPr>
        <w:t xml:space="preserve">, la formación bruta de capital fijo, </w:t>
      </w:r>
      <m:oMath>
        <m:sSub>
          <m:sSubPr>
            <m:ctrlPr>
              <w:rPr>
                <w:rFonts w:ascii="Cambria Math" w:eastAsiaTheme="minorEastAsia" w:hAnsi="Cambria Math" w:cs="Arial"/>
                <w:i/>
              </w:rPr>
            </m:ctrlPr>
          </m:sSubPr>
          <m:e>
            <m:r>
              <w:rPr>
                <w:rFonts w:ascii="Cambria Math" w:eastAsiaTheme="minorEastAsia" w:hAnsi="Cambria Math" w:cs="Arial"/>
              </w:rPr>
              <m:t>QINVD</m:t>
            </m:r>
          </m:e>
          <m:sub>
            <m:r>
              <w:rPr>
                <w:rFonts w:ascii="Cambria Math" w:eastAsiaTheme="minorEastAsia" w:hAnsi="Cambria Math" w:cs="Arial"/>
              </w:rPr>
              <m:t>c</m:t>
            </m:r>
          </m:sub>
        </m:sSub>
      </m:oMath>
      <w:r>
        <w:rPr>
          <w:rFonts w:eastAsiaTheme="minorEastAsia" w:cs="Arial"/>
        </w:rPr>
        <w:t xml:space="preserve">, cambios en las existencias </w:t>
      </w:r>
      <m:oMath>
        <m:sSub>
          <m:sSubPr>
            <m:ctrlPr>
              <w:rPr>
                <w:rFonts w:ascii="Cambria Math" w:eastAsiaTheme="minorEastAsia" w:hAnsi="Cambria Math" w:cs="Arial"/>
                <w:i/>
              </w:rPr>
            </m:ctrlPr>
          </m:sSubPr>
          <m:e>
            <m:r>
              <w:rPr>
                <w:rFonts w:ascii="Cambria Math" w:eastAsiaTheme="minorEastAsia" w:hAnsi="Cambria Math" w:cs="Arial"/>
              </w:rPr>
              <m:t>dstocconst</m:t>
            </m:r>
          </m:e>
          <m:sub>
            <m:r>
              <w:rPr>
                <w:rFonts w:ascii="Cambria Math" w:eastAsiaTheme="minorEastAsia" w:hAnsi="Cambria Math" w:cs="Arial"/>
              </w:rPr>
              <m:t>c</m:t>
            </m:r>
          </m:sub>
        </m:sSub>
      </m:oMath>
      <w:r>
        <w:rPr>
          <w:rFonts w:eastAsiaTheme="minorEastAsia" w:cs="Arial"/>
        </w:rPr>
        <w:t xml:space="preserve">. Los suministros de los productores nacionales, </w:t>
      </w:r>
      <m:oMath>
        <m:sSub>
          <m:sSubPr>
            <m:ctrlPr>
              <w:rPr>
                <w:rFonts w:ascii="Cambria Math" w:eastAsiaTheme="minorEastAsia" w:hAnsi="Cambria Math" w:cs="Arial"/>
                <w:i/>
              </w:rPr>
            </m:ctrlPr>
          </m:sSubPr>
          <m:e>
            <m:r>
              <w:rPr>
                <w:rFonts w:ascii="Cambria Math" w:eastAsiaTheme="minorEastAsia" w:hAnsi="Cambria Math" w:cs="Arial"/>
              </w:rPr>
              <m:t>QD</m:t>
            </m:r>
          </m:e>
          <m:sub>
            <m:r>
              <w:rPr>
                <w:rFonts w:ascii="Cambria Math" w:eastAsiaTheme="minorEastAsia" w:hAnsi="Cambria Math" w:cs="Arial"/>
              </w:rPr>
              <m:t>c</m:t>
            </m:r>
          </m:sub>
        </m:sSub>
      </m:oMath>
      <w:r>
        <w:rPr>
          <w:rFonts w:eastAsiaTheme="minorEastAsia" w:cs="Arial"/>
        </w:rPr>
        <w:t xml:space="preserve">, más las importaciones, </w:t>
      </w:r>
      <m:oMath>
        <m:sSub>
          <m:sSubPr>
            <m:ctrlPr>
              <w:rPr>
                <w:rFonts w:ascii="Cambria Math" w:eastAsiaTheme="minorEastAsia" w:hAnsi="Cambria Math" w:cs="Arial"/>
                <w:i/>
              </w:rPr>
            </m:ctrlPr>
          </m:sSubPr>
          <m:e>
            <m:r>
              <w:rPr>
                <w:rFonts w:ascii="Cambria Math" w:eastAsiaTheme="minorEastAsia" w:hAnsi="Cambria Math" w:cs="Arial"/>
              </w:rPr>
              <m:t>QM</m:t>
            </m:r>
          </m:e>
          <m:sub>
            <m:r>
              <w:rPr>
                <w:rFonts w:ascii="Cambria Math" w:eastAsiaTheme="minorEastAsia" w:hAnsi="Cambria Math" w:cs="Arial"/>
              </w:rPr>
              <m:t>c</m:t>
            </m:r>
          </m:sub>
        </m:sSub>
      </m:oMath>
      <w:r>
        <w:rPr>
          <w:rFonts w:eastAsiaTheme="minorEastAsia" w:cs="Arial"/>
        </w:rPr>
        <w:t xml:space="preserve">, satisfacen las demandas previas. La condición de equilibrio asegura que los suministros y las demandas totales para todos los bienes compuestos sean iguales. Los productos se comercializan tanto en mercado nacional como extranjero (exportación), </w:t>
      </w:r>
      <m:oMath>
        <m:sSub>
          <m:sSubPr>
            <m:ctrlPr>
              <w:rPr>
                <w:rFonts w:ascii="Cambria Math" w:eastAsiaTheme="minorEastAsia" w:hAnsi="Cambria Math" w:cs="Arial"/>
                <w:i/>
              </w:rPr>
            </m:ctrlPr>
          </m:sSubPr>
          <m:e>
            <m:r>
              <w:rPr>
                <w:rFonts w:ascii="Cambria Math" w:eastAsiaTheme="minorEastAsia" w:hAnsi="Cambria Math" w:cs="Arial"/>
              </w:rPr>
              <m:t>QE</m:t>
            </m:r>
          </m:e>
          <m:sub>
            <m:r>
              <w:rPr>
                <w:rFonts w:ascii="Cambria Math" w:eastAsiaTheme="minorEastAsia" w:hAnsi="Cambria Math" w:cs="Arial"/>
              </w:rPr>
              <m:t>c</m:t>
            </m:r>
          </m:sub>
        </m:sSub>
      </m:oMath>
      <w:r>
        <w:rPr>
          <w:rFonts w:eastAsiaTheme="minorEastAsia" w:cs="Arial"/>
        </w:rPr>
        <w:t xml:space="preserve">, sujeto al supuesto de equilibrio que requiere que toda la producción doméstica de productos básicos, </w:t>
      </w:r>
      <m:oMath>
        <m:sSub>
          <m:sSubPr>
            <m:ctrlPr>
              <w:rPr>
                <w:rFonts w:ascii="Cambria Math" w:eastAsiaTheme="minorEastAsia" w:hAnsi="Cambria Math" w:cs="Arial"/>
                <w:i/>
              </w:rPr>
            </m:ctrlPr>
          </m:sSubPr>
          <m:e>
            <m:r>
              <w:rPr>
                <w:rFonts w:ascii="Cambria Math" w:eastAsiaTheme="minorEastAsia" w:hAnsi="Cambria Math" w:cs="Arial"/>
              </w:rPr>
              <m:t>QXC</m:t>
            </m:r>
          </m:e>
          <m:sub>
            <m:r>
              <w:rPr>
                <w:rFonts w:ascii="Cambria Math" w:eastAsiaTheme="minorEastAsia" w:hAnsi="Cambria Math" w:cs="Arial"/>
              </w:rPr>
              <m:t>c</m:t>
            </m:r>
          </m:sub>
        </m:sSub>
      </m:oMath>
      <w:r>
        <w:rPr>
          <w:rFonts w:eastAsiaTheme="minorEastAsia" w:cs="Arial"/>
        </w:rPr>
        <w:t>, sea consumida nacionalmente o exportada.</w:t>
      </w:r>
    </w:p>
    <w:p w14:paraId="4A64CEE6" w14:textId="2D31CFCF" w:rsidR="008D02D1" w:rsidRDefault="00700471" w:rsidP="00700471">
      <w:pPr>
        <w:spacing w:line="240" w:lineRule="auto"/>
        <w:rPr>
          <w:rFonts w:eastAsiaTheme="minorEastAsia" w:cs="Arial"/>
        </w:rPr>
      </w:pPr>
      <w:r>
        <w:rPr>
          <w:rFonts w:eastAsiaTheme="minorEastAsia" w:cs="Arial"/>
        </w:rPr>
        <w:t>La presencia de múltiples actividades significa que los bienes producidos locamente provienen de las distintas actividades, la producción total del bien es definida como la suma de la cantidad de ese producto producido por cada actividad, de tal manera que la producción del bien producido domésticamente es agregada de la forma CES, de las diferentes actividades que componen ese bien.</w:t>
      </w:r>
    </w:p>
    <w:p w14:paraId="6AFE0287" w14:textId="77777777" w:rsidR="008D02D1" w:rsidRDefault="008D02D1">
      <w:pPr>
        <w:jc w:val="left"/>
        <w:rPr>
          <w:rFonts w:eastAsiaTheme="minorEastAsia" w:cs="Arial"/>
        </w:rPr>
      </w:pPr>
      <w:r>
        <w:rPr>
          <w:rFonts w:eastAsiaTheme="minorEastAsia" w:cs="Arial"/>
        </w:rPr>
        <w:br w:type="page"/>
      </w:r>
    </w:p>
    <w:p w14:paraId="228A8BCB" w14:textId="7499DDBD" w:rsidR="00700471" w:rsidRDefault="00700471" w:rsidP="00867255">
      <w:pPr>
        <w:spacing w:line="240" w:lineRule="auto"/>
        <w:rPr>
          <w:rFonts w:eastAsiaTheme="minorEastAsia" w:cs="Arial"/>
        </w:rPr>
      </w:pPr>
      <w:r>
        <w:rPr>
          <w:rFonts w:eastAsiaTheme="minorEastAsia" w:cs="Arial"/>
        </w:rPr>
        <w:lastRenderedPageBreak/>
        <w:t xml:space="preserve">Las relaciones de producción son definidas por funciones del tipo CES, estas se muestran en la </w:t>
      </w:r>
      <w:r w:rsidR="00A764A7">
        <w:rPr>
          <w:rFonts w:eastAsiaTheme="minorEastAsia" w:cs="Arial"/>
        </w:rPr>
        <w:fldChar w:fldCharType="begin"/>
      </w:r>
      <w:r w:rsidR="00A764A7">
        <w:rPr>
          <w:rFonts w:eastAsiaTheme="minorEastAsia" w:cs="Arial"/>
        </w:rPr>
        <w:instrText xml:space="preserve"> REF _Ref524804205 \h \* lower </w:instrText>
      </w:r>
      <w:r w:rsidR="00A764A7">
        <w:rPr>
          <w:rFonts w:eastAsiaTheme="minorEastAsia" w:cs="Arial"/>
        </w:rPr>
      </w:r>
      <w:r w:rsidR="00A764A7">
        <w:rPr>
          <w:rFonts w:eastAsiaTheme="minorEastAsia" w:cs="Arial"/>
        </w:rPr>
        <w:fldChar w:fldCharType="separate"/>
      </w:r>
      <w:r w:rsidR="00A95E32">
        <w:t xml:space="preserve">figura </w:t>
      </w:r>
      <w:r w:rsidR="00A95E32">
        <w:rPr>
          <w:noProof/>
        </w:rPr>
        <w:t>8</w:t>
      </w:r>
      <w:r w:rsidR="00A764A7">
        <w:rPr>
          <w:rFonts w:eastAsiaTheme="minorEastAsia" w:cs="Arial"/>
        </w:rPr>
        <w:fldChar w:fldCharType="end"/>
      </w:r>
      <w:r>
        <w:rPr>
          <w:rFonts w:eastAsiaTheme="minorEastAsia" w:cs="Arial"/>
        </w:rPr>
        <w:t>. Para la creación del bien final se combinan los bienes intermedios que de los cuales se forman en proporciones fijas un agregado de bienes intermedios, para la creación del valor agregado se agregan en dos etapas los factores básicos (tipos de trabajo) y estos posteriormente se agregan de forma tipo CES con los factores tierra, capital. Finalmente, a escogencia del usuario se combinan los bienes intermedios y el valor agregado, ya sea en proporciones fijas o tipo CES. La misma lógica siguen los precios, los cuales se muestran en la misma figura.</w:t>
      </w:r>
    </w:p>
    <w:p w14:paraId="2A92E042" w14:textId="5FB6AE33" w:rsidR="000F7773" w:rsidRPr="001E432E" w:rsidRDefault="000F7773" w:rsidP="001E432E">
      <w:pPr>
        <w:pStyle w:val="Caption"/>
      </w:pPr>
      <w:bookmarkStart w:id="45" w:name="_Ref525022713"/>
      <w:bookmarkStart w:id="46" w:name="_Ref524802505"/>
      <w:bookmarkStart w:id="47" w:name="_Toc524946938"/>
      <w:bookmarkStart w:id="48" w:name="_Toc2853724"/>
      <w:r>
        <w:t xml:space="preserve">Figura </w:t>
      </w:r>
      <w:r w:rsidR="00F700CF">
        <w:rPr>
          <w:noProof/>
        </w:rPr>
        <w:fldChar w:fldCharType="begin"/>
      </w:r>
      <w:r w:rsidR="00F700CF">
        <w:rPr>
          <w:noProof/>
        </w:rPr>
        <w:instrText xml:space="preserve"> SEQ Figura \* ARABIC </w:instrText>
      </w:r>
      <w:r w:rsidR="00F700CF">
        <w:rPr>
          <w:noProof/>
        </w:rPr>
        <w:fldChar w:fldCharType="separate"/>
      </w:r>
      <w:r w:rsidR="00A95E32">
        <w:rPr>
          <w:noProof/>
        </w:rPr>
        <w:t>7</w:t>
      </w:r>
      <w:r w:rsidR="00F700CF">
        <w:rPr>
          <w:noProof/>
        </w:rPr>
        <w:fldChar w:fldCharType="end"/>
      </w:r>
      <w:bookmarkEnd w:id="45"/>
      <w:r>
        <w:t xml:space="preserve"> </w:t>
      </w:r>
      <w:r>
        <w:br/>
      </w:r>
      <w:r w:rsidRPr="007048B4">
        <w:t>La relación de cantidades para el modelo STAGE</w:t>
      </w:r>
      <w:bookmarkEnd w:id="46"/>
      <w:bookmarkEnd w:id="47"/>
      <w:bookmarkEnd w:id="48"/>
    </w:p>
    <w:p w14:paraId="5FB1FEA5" w14:textId="5C8500E8" w:rsidR="000F7773" w:rsidRDefault="00FA183A" w:rsidP="00AF26FE">
      <w:pPr>
        <w:jc w:val="center"/>
        <w:rPr>
          <w:rFonts w:eastAsiaTheme="minorEastAsia" w:cs="Arial"/>
        </w:rPr>
      </w:pPr>
      <w:r>
        <w:rPr>
          <w:rFonts w:cs="Arial"/>
          <w:noProof/>
        </w:rPr>
        <w:object w:dxaOrig="1440" w:dyaOrig="1440" w14:anchorId="1B9EB976">
          <v:group id="_x0000_s3919" style="position:absolute;left:0;text-align:left;margin-left:234.2pt;margin-top:157.4pt;width:37pt;height:293pt;z-index:251662342" coordorigin="6124,7662" coordsize="740,5860">
            <v:shape id="_x0000_s3917" type="#_x0000_t75" style="position:absolute;left:6554;top:7662;width:300;height:360;mso-position-horizontal-relative:text;mso-position-vertical-relative:text">
              <v:imagedata r:id="rId87" o:title=""/>
            </v:shape>
            <v:shape id="_x0000_s3918" type="#_x0000_t75" style="position:absolute;left:6124;top:13162;width:740;height:360;mso-position-horizontal-relative:text;mso-position-vertical-relative:text">
              <v:imagedata r:id="rId88" o:title=""/>
            </v:shape>
          </v:group>
          <o:OLEObject Type="Embed" ProgID="Equation.DSMT4" ShapeID="_x0000_s3917" DrawAspect="Content" ObjectID="_1706015225" r:id="rId89"/>
          <o:OLEObject Type="Embed" ProgID="Equation.DSMT4" ShapeID="_x0000_s3918" DrawAspect="Content" ObjectID="_1706015226" r:id="rId90"/>
        </w:object>
      </w:r>
      <w:r>
        <w:rPr>
          <w:rFonts w:eastAsiaTheme="minorEastAsia" w:cs="Arial"/>
        </w:rPr>
      </w:r>
      <w:r>
        <w:rPr>
          <w:rFonts w:eastAsiaTheme="minorEastAsia" w:cs="Arial"/>
        </w:rPr>
        <w:pict w14:anchorId="0E39E60E">
          <v:group id="_x0000_s3757" style="width:413.1pt;height:494.25pt;mso-position-horizontal-relative:char;mso-position-vertical-relative:line" coordorigin="1477,1972" coordsize="8262,9885">
            <v:shape id="_x0000_s3758" type="#_x0000_t75" style="position:absolute;left:2936;top:7987;width:937;height:358">
              <v:imagedata r:id="rId50" o:title=""/>
            </v:shape>
            <v:shape id="Straight Arrow Connector 6" o:spid="_x0000_s3759" type="#_x0000_t32" style="position:absolute;left:6373;top:2146;width:0;height:2448;visibility:visible" strokeweight=".5pt">
              <v:stroke endarrow="block" joinstyle="miter"/>
            </v:shape>
            <v:group id="Group 47" o:spid="_x0000_s3760" style="position:absolute;left:4992;top:3951;width:2709;height:2275" coordsize="17200,14446">
              <v:shape id="Straight Arrow Connector 11" o:spid="_x0000_s3761" type="#_x0000_t32" style="position:absolute;left:10983;top:6546;width:6217;height:7900;flip:x y;visibility:visible" o:connectortype="straight" strokeweight=".5pt">
                <v:stroke endarrow="block" joinstyle="miter"/>
              </v:shape>
              <v:shape id="Straight Arrow Connector 12" o:spid="_x0000_s3762" type="#_x0000_t32" style="position:absolute;top:6546;width:6217;height:7900;flip:y;visibility:visible" o:connectortype="straight" strokeweight=".5pt">
                <v:stroke endarrow="block" joinstyle="miter"/>
              </v:shape>
              <v:shape id="Arc 14" o:spid="_x0000_s3763" style="position:absolute;left:3408;width:11308;height:10550;rotation:9105719fd;visibility:visible;mso-wrap-style:square;v-text-anchor:middle" coordsize="1130826,1055077" o:spt="100" adj="0,,0" path="m565413,nsc877682,,1130826,236187,1130826,527539r-565413,l565413,xem565413,nfc877682,,1130826,236187,1130826,527539e" filled="f" strokeweight=".5pt">
                <v:stroke joinstyle="miter"/>
                <v:formulas/>
                <v:path arrowok="t" o:connecttype="custom" o:connectlocs="565413,0;1130826,527539" o:connectangles="0,0"/>
              </v:shape>
            </v:group>
            <v:group id="Group 63" o:spid="_x0000_s3764" style="position:absolute;left:5055;top:10085;width:2145;height:1772;flip:y" coordsize="17200,14446">
              <v:shape id="Straight Arrow Connector 192" o:spid="_x0000_s3765" type="#_x0000_t32" style="position:absolute;left:10983;top:6546;width:6217;height:7900;flip:x y;visibility:visible" o:connectortype="straight" strokeweight=".5pt">
                <v:stroke endarrow="block" joinstyle="miter"/>
              </v:shape>
              <v:shape id="Straight Arrow Connector 193" o:spid="_x0000_s3766" type="#_x0000_t32" style="position:absolute;top:6546;width:6217;height:7900;flip:y;visibility:visible" o:connectortype="straight" strokeweight=".5pt">
                <v:stroke endarrow="block" joinstyle="miter"/>
              </v:shape>
              <v:shape id="Arc 194" o:spid="_x0000_s3767" style="position:absolute;left:3408;width:11308;height:10550;rotation:9105719fd;visibility:visible;mso-wrap-style:square;v-text-anchor:middle" coordsize="1130826,1055077" o:spt="100" adj="0,,0" path="m565413,nsc877682,,1130826,236187,1130826,527539r-565413,l565413,xem565413,nfc877682,,1130826,236187,1130826,527539e" filled="f" strokeweight=".5pt">
                <v:stroke joinstyle="miter"/>
                <v:formulas/>
                <v:path arrowok="t" o:connecttype="custom" o:connectlocs="565413,0;1130826,527539" o:connectangles="0,0"/>
              </v:shape>
            </v:group>
            <v:shape id="_x0000_s3768" type="#_x0000_t75" style="position:absolute;left:7518;top:2461;width:639;height:358">
              <v:imagedata r:id="rId91" o:title=""/>
            </v:shape>
            <v:shape id="_x0000_s3769" type="#_x0000_t75" style="position:absolute;left:5930;top:4602;width:798;height:358">
              <v:imagedata r:id="rId92" o:title=""/>
            </v:shape>
            <v:shape id="_x0000_s3770" type="#_x0000_t75" style="position:absolute;left:7506;top:3381;width:638;height:358">
              <v:imagedata r:id="rId93" o:title=""/>
            </v:shape>
            <v:shape id="_x0000_s3771" type="#_x0000_t75" style="position:absolute;left:7542;top:3819;width:2197;height:358">
              <v:imagedata r:id="rId94" o:title=""/>
            </v:shape>
            <v:shape id="_x0000_s3772" type="#_x0000_t75" style="position:absolute;left:7519;top:2908;width:625;height:358">
              <v:imagedata r:id="rId95" o:title=""/>
            </v:shape>
            <v:shape id="_x0000_s3773" type="#_x0000_t75" style="position:absolute;left:7278;top:6277;width:861;height:358">
              <v:imagedata r:id="rId96" o:title=""/>
            </v:shape>
            <v:shape id="_x0000_s3774" type="#_x0000_t75" style="position:absolute;left:4611;top:6282;width:801;height:358">
              <v:imagedata r:id="rId97" o:title=""/>
            </v:shape>
            <v:shape id="_x0000_s3775" type="#_x0000_t75" style="position:absolute;left:3186;top:7474;width:341;height:358">
              <v:imagedata r:id="rId53" o:title=""/>
            </v:shape>
            <v:shape id="_x0000_s3776" type="#_x0000_t75" style="position:absolute;left:1477;top:9702;width:940;height:383">
              <v:imagedata r:id="rId98" o:title=""/>
            </v:shape>
            <v:shape id="_x0000_s3777" type="#_x0000_t75" style="position:absolute;left:4364;top:9678;width:957;height:383">
              <v:imagedata r:id="rId99" o:title=""/>
            </v:shape>
            <v:shape id="_x0000_s3778" type="#_x0000_t75" style="position:absolute;left:6809;top:9680;width:1042;height:383">
              <v:imagedata r:id="rId100" o:title=""/>
            </v:shape>
            <v:shape id="_x0000_s3779" type="#_x0000_t75" style="position:absolute;left:5846;top:11101;width:596;height:383">
              <v:imagedata r:id="rId101" o:title=""/>
            </v:shape>
            <v:shape id="Straight Arrow Connector 6" o:spid="_x0000_s3780" type="#_x0000_t34" style="position:absolute;left:6367;top:2145;width:1152;height:1;rotation:-180;flip:x;visibility:visible" adj=",51537600,-58350" strokeweight=".5pt">
              <v:stroke endarrow="block"/>
            </v:shape>
            <v:shape id="Straight Arrow Connector 6" o:spid="_x0000_s3781" type="#_x0000_t34" style="position:absolute;left:6366;top:2626;width:1152;height:1;rotation:-180;flip:x;visibility:visible" adj=",51537600,-58350" strokeweight=".5pt">
              <v:stroke endarrow="block"/>
            </v:shape>
            <v:shape id="Straight Arrow Connector 6" o:spid="_x0000_s3782" type="#_x0000_t34" style="position:absolute;left:6372;top:3087;width:1152;height:1;rotation:-180;flip:x;visibility:visible" adj=",51537600,-58350" strokeweight=".5pt">
              <v:stroke endarrow="block"/>
            </v:shape>
            <v:shape id="Straight Arrow Connector 6" o:spid="_x0000_s3783" type="#_x0000_t34" style="position:absolute;left:6370;top:3540;width:1152;height:1;rotation:-180;flip:x;visibility:visible" adj=",51537600,-58350" strokeweight=".5pt">
              <v:stroke endarrow="block"/>
            </v:shape>
            <v:shape id="Straight Arrow Connector 6" o:spid="_x0000_s3784" type="#_x0000_t34" style="position:absolute;left:6372;top:3976;width:1152;height:1;rotation:-180;flip:x;visibility:visible" adj=",51537600,-58350" strokeweight=".5pt">
              <v:stroke endarrow="block"/>
            </v:shape>
            <v:shape id="_x0000_s3785" type="#_x0000_t75" style="position:absolute;left:7518;top:1972;width:840;height:358">
              <v:imagedata r:id="rId102" o:title=""/>
            </v:shape>
            <v:group id="_x0000_s3786" style="position:absolute;left:1987;top:7323;width:2697;height:2226" coordorigin="1987,7323" coordsize="2697,2226">
              <v:shape id="Arc 197" o:spid="_x0000_s3787" style="position:absolute;left:2542;top:7323;width:1686;height:1607;rotation:9061002fd;visibility:visible;mso-wrap-style:square;mso-width-percent:0;mso-height-percent:0;mso-wrap-distance-left:9pt;mso-wrap-distance-top:0;mso-wrap-distance-right:9pt;mso-wrap-distance-bottom:0;mso-position-horizontal-relative:text;mso-position-vertical-relative:text;mso-width-percent:0;mso-height-percent:0;mso-width-relative:margin;mso-height-relative:margin;v-text-anchor:middle" coordsize="1070881,1020756" o:spt="100" adj="0,,0" path="m535440,nsc831156,,1070881,228504,1070881,510378r-535440,c535441,340252,535440,170126,535440,xem535440,nfc831156,,1070881,228504,1070881,510378e" filled="f" strokeweight=".5pt">
                <v:stroke joinstyle="miter"/>
                <v:formulas/>
                <v:path arrowok="t" o:connecttype="custom" o:connectlocs="535440,0;1070881,510378" o:connectangles="0,0"/>
              </v:shape>
              <v:shape id="Straight Arrow Connector 195" o:spid="_x0000_s3788" type="#_x0000_t32" style="position:absolute;left:1987;top:8290;width:962;height:1244;flip:y;visibility:visible" strokeweight=".5pt">
                <v:stroke endarrow="block" joinstyle="miter"/>
              </v:shape>
              <v:shape id="Straight Arrow Connector 195" o:spid="_x0000_s3789" type="#_x0000_t32" style="position:absolute;left:3722;top:8305;width:962;height:1244;flip:x y;visibility:visible" strokeweight=".5pt">
                <v:stroke endarrow="block" joinstyle="miter"/>
              </v:shape>
            </v:group>
            <v:group id="_x0000_s3790" style="position:absolute;left:1987;top:6755;width:2697;height:2226;rotation:180" coordorigin="1987,7323" coordsize="2697,2226">
              <v:shape id="Arc 197" o:spid="_x0000_s3791" style="position:absolute;left:2542;top:7323;width:1686;height:1607;rotation:9061002fd;visibility:visible;mso-wrap-style:square;mso-width-percent:0;mso-height-percent:0;mso-wrap-distance-left:9pt;mso-wrap-distance-top:0;mso-wrap-distance-right:9pt;mso-wrap-distance-bottom:0;mso-position-horizontal-relative:text;mso-position-vertical-relative:text;mso-width-percent:0;mso-height-percent:0;mso-width-relative:margin;mso-height-relative:margin;v-text-anchor:middle" coordsize="1070881,1020756" o:spt="100" adj="0,,0" path="m535440,nsc831156,,1070881,228504,1070881,510378r-535440,c535441,340252,535440,170126,535440,xem535440,nfc831156,,1070881,228504,1070881,510378e" filled="f" strokeweight=".5pt">
                <v:stroke joinstyle="miter"/>
                <v:formulas/>
                <v:path arrowok="t" o:connecttype="custom" o:connectlocs="535440,0;1070881,510378" o:connectangles="0,0"/>
              </v:shape>
              <v:shape id="Straight Arrow Connector 195" o:spid="_x0000_s3792" type="#_x0000_t32" style="position:absolute;left:1987;top:8290;width:962;height:1244;flip:y;visibility:visible" strokeweight=".5pt">
                <v:stroke endarrow="block" joinstyle="miter"/>
              </v:shape>
              <v:shape id="Straight Arrow Connector 195" o:spid="_x0000_s3793" type="#_x0000_t32" style="position:absolute;left:3722;top:8305;width:962;height:1244;flip:x y;visibility:visible" strokeweight=".5pt">
                <v:stroke endarrow="block" joinstyle="miter"/>
              </v:shape>
            </v:group>
            <v:shape id="_x0000_s3794" type="#_x0000_t75" style="position:absolute;left:3014;top:8445;width:702;height:358">
              <v:imagedata r:id="rId103" o:title=""/>
            </v:shape>
            <v:shape id="_x0000_s3795" type="#_x0000_t75" style="position:absolute;left:1571;top:6302;width:801;height:358">
              <v:imagedata r:id="rId104" o:title=""/>
            </v:shape>
            <w10:wrap type="none"/>
            <w10:anchorlock/>
          </v:group>
          <o:OLEObject Type="Embed" ProgID="Equation.DSMT4" ShapeID="_x0000_s3758" DrawAspect="Content" ObjectID="_1706015227" r:id="rId105"/>
          <o:OLEObject Type="Embed" ProgID="Equation.DSMT4" ShapeID="_x0000_s3768" DrawAspect="Content" ObjectID="_1706015228" r:id="rId106"/>
          <o:OLEObject Type="Embed" ProgID="Equation.DSMT4" ShapeID="_x0000_s3769" DrawAspect="Content" ObjectID="_1706015229" r:id="rId107"/>
          <o:OLEObject Type="Embed" ProgID="Equation.DSMT4" ShapeID="_x0000_s3770" DrawAspect="Content" ObjectID="_1706015230" r:id="rId108"/>
          <o:OLEObject Type="Embed" ProgID="Equation.DSMT4" ShapeID="_x0000_s3771" DrawAspect="Content" ObjectID="_1706015231" r:id="rId109"/>
          <o:OLEObject Type="Embed" ProgID="Equation.DSMT4" ShapeID="_x0000_s3772" DrawAspect="Content" ObjectID="_1706015232" r:id="rId110"/>
          <o:OLEObject Type="Embed" ProgID="Equation.DSMT4" ShapeID="_x0000_s3773" DrawAspect="Content" ObjectID="_1706015233" r:id="rId111"/>
          <o:OLEObject Type="Embed" ProgID="Equation.DSMT4" ShapeID="_x0000_s3774" DrawAspect="Content" ObjectID="_1706015234" r:id="rId112"/>
          <o:OLEObject Type="Embed" ProgID="Equation.DSMT4" ShapeID="_x0000_s3775" DrawAspect="Content" ObjectID="_1706015235" r:id="rId113"/>
          <o:OLEObject Type="Embed" ProgID="Equation.DSMT4" ShapeID="_x0000_s3776" DrawAspect="Content" ObjectID="_1706015236" r:id="rId114"/>
          <o:OLEObject Type="Embed" ProgID="Equation.DSMT4" ShapeID="_x0000_s3777" DrawAspect="Content" ObjectID="_1706015237" r:id="rId115"/>
          <o:OLEObject Type="Embed" ProgID="Equation.DSMT4" ShapeID="_x0000_s3778" DrawAspect="Content" ObjectID="_1706015238" r:id="rId116"/>
          <o:OLEObject Type="Embed" ProgID="Equation.DSMT4" ShapeID="_x0000_s3779" DrawAspect="Content" ObjectID="_1706015239" r:id="rId117"/>
          <o:OLEObject Type="Embed" ProgID="Equation.DSMT4" ShapeID="_x0000_s3785" DrawAspect="Content" ObjectID="_1706015240" r:id="rId118"/>
          <o:OLEObject Type="Embed" ProgID="Equation.DSMT4" ShapeID="_x0000_s3794" DrawAspect="Content" ObjectID="_1706015241" r:id="rId119"/>
          <o:OLEObject Type="Embed" ProgID="Equation.DSMT4" ShapeID="_x0000_s3795" DrawAspect="Content" ObjectID="_1706015242" r:id="rId120"/>
        </w:pict>
      </w:r>
    </w:p>
    <w:p w14:paraId="1A343075" w14:textId="4219B77F" w:rsidR="000F7773" w:rsidRPr="00220F06" w:rsidRDefault="000F7773" w:rsidP="000F7773">
      <w:pPr>
        <w:rPr>
          <w:rFonts w:cs="Arial"/>
          <w:sz w:val="18"/>
        </w:rPr>
      </w:pPr>
      <w:r w:rsidRPr="00220F06">
        <w:rPr>
          <w:rFonts w:cs="Arial"/>
          <w:sz w:val="18"/>
        </w:rPr>
        <w:t xml:space="preserve">Fuente: </w:t>
      </w:r>
      <w:r w:rsidRPr="00220F06">
        <w:rPr>
          <w:rFonts w:cs="Arial"/>
          <w:sz w:val="18"/>
        </w:rPr>
        <w:fldChar w:fldCharType="begin" w:fldLock="1"/>
      </w:r>
      <w:r w:rsidR="00475856">
        <w:rPr>
          <w:rFonts w:cs="Arial"/>
          <w:sz w:val="18"/>
        </w:rPr>
        <w:instrText>ADDIN CSL_CITATION {"citationItems":[{"id":"ITEM-1","itemData":{"author":[{"dropping-particle":"","family":"McDonald","given":"Scott","non-dropping-particle":"","parse-names":false,"suffix":""},{"dropping-particle":"","family":"Thierfelder","given":"Karen","non-dropping-particle":"","parse-names":false,"suffix":""}],"id":"ITEM-1","issue":"January","issued":{"date-parts":[["2017"]]},"number-of-pages":"1-89","title":"A Static Applied General Equilibrium Model: Technical Documentation - STAGE_int Version","type":"report"},"uris":["http://www.mendeley.com/documents/?uuid=83316eb5-e8df-4029-aa83-a2c1fd511a0d"]}],"mendeley":{"formattedCitation":"(McDonald &amp; Thierfelder, 2017)","manualFormatting":"McDonald &amp; Thierfelder (2017)","plainTextFormattedCitation":"(McDonald &amp; Thierfelder, 2017)","previouslyFormattedCitation":"(McDonald &amp; Thierfelder, 2017)"},"properties":{"noteIndex":0},"schema":"https://github.com/citation-style-language/schema/raw/master/csl-citation.json"}</w:instrText>
      </w:r>
      <w:r w:rsidRPr="00220F06">
        <w:rPr>
          <w:rFonts w:cs="Arial"/>
          <w:sz w:val="18"/>
        </w:rPr>
        <w:fldChar w:fldCharType="separate"/>
      </w:r>
      <w:r w:rsidRPr="00220F06">
        <w:rPr>
          <w:rFonts w:cs="Arial"/>
          <w:noProof/>
          <w:sz w:val="18"/>
        </w:rPr>
        <w:t>McDonald &amp; Thierfelder (2017)</w:t>
      </w:r>
      <w:r w:rsidRPr="00220F06">
        <w:rPr>
          <w:rFonts w:cs="Arial"/>
          <w:sz w:val="18"/>
        </w:rPr>
        <w:fldChar w:fldCharType="end"/>
      </w:r>
      <w:r w:rsidRPr="00220F06">
        <w:rPr>
          <w:rFonts w:cs="Arial"/>
          <w:sz w:val="18"/>
        </w:rPr>
        <w:t>.</w:t>
      </w:r>
      <w:r w:rsidR="008C1FDF">
        <w:rPr>
          <w:rFonts w:cs="Arial"/>
          <w:sz w:val="18"/>
        </w:rPr>
        <w:t xml:space="preserve"> </w:t>
      </w:r>
    </w:p>
    <w:p w14:paraId="12C71E9E" w14:textId="5153299D" w:rsidR="000F7773" w:rsidRPr="00784A90" w:rsidRDefault="00FA183A" w:rsidP="00784A90">
      <w:pPr>
        <w:pStyle w:val="Caption"/>
      </w:pPr>
      <w:bookmarkStart w:id="49" w:name="_Ref524804205"/>
      <w:bookmarkStart w:id="50" w:name="_Ref524802779"/>
      <w:bookmarkStart w:id="51" w:name="_Toc524946939"/>
      <w:bookmarkStart w:id="52" w:name="_Toc2853725"/>
      <w:r>
        <w:rPr>
          <w:rFonts w:ascii="Times New Roman" w:hAnsi="Times New Roman"/>
          <w:sz w:val="24"/>
          <w:szCs w:val="24"/>
        </w:rPr>
        <w:lastRenderedPageBreak/>
        <w:object w:dxaOrig="1440" w:dyaOrig="1440" w14:anchorId="5A90990E">
          <v:group id="_x0000_s3796" style="position:absolute;margin-left:230.55pt;margin-top:28.4pt;width:218.15pt;height:217.7pt;z-index:251658245" coordorigin="3851,5813" coordsize="4761,4499">
            <v:group id="_x0000_s3797" style="position:absolute;left:3851;top:5813;width:4761;height:4499" coordorigin="3851,5813" coordsize="4761,4499">
              <v:shape id="_x0000_s3798" type="#_x0000_t75" style="position:absolute;left:4741;top:8252;width:202;height:278;mso-position-horizontal-relative:text;mso-position-vertical-relative:text;mso-width-relative:page;mso-height-relative:page">
                <v:imagedata r:id="rId121" o:title=""/>
              </v:shape>
              <v:shape id="_x0000_s3799" type="#_x0000_t75" style="position:absolute;left:7330;top:8177;width:379;height:360;mso-position-horizontal-relative:text;mso-position-vertical-relative:text;mso-width-relative:page;mso-height-relative:page">
                <v:imagedata r:id="rId122" o:title=""/>
              </v:shape>
              <v:shape id="_x0000_s3800" type="#_x0000_t75" style="position:absolute;left:3851;top:8859;width:620;height:360;mso-position-horizontal-relative:text;mso-position-vertical-relative:text;mso-width-relative:page;mso-height-relative:page">
                <v:imagedata r:id="rId123" o:title=""/>
              </v:shape>
              <v:shape id="_x0000_s3801" type="#_x0000_t75" style="position:absolute;left:5295;top:8860;width:638;height:360;mso-position-horizontal-relative:text;mso-position-vertical-relative:text;mso-width-relative:page;mso-height-relative:page">
                <v:imagedata r:id="rId124" o:title=""/>
              </v:shape>
              <v:shape id="_x0000_s3802" type="#_x0000_t75" style="position:absolute;left:6557;top:8822;width:580;height:379;mso-position-horizontal-relative:text;mso-position-vertical-relative:text;mso-width-relative:page;mso-height-relative:page">
                <v:imagedata r:id="rId125" o:title=""/>
              </v:shape>
              <v:shape id="_x0000_s3803" type="#_x0000_t75" style="position:absolute;left:7289;top:8827;width:542;height:379;mso-position-horizontal-relative:text;mso-position-vertical:absolute;mso-position-vertical-relative:text;mso-width-relative:page;mso-height-relative:page">
                <v:imagedata r:id="rId126" o:title=""/>
              </v:shape>
              <v:shape id="_x0000_s3804" type="#_x0000_t75" style="position:absolute;left:7992;top:8827;width:620;height:379;mso-position-horizontal-relative:text;mso-position-vertical:absolute;mso-position-vertical-relative:text;mso-width-relative:page;mso-height-relative:page">
                <v:imagedata r:id="rId127" o:title=""/>
              </v:shape>
              <v:group id="_x0000_s3805" style="position:absolute;left:4208;top:8063;width:1295;height:737" coordorigin="5483,1728" coordsize="1295,737">
                <v:shape id="_x0000_s3806" type="#_x0000_t32" style="position:absolute;left:6128;top:1732;width:650;height:733;mso-wrap-style:square;mso-wrap-distance-left:9pt;mso-wrap-distance-top:0;mso-wrap-distance-right:9pt;mso-wrap-distance-bottom:0;mso-position-horizontal-relative:text;mso-position-vertical-relative:text;mso-width-relative:page;mso-height-relative:page;mso-position-horizontal-col-start:0;mso-width-col-span:0;v-text-anchor:top" o:connectortype="straight">
                  <v:stroke endarrow="block"/>
                  <v:shadow type="perspective" color="#7f7f7f" offset="1pt" offset2="-3pt"/>
                </v:shape>
                <v:shape id="_x0000_s3807" type="#_x0000_t32" style="position:absolute;left:5483;top:1728;width:650;height:733;flip:x;mso-wrap-style:square;mso-wrap-distance-left:9pt;mso-wrap-distance-top:0;mso-wrap-distance-right:9pt;mso-wrap-distance-bottom:0;mso-position-horizontal-relative:text;mso-position-vertical-relative:text;mso-width-relative:page;mso-height-relative:page;mso-position-horizontal-col-start:0;mso-width-col-span:0;v-text-anchor:top" o:connectortype="straight">
                  <v:stroke endarrow="block"/>
                  <v:shadow type="perspective" color="#7f7f7f" offset="1pt" offset2="-3pt"/>
                </v:shape>
                <v:shapetype id="_x0000_t19" coordsize="21600,21600" o:spt="19" adj="-5898240,,,21600,21600" path="wr-21600,,21600,43200,,,21600,21600nfewr-21600,,21600,43200,,,21600,21600l,21600nsxe" filled="f">
                  <v:formulas>
                    <v:f eqn="val #2"/>
                    <v:f eqn="val #3"/>
                    <v:f eqn="val #4"/>
                  </v:formulas>
                  <v:path arrowok="t" o:extrusionok="f" gradientshapeok="t" o:connecttype="custom" o:connectlocs="0,0;21600,21600;0,21600"/>
                  <v:handles>
                    <v:h position="@2,#0" polar="@0,@1"/>
                    <v:h position="@2,#1" polar="@0,@1"/>
                  </v:handles>
                </v:shapetype>
                <v:shape id="_x0000_s3808" type="#_x0000_t19" style="position:absolute;left:5876;top:1894;width:503;height:533;rotation:-3030393fd;flip:y;mso-wrap-distance-left:9pt;mso-wrap-distance-top:0;mso-wrap-distance-right:9pt;mso-wrap-distance-bottom:0;mso-position-horizontal-relative:text;mso-position-vertical-relative:text;mso-width-relative:page;mso-height-relative:page;mso-position-horizontal-col-start:0;mso-width-col-span:0;v-text-anchor:top" filled="t">
                  <v:shadow color="#868686"/>
                  <v:textbox style="mso-next-textbox:#_x0000_s3808">
                    <w:txbxContent>
                      <w:p w14:paraId="498C3B3F" w14:textId="77777777" w:rsidR="005E1105" w:rsidRDefault="005E1105" w:rsidP="004E658F"/>
                      <w:p w14:paraId="23C9CB69" w14:textId="77777777" w:rsidR="005E1105" w:rsidRDefault="005E1105" w:rsidP="004E658F"/>
                    </w:txbxContent>
                  </v:textbox>
                </v:shape>
              </v:group>
              <v:group id="_x0000_s3809" style="position:absolute;left:6860;top:8058;width:1295;height:802" coordorigin="6885,2879" coordsize="1295,802">
                <v:group id="_x0000_s3810" style="position:absolute;left:6885;top:2879;width:1295;height:737" coordorigin="5483,1728" coordsize="1295,737">
                  <v:shape id="_x0000_s3811" type="#_x0000_t32" style="position:absolute;left:6128;top:1732;width:650;height:733;mso-wrap-style:square;mso-wrap-distance-left:9pt;mso-wrap-distance-top:0;mso-wrap-distance-right:9pt;mso-wrap-distance-bottom:0;mso-position-horizontal-relative:text;mso-position-vertical-relative:text;mso-width-relative:page;mso-height-relative:page;mso-position-horizontal-col-start:0;mso-width-col-span:0;v-text-anchor:top" o:connectortype="straight">
                    <v:stroke endarrow="block"/>
                    <v:shadow type="perspective" color="#7f7f7f" offset="1pt" offset2="-3pt"/>
                  </v:shape>
                  <v:shape id="_x0000_s3812" type="#_x0000_t32" style="position:absolute;left:5483;top:1728;width:650;height:733;flip:x;mso-wrap-style:square;mso-wrap-distance-left:9pt;mso-wrap-distance-top:0;mso-wrap-distance-right:9pt;mso-wrap-distance-bottom:0;mso-position-horizontal-relative:text;mso-position-vertical-relative:text;mso-width-relative:page;mso-height-relative:page;mso-position-horizontal-col-start:0;mso-width-col-span:0;v-text-anchor:top" o:connectortype="straight">
                    <v:stroke endarrow="block"/>
                    <v:shadow type="perspective" color="#7f7f7f" offset="1pt" offset2="-3pt"/>
                  </v:shape>
                  <v:shape id="_x0000_s3813" type="#_x0000_t19" style="position:absolute;left:5876;top:1894;width:503;height:533;rotation:-3030393fd;flip:y;mso-wrap-style:square;mso-wrap-distance-left:9pt;mso-wrap-distance-top:0;mso-wrap-distance-right:9pt;mso-wrap-distance-bottom:0;mso-position-horizontal-relative:text;mso-position-vertical-relative:text;mso-width-relative:page;mso-height-relative:page;mso-position-horizontal-col-start:0;mso-width-col-span:0;v-text-anchor:top" filled="t">
                    <v:shadow color="#868686"/>
                  </v:shape>
                </v:group>
                <v:shape id="_x0000_s3814" type="#_x0000_t32" style="position:absolute;left:7525;top:3464;width:0;height:217;mso-wrap-style:square;mso-left-percent:-10001;mso-top-percent:-10001;mso-wrap-distance-left:9pt;mso-wrap-distance-top:0;mso-wrap-distance-right:9pt;mso-wrap-distance-bottom:0;mso-position-horizontal:absolute;mso-position-horizontal-relative:text;mso-position-vertical:absolute;mso-position-vertical-relative:text;mso-left-percent:-10001;mso-top-percent:-10001;mso-width-relative:page;mso-height-relative:page;mso-position-horizontal-col-start:0;mso-width-col-span:0;v-text-anchor:top" o:connectortype="straight">
                  <v:stroke endarrow="block"/>
                  <v:shadow color="#868686"/>
                </v:shape>
              </v:group>
              <v:group id="_x0000_s3815" style="position:absolute;left:6860;top:9129;width:1295;height:802" coordorigin="6885,2879" coordsize="1295,802">
                <v:group id="_x0000_s3816" style="position:absolute;left:6885;top:2879;width:1295;height:737" coordorigin="5483,1728" coordsize="1295,737">
                  <v:shape id="_x0000_s3817" type="#_x0000_t32" style="position:absolute;left:6128;top:1732;width:650;height:733;mso-wrap-style:square;mso-wrap-distance-left:9pt;mso-wrap-distance-top:0;mso-wrap-distance-right:9pt;mso-wrap-distance-bottom:0;mso-position-horizontal-relative:text;mso-position-vertical-relative:text;mso-width-relative:page;mso-height-relative:page;mso-position-horizontal-col-start:0;mso-width-col-span:0;v-text-anchor:top" o:connectortype="straight">
                    <v:stroke endarrow="block"/>
                    <v:shadow type="perspective" color="#7f7f7f" offset="1pt" offset2="-3pt"/>
                  </v:shape>
                  <v:shape id="_x0000_s3818" type="#_x0000_t32" style="position:absolute;left:5483;top:1728;width:650;height:733;flip:x;mso-wrap-style:square;mso-wrap-distance-left:9pt;mso-wrap-distance-top:0;mso-wrap-distance-right:9pt;mso-wrap-distance-bottom:0;mso-position-horizontal-relative:text;mso-position-vertical-relative:text;mso-width-relative:page;mso-height-relative:page;mso-position-horizontal-col-start:0;mso-width-col-span:0;v-text-anchor:top" o:connectortype="straight">
                    <v:stroke endarrow="block"/>
                    <v:shadow type="perspective" color="#7f7f7f" offset="1pt" offset2="-3pt"/>
                  </v:shape>
                  <v:shape id="_x0000_s3819" type="#_x0000_t19" style="position:absolute;left:5876;top:1894;width:503;height:533;rotation:-3030393fd;flip:y;mso-wrap-style:square;mso-wrap-distance-left:9pt;mso-wrap-distance-top:0;mso-wrap-distance-right:9pt;mso-wrap-distance-bottom:0;mso-position-horizontal-relative:text;mso-position-vertical-relative:text;mso-width-relative:page;mso-height-relative:page;mso-position-horizontal-col-start:0;mso-width-col-span:0;v-text-anchor:top" filled="t">
                    <v:shadow color="#868686"/>
                  </v:shape>
                </v:group>
                <v:shape id="_x0000_s3820" type="#_x0000_t32" style="position:absolute;left:7525;top:3464;width:0;height:217;mso-wrap-style:square;mso-left-percent:-10001;mso-top-percent:-10001;mso-wrap-distance-left:9pt;mso-wrap-distance-top:0;mso-wrap-distance-right:9pt;mso-wrap-distance-bottom:0;mso-position-horizontal:absolute;mso-position-horizontal-relative:text;mso-position-vertical:absolute;mso-position-vertical-relative:text;mso-left-percent:-10001;mso-top-percent:-10001;mso-width-relative:page;mso-height-relative:page;mso-position-horizontal-col-start:0;mso-width-col-span:0;v-text-anchor:top" o:connectortype="straight">
                  <v:stroke endarrow="block"/>
                  <v:shadow color="#868686"/>
                </v:shape>
              </v:group>
              <v:shape id="_x0000_s3821" type="#_x0000_t75" style="position:absolute;left:6629;top:9933;width:600;height:379;mso-position-horizontal-relative:text;mso-position-vertical-relative:text;mso-width-relative:page;mso-height-relative:page">
                <v:imagedata r:id="rId128" o:title=""/>
              </v:shape>
              <v:shape id="_x0000_s3822" type="#_x0000_t75" style="position:absolute;left:7306;top:9929;width:623;height:379;mso-position-horizontal-relative:text;mso-position-vertical:absolute;mso-position-vertical-relative:text;mso-width-relative:page;mso-height-relative:page">
                <v:imagedata r:id="rId129" o:title=""/>
              </v:shape>
              <v:shape id="_x0000_s3823" type="#_x0000_t75" style="position:absolute;left:7928;top:9929;width:620;height:379;mso-position-horizontal-relative:text;mso-position-vertical:absolute;mso-position-vertical-relative:text;mso-width-relative:page;mso-height-relative:page">
                <v:imagedata r:id="rId130" o:title=""/>
              </v:shape>
              <v:shape id="_x0000_s3824" type="#_x0000_t75" style="position:absolute;left:7314;top:9259;width:359;height:360;mso-position-horizontal-relative:text;mso-position-vertical-relative:text;mso-width-relative:page;mso-height-relative:page">
                <v:imagedata r:id="rId131" o:title=""/>
              </v:shape>
              <v:group id="_x0000_s3825" style="position:absolute;left:4528;top:5813;width:3297;height:2323" coordorigin="4528,5813" coordsize="3297,2323">
                <v:shape id="_x0000_s3826" type="#_x0000_t75" style="position:absolute;left:4528;top:7776;width:662;height:360;mso-position-horizontal-relative:text;mso-position-vertical-relative:text;mso-width-relative:page;mso-height-relative:page">
                  <v:imagedata r:id="rId132" o:title=""/>
                </v:shape>
                <v:shape id="_x0000_s3827" type="#_x0000_t75" style="position:absolute;left:7245;top:7707;width:580;height:360;mso-position-horizontal-relative:text;mso-position-vertical-relative:text;mso-width-relative:page;mso-height-relative:page">
                  <v:imagedata r:id="rId133" o:title=""/>
                </v:shape>
                <v:group id="_x0000_s3828" style="position:absolute;left:4949;top:5813;width:2357;height:1982" coordorigin="4949,5813" coordsize="2357,1982">
                  <v:shape id="_x0000_s3829" type="#_x0000_t19" style="position:absolute;left:5775;top:6903;width:706;height:788;rotation:-3030393fd;flip:y;mso-wrap-style:square;mso-wrap-distance-left:9pt;mso-wrap-distance-top:0;mso-wrap-distance-right:9pt;mso-wrap-distance-bottom:0;mso-width-relative:page;mso-height-relative:page;mso-position-horizontal-col-start:0;mso-width-col-span:0;v-text-anchor:top" coordsize="24268,26401" adj="-6363225,841662,2668" path="wr-18932,,24268,43200,,165,23728,26401nfewr-18932,,24268,43200,,165,23728,26401l2668,21600nsxe" filled="t">
                    <v:shadow color="#868686"/>
                    <v:path o:connectlocs="0,165;23728,26401;2668,21600"/>
                  </v:shape>
                  <v:shape id="_x0000_s3830" type="#_x0000_t75" style="position:absolute;left:5921;top:5813;width:499;height:360;mso-position-horizontal-relative:text;mso-position-vertical-relative:text;mso-width-relative:page;mso-height-relative:page">
                    <v:imagedata r:id="rId134" o:title=""/>
                  </v:shape>
                  <v:shape id="_x0000_s3831" type="#_x0000_t75" style="position:absolute;left:5882;top:7087;width:543;height:360;mso-position-horizontal-relative:text;mso-position-vertical-relative:text;mso-width-relative:page;mso-height-relative:page">
                    <v:imagedata r:id="rId135" o:title=""/>
                  </v:shape>
                  <v:shape id="_x0000_s3832" type="#_x0000_t32" style="position:absolute;left:6122;top:6906;width:1184;height:800;mso-wrap-style:square;mso-wrap-distance-left:9pt;mso-wrap-distance-top:0;mso-wrap-distance-right:9pt;mso-wrap-distance-bottom:0;mso-position-horizontal-relative:text;mso-position-vertical-relative:text;mso-width-relative:page;mso-height-relative:page;mso-position-horizontal-col-start:0;mso-width-col-span:0;v-text-anchor:top" o:connectortype="straight">
                    <v:stroke endarrow="block"/>
                    <v:shadow type="perspective" color="#7f7f7f" offset="1pt" offset2="-3pt"/>
                  </v:shape>
                  <v:shape id="_x0000_s3833" type="#_x0000_t32" style="position:absolute;left:4949;top:6907;width:1181;height:888;flip:x;mso-wrap-style:square;mso-wrap-distance-left:9pt;mso-wrap-distance-top:0;mso-wrap-distance-right:9pt;mso-wrap-distance-bottom:0;mso-position-horizontal-relative:text;mso-position-vertical-relative:text;mso-width-relative:page;mso-height-relative:page;mso-position-horizontal-col-start:0;mso-width-col-span:0;v-text-anchor:top" o:connectortype="straight">
                    <v:stroke endarrow="block"/>
                    <v:shadow type="perspective" color="#7f7f7f" offset="1pt" offset2="-3pt"/>
                  </v:shape>
                  <v:shape id="_x0000_s3834" type="#_x0000_t32" style="position:absolute;left:6126;top:6122;width:0;height:738;mso-wrap-style:square;mso-wrap-distance-left:9pt;mso-wrap-distance-top:0;mso-wrap-distance-right:9pt;mso-wrap-distance-bottom:0;mso-position-horizontal-relative:text;mso-position-vertical-relative:text;mso-width-relative:page;mso-height-relative:page;mso-position-horizontal-col-start:0;mso-width-col-span:0;v-text-anchor:top" o:connectortype="straight">
                    <v:stroke endarrow="block"/>
                    <v:shadow type="perspective" color="#7f7f7f" offset="1pt" offset2="-3pt"/>
                  </v:shape>
                  <v:shape id="_x0000_s3835" type="#_x0000_t32" style="position:absolute;left:6233;top:6399;width:580;height:180;mso-wrap-style:square;mso-wrap-distance-left:9pt;mso-wrap-distance-top:0;mso-wrap-distance-right:9pt;mso-wrap-distance-bottom:0;mso-position-horizontal-relative:text;mso-position-vertical-relative:text;mso-width-relative:page;mso-height-relative:page;mso-position-horizontal-col-start:0;mso-width-col-span:0;v-text-anchor:top" o:connectortype="straight">
                    <v:stroke endarrow="block"/>
                    <v:shadow type="perspective" color="#7f7f7f" offset="1pt" offset2="-3pt"/>
                  </v:shape>
                  <v:shape id="_x0000_s3836" type="#_x0000_t75" style="position:absolute;left:6813;top:6408;width:458;height:360;mso-position-horizontal-relative:text;mso-position-vertical-relative:text;mso-width-relative:page;mso-height-relative:page">
                    <v:imagedata r:id="rId136" o:title=""/>
                  </v:shape>
                </v:group>
              </v:group>
            </v:group>
            <v:shape id="_x0000_s3837" type="#_x0000_t75" style="position:absolute;left:7322;top:8227;width:381;height:362;mso-position-horizontal-relative:text;mso-position-vertical-relative:text;mso-width-relative:page;mso-height-relative:page">
              <v:imagedata r:id="rId137" o:title=""/>
            </v:shape>
            <v:shape id="_x0000_s3838" type="#_x0000_t75" style="position:absolute;left:4746;top:8261;width:197;height:276;mso-position-horizontal-relative:text;mso-position-vertical-relative:text;mso-width-relative:page;mso-height-relative:page">
              <v:imagedata r:id="rId138" o:title=""/>
            </v:shape>
          </v:group>
          <o:OLEObject Type="Embed" ProgID="Equation.DSMT4" ShapeID="_x0000_s3798" DrawAspect="Content" ObjectID="_1706015243" r:id="rId139"/>
          <o:OLEObject Type="Embed" ProgID="Equation.DSMT4" ShapeID="_x0000_s3799" DrawAspect="Content" ObjectID="_1706015244" r:id="rId140"/>
          <o:OLEObject Type="Embed" ProgID="Equation.DSMT4" ShapeID="_x0000_s3800" DrawAspect="Content" ObjectID="_1706015245" r:id="rId141"/>
          <o:OLEObject Type="Embed" ProgID="Equation.DSMT4" ShapeID="_x0000_s3801" DrawAspect="Content" ObjectID="_1706015246" r:id="rId142"/>
          <o:OLEObject Type="Embed" ProgID="Equation.DSMT4" ShapeID="_x0000_s3802" DrawAspect="Content" ObjectID="_1706015247" r:id="rId143"/>
          <o:OLEObject Type="Embed" ProgID="Equation.DSMT4" ShapeID="_x0000_s3803" DrawAspect="Content" ObjectID="_1706015248" r:id="rId144"/>
          <o:OLEObject Type="Embed" ProgID="Equation.DSMT4" ShapeID="_x0000_s3804" DrawAspect="Content" ObjectID="_1706015249" r:id="rId145"/>
          <o:OLEObject Type="Embed" ProgID="Equation.DSMT4" ShapeID="_x0000_s3822" DrawAspect="Content" ObjectID="_1706015250" r:id="rId146"/>
          <o:OLEObject Type="Embed" ProgID="Equation.DSMT4" ShapeID="_x0000_s3823" DrawAspect="Content" ObjectID="_1706015251" r:id="rId147"/>
          <o:OLEObject Type="Embed" ProgID="Equation.DSMT4" ShapeID="_x0000_s3824" DrawAspect="Content" ObjectID="_1706015252" r:id="rId148"/>
          <o:OLEObject Type="Embed" ProgID="Equation.DSMT4" ShapeID="_x0000_s3826" DrawAspect="Content" ObjectID="_1706015253" r:id="rId149"/>
          <o:OLEObject Type="Embed" ProgID="Equation.DSMT4" ShapeID="_x0000_s3827" DrawAspect="Content" ObjectID="_1706015254" r:id="rId150"/>
          <o:OLEObject Type="Embed" ProgID="Equation.DSMT4" ShapeID="_x0000_s3830" DrawAspect="Content" ObjectID="_1706015255" r:id="rId151"/>
          <o:OLEObject Type="Embed" ProgID="Equation.DSMT4" ShapeID="_x0000_s3831" DrawAspect="Content" ObjectID="_1706015256" r:id="rId152"/>
          <o:OLEObject Type="Embed" ProgID="Equation.DSMT4" ShapeID="_x0000_s3836" DrawAspect="Content" ObjectID="_1706015257" r:id="rId153"/>
          <o:OLEObject Type="Embed" ProgID="Equation.DSMT4" ShapeID="_x0000_s3837" DrawAspect="Content" ObjectID="_1706015258" r:id="rId154"/>
          <o:OLEObject Type="Embed" ProgID="Equation.DSMT4" ShapeID="_x0000_s3838" DrawAspect="Content" ObjectID="_1706015259" r:id="rId155"/>
        </w:object>
      </w:r>
      <w:r w:rsidR="000F7773">
        <w:t xml:space="preserve">Figura </w:t>
      </w:r>
      <w:r w:rsidR="00F700CF">
        <w:rPr>
          <w:noProof/>
        </w:rPr>
        <w:fldChar w:fldCharType="begin"/>
      </w:r>
      <w:r w:rsidR="00F700CF">
        <w:rPr>
          <w:noProof/>
        </w:rPr>
        <w:instrText xml:space="preserve"> SEQ Figura \* ARABIC </w:instrText>
      </w:r>
      <w:r w:rsidR="00F700CF">
        <w:rPr>
          <w:noProof/>
        </w:rPr>
        <w:fldChar w:fldCharType="separate"/>
      </w:r>
      <w:r w:rsidR="00A95E32">
        <w:rPr>
          <w:noProof/>
        </w:rPr>
        <w:t>8</w:t>
      </w:r>
      <w:r w:rsidR="00F700CF">
        <w:rPr>
          <w:noProof/>
        </w:rPr>
        <w:fldChar w:fldCharType="end"/>
      </w:r>
      <w:bookmarkEnd w:id="49"/>
      <w:r w:rsidR="000F7773">
        <w:t xml:space="preserve"> </w:t>
      </w:r>
      <w:r w:rsidR="000F7773">
        <w:br/>
      </w:r>
      <w:r w:rsidR="000F7773" w:rsidRPr="009353B0">
        <w:t>Esquema de producción en cantidades y precios</w:t>
      </w:r>
      <w:bookmarkEnd w:id="50"/>
      <w:bookmarkEnd w:id="51"/>
      <w:bookmarkEnd w:id="52"/>
    </w:p>
    <w:p w14:paraId="7BEE50D6" w14:textId="7AB6ECF3" w:rsidR="000F7773" w:rsidRDefault="00FA183A" w:rsidP="000F7773">
      <w:pPr>
        <w:rPr>
          <w:rFonts w:eastAsiaTheme="minorEastAsia" w:cs="Arial"/>
        </w:rPr>
      </w:pPr>
      <w:r>
        <w:rPr>
          <w:rFonts w:eastAsiaTheme="minorEastAsia" w:cs="Arial"/>
        </w:rPr>
      </w:r>
      <w:r>
        <w:rPr>
          <w:rFonts w:eastAsiaTheme="minorEastAsia" w:cs="Arial"/>
        </w:rPr>
        <w:pict w14:anchorId="10F8C1D9">
          <v:group id="_x0000_s3839" style="width:244.8pt;height:186.4pt;mso-position-horizontal-relative:char;mso-position-vertical-relative:line" coordorigin="3556,1405" coordsize="5061,3728">
            <v:group id="_x0000_s3840" style="position:absolute;left:3556;top:1405;width:5061;height:3728" coordorigin="3556,1405" coordsize="5061,3728">
              <v:shape id="_x0000_s3841" type="#_x0000_t19" style="position:absolute;left:5800;top:1724;width:706;height:788;rotation:-3030393fd;flip:y" coordsize="24268,26401" adj="-6363225,841662,2668" path="wr-18932,,24268,43200,,165,23728,26401nfewr-18932,,24268,43200,,165,23728,26401l2668,21600nsxe" filled="t">
                <v:shadow color="#868686"/>
                <v:path o:connectlocs="0,165;23728,26401;2668,21600"/>
              </v:shape>
              <v:group id="_x0000_s3842" style="position:absolute;left:3556;top:1405;width:5061;height:3728" coordorigin="3556,1405" coordsize="5061,3728">
                <v:shape id="_x0000_s3843" type="#_x0000_t75" style="position:absolute;left:5951;top:1405;width:499;height:360">
                  <v:imagedata r:id="rId156" o:title=""/>
                </v:shape>
                <v:shape id="_x0000_s3844" type="#_x0000_t75" style="position:absolute;left:5907;top:1908;width:540;height:360">
                  <v:imagedata r:id="rId157" o:title=""/>
                </v:shape>
                <v:shape id="_x0000_s3845" type="#_x0000_t75" style="position:absolute;left:4553;top:2597;width:680;height:360">
                  <v:imagedata r:id="rId158" o:title=""/>
                </v:shape>
                <v:shape id="_x0000_s3846" type="#_x0000_t75" style="position:absolute;left:7270;top:2528;width:600;height:360">
                  <v:imagedata r:id="rId159" o:title=""/>
                </v:shape>
                <v:shape id="_x0000_s3847" type="#_x0000_t75" style="position:absolute;left:4756;top:3073;width:200;height:279">
                  <v:imagedata r:id="rId160" o:title=""/>
                </v:shape>
                <v:shape id="_x0000_s3848" type="#_x0000_t75" style="position:absolute;left:7355;top:2998;width:380;height:360">
                  <v:imagedata r:id="rId161" o:title=""/>
                </v:shape>
                <v:shape id="_x0000_s3849" type="#_x0000_t75" style="position:absolute;left:3556;top:3700;width:1200;height:720">
                  <v:imagedata r:id="rId162" o:title=""/>
                </v:shape>
                <v:shape id="_x0000_s3850" type="#_x0000_t75" style="position:absolute;left:4930;top:3681;width:1240;height:720">
                  <v:imagedata r:id="rId163" o:title=""/>
                </v:shape>
                <v:shape id="_x0000_s3851" type="#_x0000_t75" style="position:absolute;left:6582;top:3643;width:600;height:380">
                  <v:imagedata r:id="rId164" o:title=""/>
                </v:shape>
                <v:shape id="_x0000_s3852" type="#_x0000_t75" style="position:absolute;left:7314;top:3648;width:560;height:380">
                  <v:imagedata r:id="rId165" o:title=""/>
                </v:shape>
                <v:shape id="_x0000_s3853" type="#_x0000_t75" style="position:absolute;left:8017;top:3648;width:600;height:379">
                  <v:imagedata r:id="rId166" o:title=""/>
                </v:shape>
                <v:group id="_x0000_s3854" style="position:absolute;left:4233;top:2884;width:1295;height:737" coordorigin="5483,1728" coordsize="1295,737">
                  <v:shape id="_x0000_s3855" type="#_x0000_t32" style="position:absolute;left:6128;top:1732;width:650;height:733" o:connectortype="straight">
                    <v:stroke endarrow="block"/>
                    <v:shadow type="perspective" color="#7f7f7f" offset="1pt" offset2="-3pt"/>
                  </v:shape>
                  <v:shape id="_x0000_s3856" type="#_x0000_t32" style="position:absolute;left:5483;top:1728;width:650;height:733;flip:x" o:connectortype="straight">
                    <v:stroke endarrow="block"/>
                    <v:shadow type="perspective" color="#7f7f7f" offset="1pt" offset2="-3pt"/>
                  </v:shape>
                  <v:shape id="_x0000_s3857" type="#_x0000_t19" style="position:absolute;left:5876;top:1894;width:503;height:533;rotation:-3030393fd;flip:y" filled="t">
                    <v:shadow color="#868686"/>
                  </v:shape>
                </v:group>
                <v:shape id="_x0000_s3858" type="#_x0000_t32" style="position:absolute;left:6147;top:1727;width:1184;height:800" o:connectortype="straight" strokecolor="black [3200]">
                  <v:stroke endarrow="block"/>
                  <v:shadow type="perspective" color="#7f7f7f [1601]" offset="1pt" offset2="-3pt"/>
                </v:shape>
                <v:shape id="_x0000_s3859" type="#_x0000_t32" style="position:absolute;left:4974;top:1728;width:1181;height:888;flip:x" o:connectortype="straight">
                  <v:stroke endarrow="block"/>
                  <v:shadow type="perspective" color="#7f7f7f" offset="1pt" offset2="-3pt"/>
                </v:shape>
                <v:group id="_x0000_s3860" style="position:absolute;left:6885;top:2879;width:1295;height:802" coordorigin="6885,2879" coordsize="1295,802">
                  <v:group id="_x0000_s3861" style="position:absolute;left:6885;top:2879;width:1295;height:737" coordorigin="5483,1728" coordsize="1295,737">
                    <v:shape id="_x0000_s3862" type="#_x0000_t32" style="position:absolute;left:6128;top:1732;width:650;height:733" o:connectortype="straight">
                      <v:stroke endarrow="block"/>
                      <v:shadow type="perspective" color="#7f7f7f" offset="1pt" offset2="-3pt"/>
                    </v:shape>
                    <v:shape id="_x0000_s3863" type="#_x0000_t32" style="position:absolute;left:5483;top:1728;width:650;height:733;flip:x" o:connectortype="straight">
                      <v:stroke endarrow="block"/>
                      <v:shadow type="perspective" color="#7f7f7f" offset="1pt" offset2="-3pt"/>
                    </v:shape>
                    <v:shape id="_x0000_s3864" type="#_x0000_t19" style="position:absolute;left:5876;top:1894;width:503;height:533;rotation:-3030393fd;flip:y" filled="t">
                      <v:shadow color="#868686"/>
                    </v:shape>
                  </v:group>
                  <v:shape id="_x0000_s3865" type="#_x0000_t32" style="position:absolute;left:7525;top:3464;width:0;height:217" o:connectortype="straight" strokecolor="black [3200]">
                    <v:stroke endarrow="block"/>
                    <v:shadow color="#868686"/>
                  </v:shape>
                </v:group>
                <v:group id="_x0000_s3866" style="position:absolute;left:6885;top:3950;width:1295;height:802" coordorigin="6885,2879" coordsize="1295,802">
                  <v:group id="_x0000_s3867" style="position:absolute;left:6885;top:2879;width:1295;height:737" coordorigin="5483,1728" coordsize="1295,737">
                    <v:shape id="_x0000_s3868" type="#_x0000_t32" style="position:absolute;left:6128;top:1732;width:650;height:733" o:connectortype="straight">
                      <v:stroke endarrow="block"/>
                      <v:shadow type="perspective" color="#7f7f7f" offset="1pt" offset2="-3pt"/>
                    </v:shape>
                    <v:shape id="_x0000_s3869" type="#_x0000_t32" style="position:absolute;left:5483;top:1728;width:650;height:733;flip:x" o:connectortype="straight">
                      <v:stroke endarrow="block"/>
                      <v:shadow type="perspective" color="#7f7f7f" offset="1pt" offset2="-3pt"/>
                    </v:shape>
                    <v:shape id="_x0000_s3870" type="#_x0000_t19" style="position:absolute;left:5876;top:1894;width:503;height:533;rotation:-3030393fd;flip:y" filled="t">
                      <v:shadow color="#868686"/>
                    </v:shape>
                  </v:group>
                  <v:shape id="_x0000_s3871" type="#_x0000_t32" style="position:absolute;left:7525;top:3464;width:0;height:217" o:connectortype="straight">
                    <v:stroke endarrow="block"/>
                    <v:shadow color="#868686"/>
                  </v:shape>
                </v:group>
                <v:shape id="_x0000_s3872" type="#_x0000_t75" style="position:absolute;left:6654;top:4754;width:620;height:379">
                  <v:imagedata r:id="rId167" o:title=""/>
                </v:shape>
                <v:shape id="_x0000_s3873" type="#_x0000_t75" style="position:absolute;left:7331;top:4750;width:639;height:380">
                  <v:imagedata r:id="rId168" o:title=""/>
                </v:shape>
                <v:shape id="_x0000_s3874" type="#_x0000_t75" style="position:absolute;left:7953;top:4750;width:639;height:380">
                  <v:imagedata r:id="rId169" o:title=""/>
                </v:shape>
              </v:group>
            </v:group>
            <v:shape id="_x0000_s3875" type="#_x0000_t75" style="position:absolute;left:4772;top:3080;width:200;height:279">
              <v:imagedata r:id="rId170" o:title=""/>
            </v:shape>
            <v:shape id="_x0000_s3876" type="#_x0000_t75" style="position:absolute;left:7339;top:3042;width:380;height:360">
              <v:imagedata r:id="rId171" o:title=""/>
            </v:shape>
            <v:shape id="_x0000_s3877" type="#_x0000_t75" style="position:absolute;left:7330;top:4077;width:360;height:360">
              <v:imagedata r:id="rId172" o:title=""/>
            </v:shape>
            <w10:wrap type="none"/>
            <w10:anchorlock/>
          </v:group>
          <o:OLEObject Type="Embed" ProgID="Equation.DSMT4" ShapeID="_x0000_s3843" DrawAspect="Content" ObjectID="_1706015260" r:id="rId173"/>
          <o:OLEObject Type="Embed" ProgID="Equation.DSMT4" ShapeID="_x0000_s3844" DrawAspect="Content" ObjectID="_1706015261" r:id="rId174"/>
          <o:OLEObject Type="Embed" ProgID="Equation.DSMT4" ShapeID="_x0000_s3845" DrawAspect="Content" ObjectID="_1706015262" r:id="rId175"/>
          <o:OLEObject Type="Embed" ProgID="Equation.DSMT4" ShapeID="_x0000_s3846" DrawAspect="Content" ObjectID="_1706015263" r:id="rId176"/>
          <o:OLEObject Type="Embed" ProgID="Equation.DSMT4" ShapeID="_x0000_s3847" DrawAspect="Content" ObjectID="_1706015264" r:id="rId177"/>
          <o:OLEObject Type="Embed" ProgID="Equation.DSMT4" ShapeID="_x0000_s3848" DrawAspect="Content" ObjectID="_1706015265" r:id="rId178"/>
          <o:OLEObject Type="Embed" ProgID="Equation.DSMT4" ShapeID="_x0000_s3849" DrawAspect="Content" ObjectID="_1706015266" r:id="rId179"/>
          <o:OLEObject Type="Embed" ProgID="Equation.DSMT4" ShapeID="_x0000_s3850" DrawAspect="Content" ObjectID="_1706015267" r:id="rId180"/>
          <o:OLEObject Type="Embed" ProgID="Equation.DSMT4" ShapeID="_x0000_s3851" DrawAspect="Content" ObjectID="_1706015268" r:id="rId181"/>
          <o:OLEObject Type="Embed" ProgID="Equation.DSMT4" ShapeID="_x0000_s3852" DrawAspect="Content" ObjectID="_1706015269" r:id="rId182"/>
          <o:OLEObject Type="Embed" ProgID="Equation.DSMT4" ShapeID="_x0000_s3853" DrawAspect="Content" ObjectID="_1706015270" r:id="rId183"/>
          <o:OLEObject Type="Embed" ProgID="Equation.DSMT4" ShapeID="_x0000_s3872" DrawAspect="Content" ObjectID="_1706015271" r:id="rId184"/>
          <o:OLEObject Type="Embed" ProgID="Equation.DSMT4" ShapeID="_x0000_s3873" DrawAspect="Content" ObjectID="_1706015272" r:id="rId185"/>
          <o:OLEObject Type="Embed" ProgID="Equation.DSMT4" ShapeID="_x0000_s3874" DrawAspect="Content" ObjectID="_1706015273" r:id="rId186"/>
          <o:OLEObject Type="Embed" ProgID="Equation.DSMT4" ShapeID="_x0000_s3875" DrawAspect="Content" ObjectID="_1706015274" r:id="rId187"/>
          <o:OLEObject Type="Embed" ProgID="Equation.DSMT4" ShapeID="_x0000_s3876" DrawAspect="Content" ObjectID="_1706015275" r:id="rId188"/>
          <o:OLEObject Type="Embed" ProgID="Equation.DSMT4" ShapeID="_x0000_s3877" DrawAspect="Content" ObjectID="_1706015276" r:id="rId189"/>
        </w:pict>
      </w:r>
    </w:p>
    <w:p w14:paraId="19F29649" w14:textId="1310A369" w:rsidR="000F7773" w:rsidRDefault="000F7773" w:rsidP="000F7773">
      <w:pPr>
        <w:rPr>
          <w:rFonts w:cs="Arial"/>
          <w:sz w:val="18"/>
        </w:rPr>
      </w:pPr>
      <w:r w:rsidRPr="00220F06">
        <w:rPr>
          <w:rFonts w:cs="Arial"/>
          <w:sz w:val="18"/>
        </w:rPr>
        <w:t xml:space="preserve">Fuente: </w:t>
      </w:r>
      <w:r w:rsidRPr="00220F06">
        <w:rPr>
          <w:rFonts w:cs="Arial"/>
          <w:sz w:val="18"/>
        </w:rPr>
        <w:fldChar w:fldCharType="begin" w:fldLock="1"/>
      </w:r>
      <w:r w:rsidR="00475856">
        <w:rPr>
          <w:rFonts w:cs="Arial"/>
          <w:sz w:val="18"/>
        </w:rPr>
        <w:instrText>ADDIN CSL_CITATION {"citationItems":[{"id":"ITEM-1","itemData":{"author":[{"dropping-particle":"","family":"McDonald","given":"Scott","non-dropping-particle":"","parse-names":false,"suffix":""},{"dropping-particle":"","family":"Thierfelder","given":"Karen","non-dropping-particle":"","parse-names":false,"suffix":""}],"id":"ITEM-1","issue":"January","issued":{"date-parts":[["2017"]]},"number-of-pages":"1-89","title":"A Static Applied General Equilibrium Model: Technical Documentation - STAGE_int Version","type":"report"},"uris":["http://www.mendeley.com/documents/?uuid=83316eb5-e8df-4029-aa83-a2c1fd511a0d"]}],"mendeley":{"formattedCitation":"(McDonald &amp; Thierfelder, 2017)","manualFormatting":"McDonald &amp; Thierfelder (2017)","plainTextFormattedCitation":"(McDonald &amp; Thierfelder, 2017)","previouslyFormattedCitation":"(McDonald &amp; Thierfelder, 2017)"},"properties":{"noteIndex":0},"schema":"https://github.com/citation-style-language/schema/raw/master/csl-citation.json"}</w:instrText>
      </w:r>
      <w:r w:rsidRPr="00220F06">
        <w:rPr>
          <w:rFonts w:cs="Arial"/>
          <w:sz w:val="18"/>
        </w:rPr>
        <w:fldChar w:fldCharType="separate"/>
      </w:r>
      <w:r w:rsidRPr="00220F06">
        <w:rPr>
          <w:rFonts w:cs="Arial"/>
          <w:noProof/>
          <w:sz w:val="18"/>
        </w:rPr>
        <w:t>McDonald &amp; Thierfelder (2017)</w:t>
      </w:r>
      <w:r w:rsidRPr="00220F06">
        <w:rPr>
          <w:rFonts w:cs="Arial"/>
          <w:sz w:val="18"/>
        </w:rPr>
        <w:fldChar w:fldCharType="end"/>
      </w:r>
      <w:r w:rsidRPr="00220F06">
        <w:rPr>
          <w:rFonts w:cs="Arial"/>
          <w:sz w:val="18"/>
        </w:rPr>
        <w:t>.</w:t>
      </w:r>
    </w:p>
    <w:p w14:paraId="0059B4C9" w14:textId="0C793AFF" w:rsidR="00C71C2C" w:rsidRDefault="00C71C2C" w:rsidP="000F7773">
      <w:pPr>
        <w:rPr>
          <w:rFonts w:cs="Arial"/>
          <w:sz w:val="18"/>
        </w:rPr>
      </w:pPr>
    </w:p>
    <w:p w14:paraId="21D8F00D" w14:textId="40505947" w:rsidR="00C71C2C" w:rsidRDefault="00C71C2C" w:rsidP="000F7773">
      <w:pPr>
        <w:rPr>
          <w:rFonts w:cs="Arial"/>
          <w:sz w:val="18"/>
        </w:rPr>
      </w:pPr>
    </w:p>
    <w:p w14:paraId="657DC525" w14:textId="000E8445" w:rsidR="00C71C2C" w:rsidRDefault="00C71C2C" w:rsidP="000F7773">
      <w:pPr>
        <w:rPr>
          <w:rFonts w:cs="Arial"/>
          <w:sz w:val="18"/>
        </w:rPr>
      </w:pPr>
    </w:p>
    <w:p w14:paraId="47F50489" w14:textId="7F4804FF" w:rsidR="00C71C2C" w:rsidRDefault="00C71C2C" w:rsidP="000F7773">
      <w:pPr>
        <w:rPr>
          <w:rFonts w:cs="Arial"/>
          <w:sz w:val="18"/>
        </w:rPr>
      </w:pPr>
    </w:p>
    <w:p w14:paraId="08F4A0CD" w14:textId="3FF5F885" w:rsidR="00C71C2C" w:rsidRDefault="00C71C2C" w:rsidP="000F7773">
      <w:pPr>
        <w:rPr>
          <w:rFonts w:cs="Arial"/>
          <w:sz w:val="18"/>
        </w:rPr>
      </w:pPr>
    </w:p>
    <w:p w14:paraId="5A4BDE0E" w14:textId="256716B5" w:rsidR="00C71C2C" w:rsidRDefault="00C71C2C" w:rsidP="000F7773">
      <w:pPr>
        <w:rPr>
          <w:rFonts w:cs="Arial"/>
          <w:sz w:val="18"/>
        </w:rPr>
      </w:pPr>
    </w:p>
    <w:p w14:paraId="7EDED905" w14:textId="72A4BE94" w:rsidR="00C71C2C" w:rsidRDefault="00C71C2C" w:rsidP="000F7773">
      <w:pPr>
        <w:rPr>
          <w:rFonts w:cs="Arial"/>
          <w:sz w:val="18"/>
        </w:rPr>
      </w:pPr>
    </w:p>
    <w:p w14:paraId="35302F07" w14:textId="62E44E7E" w:rsidR="00C71C2C" w:rsidRDefault="00C71C2C" w:rsidP="000F7773">
      <w:pPr>
        <w:rPr>
          <w:rFonts w:cs="Arial"/>
          <w:sz w:val="18"/>
        </w:rPr>
      </w:pPr>
    </w:p>
    <w:p w14:paraId="6BA42C0F" w14:textId="0AC8B31E" w:rsidR="00C71C2C" w:rsidRDefault="00C71C2C" w:rsidP="000F7773">
      <w:pPr>
        <w:rPr>
          <w:rFonts w:cs="Arial"/>
          <w:sz w:val="18"/>
        </w:rPr>
      </w:pPr>
    </w:p>
    <w:p w14:paraId="508C3E05" w14:textId="0C58C70D" w:rsidR="00C71C2C" w:rsidRDefault="00C71C2C" w:rsidP="000F7773">
      <w:pPr>
        <w:rPr>
          <w:rFonts w:cs="Arial"/>
          <w:sz w:val="18"/>
        </w:rPr>
      </w:pPr>
    </w:p>
    <w:p w14:paraId="44D8EF1A" w14:textId="7F8A03EA" w:rsidR="00C71C2C" w:rsidRDefault="00C71C2C" w:rsidP="000F7773">
      <w:pPr>
        <w:rPr>
          <w:rFonts w:cs="Arial"/>
          <w:sz w:val="18"/>
        </w:rPr>
      </w:pPr>
    </w:p>
    <w:p w14:paraId="6CC53000" w14:textId="6F3D1380" w:rsidR="00C71C2C" w:rsidRDefault="00C71C2C" w:rsidP="000F7773">
      <w:pPr>
        <w:rPr>
          <w:rFonts w:cs="Arial"/>
          <w:sz w:val="18"/>
        </w:rPr>
      </w:pPr>
    </w:p>
    <w:p w14:paraId="15221541" w14:textId="0EA4D0CB" w:rsidR="00C71C2C" w:rsidRDefault="00C71C2C" w:rsidP="000F7773">
      <w:pPr>
        <w:rPr>
          <w:rFonts w:cs="Arial"/>
          <w:sz w:val="18"/>
        </w:rPr>
      </w:pPr>
    </w:p>
    <w:p w14:paraId="63EAB6A3" w14:textId="77777777" w:rsidR="00C71C2C" w:rsidRPr="00700471" w:rsidRDefault="00C71C2C" w:rsidP="000F7773">
      <w:pPr>
        <w:rPr>
          <w:rFonts w:cs="Arial"/>
          <w:sz w:val="18"/>
        </w:rPr>
      </w:pPr>
    </w:p>
    <w:p w14:paraId="0A7C28D2" w14:textId="5DEC5DD7" w:rsidR="000F7773" w:rsidRDefault="00700471" w:rsidP="00700471">
      <w:pPr>
        <w:pStyle w:val="Heading2"/>
      </w:pPr>
      <w:bookmarkStart w:id="53" w:name="_Toc2853755"/>
      <w:r>
        <w:lastRenderedPageBreak/>
        <w:t>2.</w:t>
      </w:r>
      <w:r w:rsidR="001F1581">
        <w:t>5</w:t>
      </w:r>
      <w:r>
        <w:t xml:space="preserve"> </w:t>
      </w:r>
      <w:r w:rsidR="000F7773">
        <w:t>Ecuaciones</w:t>
      </w:r>
      <w:bookmarkEnd w:id="53"/>
      <w:r w:rsidR="000F7773">
        <w:t xml:space="preserve"> </w:t>
      </w:r>
    </w:p>
    <w:p w14:paraId="6728796E" w14:textId="301EADF7" w:rsidR="008D02D1" w:rsidRDefault="000F7773" w:rsidP="00700471">
      <w:pPr>
        <w:spacing w:line="240" w:lineRule="auto"/>
        <w:rPr>
          <w:rFonts w:eastAsiaTheme="minorEastAsia" w:cs="Arial"/>
        </w:rPr>
      </w:pPr>
      <w:r>
        <w:rPr>
          <w:rFonts w:eastAsiaTheme="minorEastAsia" w:cs="Arial"/>
        </w:rPr>
        <w:t xml:space="preserve">El bloque de comercio usa los supuestos de substitutos imperfectos de Armington entre productos domésticos y externos. El </w:t>
      </w:r>
      <w:r w:rsidR="00E859F1">
        <w:rPr>
          <w:rFonts w:eastAsiaTheme="minorEastAsia" w:cs="Arial"/>
        </w:rPr>
        <w:t xml:space="preserve">bloque de </w:t>
      </w:r>
      <w:r>
        <w:rPr>
          <w:rFonts w:eastAsiaTheme="minorEastAsia" w:cs="Arial"/>
        </w:rPr>
        <w:t>exportación aparece en la</w:t>
      </w:r>
      <w:r w:rsidR="00A764A7">
        <w:rPr>
          <w:rFonts w:eastAsiaTheme="minorEastAsia" w:cs="Arial"/>
          <w:sz w:val="28"/>
        </w:rPr>
        <w:t xml:space="preserve"> </w:t>
      </w:r>
      <w:r w:rsidR="00A764A7">
        <w:rPr>
          <w:rFonts w:eastAsiaTheme="minorEastAsia" w:cs="Arial"/>
          <w:sz w:val="28"/>
        </w:rPr>
        <w:fldChar w:fldCharType="begin"/>
      </w:r>
      <w:r w:rsidR="00A764A7">
        <w:rPr>
          <w:rFonts w:eastAsiaTheme="minorEastAsia" w:cs="Arial"/>
          <w:sz w:val="28"/>
        </w:rPr>
        <w:instrText xml:space="preserve"> REF _Ref524986486 \h \* lower </w:instrText>
      </w:r>
      <w:r w:rsidR="00A764A7">
        <w:rPr>
          <w:rFonts w:eastAsiaTheme="minorEastAsia" w:cs="Arial"/>
          <w:sz w:val="28"/>
        </w:rPr>
      </w:r>
      <w:r w:rsidR="00A764A7">
        <w:rPr>
          <w:rFonts w:eastAsiaTheme="minorEastAsia" w:cs="Arial"/>
          <w:sz w:val="28"/>
        </w:rPr>
        <w:fldChar w:fldCharType="separate"/>
      </w:r>
      <w:r w:rsidR="00A95E32">
        <w:t xml:space="preserve">tabla </w:t>
      </w:r>
      <w:r w:rsidR="00A95E32">
        <w:rPr>
          <w:noProof/>
        </w:rPr>
        <w:t>2</w:t>
      </w:r>
      <w:r w:rsidR="00A764A7">
        <w:rPr>
          <w:rFonts w:eastAsiaTheme="minorEastAsia" w:cs="Arial"/>
          <w:sz w:val="28"/>
        </w:rPr>
        <w:fldChar w:fldCharType="end"/>
      </w:r>
      <w:r>
        <w:rPr>
          <w:rFonts w:eastAsiaTheme="minorEastAsia" w:cs="Arial"/>
        </w:rPr>
        <w:t xml:space="preserve">, donde primeramente se define el precio de exportación como el producto del precio internacional de las exportaciones, el tipo de cambio, y el impuesto a las exportaciones. La producción local de bienes es definida como la combinación de la demanda doméstica, pero de la forma CET y la razón exportaciones y demanda doméstica como la condición de primer orden de esta función. </w:t>
      </w:r>
    </w:p>
    <w:p w14:paraId="4366614A" w14:textId="16C76BB2" w:rsidR="000F7773" w:rsidRPr="00700471" w:rsidRDefault="000F7773" w:rsidP="00700471">
      <w:pPr>
        <w:spacing w:line="240" w:lineRule="auto"/>
        <w:rPr>
          <w:rFonts w:ascii="Times New Roman" w:hAnsi="Times New Roman"/>
          <w:noProof/>
          <w:sz w:val="22"/>
        </w:rPr>
      </w:pPr>
      <w:r>
        <w:rPr>
          <w:rFonts w:eastAsiaTheme="minorEastAsia" w:cs="Arial"/>
        </w:rPr>
        <w:t xml:space="preserve">La ecuación EDEMAND corresponde al caso donde los bienes se producen localmente pero no son exportados. La producción local es igual a la suma de la demanda </w:t>
      </w:r>
      <w:r w:rsidR="00700471">
        <w:rPr>
          <w:rFonts w:eastAsiaTheme="minorEastAsia" w:cs="Arial"/>
        </w:rPr>
        <w:t>doméstica</w:t>
      </w:r>
      <w:r>
        <w:rPr>
          <w:rFonts w:eastAsiaTheme="minorEastAsia" w:cs="Arial"/>
        </w:rPr>
        <w:t xml:space="preserve"> y los bienes exportados. Se asume el supuesto de economía pequeña, es decir, es tomadora de precios.</w:t>
      </w:r>
      <w:bookmarkStart w:id="54" w:name="_Ref524786885"/>
      <w:bookmarkStart w:id="55" w:name="_Toc524787201"/>
    </w:p>
    <w:p w14:paraId="49AF1E36" w14:textId="44794B2C" w:rsidR="000F7773" w:rsidRPr="00C636D5" w:rsidRDefault="000F7773" w:rsidP="000F7773">
      <w:pPr>
        <w:pStyle w:val="Caption"/>
      </w:pPr>
      <w:bookmarkStart w:id="56" w:name="_Ref524986486"/>
      <w:bookmarkStart w:id="57" w:name="_Ref524802904"/>
      <w:bookmarkStart w:id="58" w:name="_Toc524946940"/>
      <w:bookmarkStart w:id="59" w:name="_Toc525033944"/>
      <w:bookmarkStart w:id="60" w:name="_Toc526175245"/>
      <w:bookmarkStart w:id="61" w:name="_Toc2853692"/>
      <w:bookmarkEnd w:id="54"/>
      <w:bookmarkEnd w:id="55"/>
      <w:r>
        <w:t xml:space="preserve">Tabla </w:t>
      </w:r>
      <w:r w:rsidR="00F700CF">
        <w:rPr>
          <w:noProof/>
        </w:rPr>
        <w:fldChar w:fldCharType="begin"/>
      </w:r>
      <w:r w:rsidR="00F700CF">
        <w:rPr>
          <w:noProof/>
        </w:rPr>
        <w:instrText xml:space="preserve"> SEQ Tabla \* ARABIC </w:instrText>
      </w:r>
      <w:r w:rsidR="00F700CF">
        <w:rPr>
          <w:noProof/>
        </w:rPr>
        <w:fldChar w:fldCharType="separate"/>
      </w:r>
      <w:r w:rsidR="00A95E32">
        <w:rPr>
          <w:noProof/>
        </w:rPr>
        <w:t>2</w:t>
      </w:r>
      <w:r w:rsidR="00F700CF">
        <w:rPr>
          <w:noProof/>
        </w:rPr>
        <w:fldChar w:fldCharType="end"/>
      </w:r>
      <w:bookmarkEnd w:id="56"/>
      <w:r>
        <w:t xml:space="preserve"> </w:t>
      </w:r>
      <w:r>
        <w:br/>
      </w:r>
      <w:r w:rsidRPr="001D4EF2">
        <w:t>Bloque de exportación</w:t>
      </w:r>
      <w:bookmarkEnd w:id="57"/>
      <w:bookmarkEnd w:id="58"/>
      <w:bookmarkEnd w:id="59"/>
      <w:bookmarkEnd w:id="60"/>
      <w:bookmarkEnd w:id="61"/>
    </w:p>
    <w:tbl>
      <w:tblPr>
        <w:tblStyle w:val="TableGrid"/>
        <w:tblW w:w="90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290"/>
        <w:gridCol w:w="5100"/>
        <w:gridCol w:w="1440"/>
        <w:gridCol w:w="180"/>
        <w:gridCol w:w="1016"/>
      </w:tblGrid>
      <w:tr w:rsidR="0082322C" w14:paraId="3C2B0BA4" w14:textId="77777777" w:rsidTr="0015577F">
        <w:trPr>
          <w:trHeight w:val="565"/>
        </w:trPr>
        <w:tc>
          <w:tcPr>
            <w:tcW w:w="1290" w:type="dxa"/>
            <w:tcBorders>
              <w:bottom w:val="single" w:sz="4" w:space="0" w:color="auto"/>
              <w:right w:val="single" w:sz="4" w:space="0" w:color="auto"/>
            </w:tcBorders>
          </w:tcPr>
          <w:p w14:paraId="5E26DEA6" w14:textId="77777777" w:rsidR="000F7773" w:rsidRPr="0082322C" w:rsidRDefault="000F7773" w:rsidP="00DB0816">
            <w:pPr>
              <w:rPr>
                <w:rFonts w:ascii="Arial" w:eastAsiaTheme="minorEastAsia" w:cs="Arial"/>
                <w:sz w:val="22"/>
              </w:rPr>
            </w:pPr>
            <w:r w:rsidRPr="0082322C">
              <w:rPr>
                <w:rFonts w:ascii="Arial" w:eastAsiaTheme="minorEastAsia" w:cs="Arial"/>
                <w:sz w:val="22"/>
              </w:rPr>
              <w:t>Nombre</w:t>
            </w:r>
          </w:p>
        </w:tc>
        <w:tc>
          <w:tcPr>
            <w:tcW w:w="5100" w:type="dxa"/>
            <w:tcBorders>
              <w:left w:val="single" w:sz="4" w:space="0" w:color="auto"/>
              <w:bottom w:val="single" w:sz="4" w:space="0" w:color="auto"/>
            </w:tcBorders>
          </w:tcPr>
          <w:p w14:paraId="143868C3" w14:textId="77777777" w:rsidR="000F7773" w:rsidRPr="0082322C" w:rsidRDefault="000F7773" w:rsidP="00DB0816">
            <w:pPr>
              <w:rPr>
                <w:rFonts w:ascii="Arial" w:eastAsiaTheme="minorEastAsia" w:cs="Arial"/>
                <w:sz w:val="22"/>
              </w:rPr>
            </w:pPr>
            <w:r w:rsidRPr="0082322C">
              <w:rPr>
                <w:rFonts w:ascii="Arial" w:eastAsiaTheme="minorEastAsia" w:cs="Arial"/>
                <w:sz w:val="22"/>
              </w:rPr>
              <w:t xml:space="preserve">Ecuación </w:t>
            </w:r>
          </w:p>
        </w:tc>
        <w:tc>
          <w:tcPr>
            <w:tcW w:w="1440" w:type="dxa"/>
            <w:tcBorders>
              <w:bottom w:val="single" w:sz="4" w:space="0" w:color="auto"/>
            </w:tcBorders>
          </w:tcPr>
          <w:p w14:paraId="5317CE3D" w14:textId="77777777" w:rsidR="000F7773" w:rsidRPr="0082322C" w:rsidRDefault="000F7773" w:rsidP="00DB0816">
            <w:pPr>
              <w:rPr>
                <w:rFonts w:ascii="Arial" w:eastAsiaTheme="minorEastAsia" w:cs="Arial"/>
                <w:sz w:val="22"/>
              </w:rPr>
            </w:pPr>
            <w:r w:rsidRPr="0082322C">
              <w:rPr>
                <w:rFonts w:ascii="Arial" w:eastAsiaTheme="minorEastAsia" w:cs="Arial"/>
                <w:sz w:val="22"/>
              </w:rPr>
              <w:t>Ecuaciones</w:t>
            </w:r>
          </w:p>
        </w:tc>
        <w:tc>
          <w:tcPr>
            <w:tcW w:w="1196" w:type="dxa"/>
            <w:gridSpan w:val="2"/>
            <w:tcBorders>
              <w:bottom w:val="single" w:sz="4" w:space="0" w:color="auto"/>
            </w:tcBorders>
          </w:tcPr>
          <w:p w14:paraId="534FEC5A" w14:textId="77777777" w:rsidR="000F7773" w:rsidRPr="0082322C" w:rsidRDefault="000F7773" w:rsidP="00DB0816">
            <w:pPr>
              <w:rPr>
                <w:rFonts w:ascii="Arial" w:eastAsiaTheme="minorEastAsia" w:cs="Arial"/>
                <w:sz w:val="22"/>
              </w:rPr>
            </w:pPr>
            <w:r w:rsidRPr="0082322C">
              <w:rPr>
                <w:rFonts w:ascii="Arial" w:eastAsiaTheme="minorEastAsia" w:cs="Arial"/>
                <w:sz w:val="22"/>
              </w:rPr>
              <w:t>Variables</w:t>
            </w:r>
          </w:p>
        </w:tc>
      </w:tr>
      <w:tr w:rsidR="0082322C" w14:paraId="1036AE73" w14:textId="77777777" w:rsidTr="0015577F">
        <w:trPr>
          <w:trHeight w:val="501"/>
        </w:trPr>
        <w:tc>
          <w:tcPr>
            <w:tcW w:w="1290" w:type="dxa"/>
            <w:tcBorders>
              <w:top w:val="single" w:sz="4" w:space="0" w:color="auto"/>
              <w:right w:val="single" w:sz="4" w:space="0" w:color="auto"/>
            </w:tcBorders>
          </w:tcPr>
          <w:p w14:paraId="5A6A6F57" w14:textId="77777777" w:rsidR="000F7773" w:rsidRDefault="000F7773" w:rsidP="00DB0816">
            <w:pPr>
              <w:rPr>
                <w:rFonts w:eastAsiaTheme="minorEastAsia" w:cs="Arial"/>
              </w:rPr>
            </w:pPr>
            <w:r w:rsidRPr="00950C8C">
              <w:rPr>
                <w:rFonts w:ascii="Arial" w:eastAsiaTheme="minorEastAsia" w:cs="Arial"/>
                <w:position w:val="-12"/>
                <w:lang w:eastAsia="es-ES"/>
              </w:rPr>
              <w:object w:dxaOrig="880" w:dyaOrig="360" w14:anchorId="23DB441B">
                <v:shape id="_x0000_i1111" type="#_x0000_t75" style="width:41.25pt;height:20.25pt" o:ole="">
                  <v:imagedata r:id="rId190" o:title=""/>
                </v:shape>
                <o:OLEObject Type="Embed" ProgID="Equation.DSMT4" ShapeID="_x0000_i1111" DrawAspect="Content" ObjectID="_1706014792" r:id="rId191"/>
              </w:object>
            </w:r>
            <w:r>
              <w:rPr>
                <w:rFonts w:eastAsiaTheme="minorEastAsia" w:cs="Arial"/>
              </w:rPr>
              <w:t xml:space="preserve"> </w:t>
            </w:r>
          </w:p>
        </w:tc>
        <w:tc>
          <w:tcPr>
            <w:tcW w:w="5100" w:type="dxa"/>
            <w:tcBorders>
              <w:top w:val="single" w:sz="4" w:space="0" w:color="auto"/>
              <w:left w:val="single" w:sz="4" w:space="0" w:color="auto"/>
            </w:tcBorders>
          </w:tcPr>
          <w:p w14:paraId="403E3180" w14:textId="77777777" w:rsidR="000F7773" w:rsidRPr="007704AF" w:rsidRDefault="000F7773" w:rsidP="00DB0816">
            <w:pPr>
              <w:rPr>
                <w:rFonts w:eastAsiaTheme="minorEastAsia" w:cs="Arial"/>
                <w:lang w:val="en-US"/>
              </w:rPr>
            </w:pPr>
            <w:r w:rsidRPr="00DA15FA">
              <w:rPr>
                <w:rFonts w:ascii="Arial" w:eastAsiaTheme="minorEastAsia" w:cs="Arial"/>
                <w:position w:val="-12"/>
                <w:lang w:eastAsia="es-ES"/>
              </w:rPr>
              <w:object w:dxaOrig="3340" w:dyaOrig="420" w14:anchorId="2DD07396">
                <v:shape id="_x0000_i1112" type="#_x0000_t75" style="width:164.25pt;height:20.25pt" o:ole="">
                  <v:imagedata r:id="rId192" o:title=""/>
                </v:shape>
                <o:OLEObject Type="Embed" ProgID="Equation.DSMT4" ShapeID="_x0000_i1112" DrawAspect="Content" ObjectID="_1706014793" r:id="rId193"/>
              </w:object>
            </w:r>
            <w:r>
              <w:rPr>
                <w:rFonts w:eastAsiaTheme="minorEastAsia" w:cs="Arial"/>
              </w:rPr>
              <w:t xml:space="preserve"> </w:t>
            </w:r>
          </w:p>
        </w:tc>
        <w:tc>
          <w:tcPr>
            <w:tcW w:w="1620" w:type="dxa"/>
            <w:gridSpan w:val="2"/>
            <w:tcBorders>
              <w:top w:val="single" w:sz="4" w:space="0" w:color="auto"/>
            </w:tcBorders>
          </w:tcPr>
          <w:p w14:paraId="2CFDCD9F" w14:textId="0C202BAA" w:rsidR="000F7773" w:rsidRDefault="004310F5" w:rsidP="001F394D">
            <w:pPr>
              <w:jc w:val="center"/>
              <w:rPr>
                <w:rFonts w:eastAsiaTheme="minorEastAsia" w:cs="Arial"/>
              </w:rPr>
            </w:pPr>
            <w:r w:rsidRPr="004310F5">
              <w:rPr>
                <w:rFonts w:ascii="Arial" w:eastAsiaTheme="minorEastAsia" w:cs="Arial"/>
                <w:position w:val="-6"/>
                <w:lang w:eastAsia="es-ES"/>
              </w:rPr>
              <w:object w:dxaOrig="279" w:dyaOrig="220" w14:anchorId="2990059C">
                <v:shape id="_x0000_i1113" type="#_x0000_t75" style="width:15.75pt;height:10.5pt" o:ole="">
                  <v:imagedata r:id="rId194" o:title=""/>
                </v:shape>
                <o:OLEObject Type="Embed" ProgID="Equation.DSMT4" ShapeID="_x0000_i1113" DrawAspect="Content" ObjectID="_1706014794" r:id="rId195"/>
              </w:object>
            </w:r>
            <w:r>
              <w:rPr>
                <w:rFonts w:ascii="Arial" w:eastAsiaTheme="minorEastAsia" w:cs="Arial"/>
                <w:lang w:eastAsia="es-ES"/>
              </w:rPr>
              <w:t xml:space="preserve"> </w:t>
            </w:r>
          </w:p>
        </w:tc>
        <w:tc>
          <w:tcPr>
            <w:tcW w:w="1016" w:type="dxa"/>
            <w:tcBorders>
              <w:top w:val="single" w:sz="4" w:space="0" w:color="auto"/>
            </w:tcBorders>
          </w:tcPr>
          <w:p w14:paraId="1FC6299A" w14:textId="77777777" w:rsidR="000F7773" w:rsidRDefault="000F7773" w:rsidP="00DB0816">
            <w:pPr>
              <w:rPr>
                <w:rFonts w:eastAsiaTheme="minorEastAsia" w:cs="Arial"/>
              </w:rPr>
            </w:pPr>
            <w:r w:rsidRPr="007E493E">
              <w:rPr>
                <w:rFonts w:ascii="Arial" w:eastAsiaTheme="minorEastAsia" w:cs="Arial"/>
                <w:position w:val="-12"/>
                <w:lang w:eastAsia="es-ES"/>
              </w:rPr>
              <w:object w:dxaOrig="440" w:dyaOrig="360" w14:anchorId="5D2C9DC0">
                <v:shape id="_x0000_i1114" type="#_x0000_t75" style="width:20.25pt;height:20.25pt" o:ole="">
                  <v:imagedata r:id="rId196" o:title=""/>
                </v:shape>
                <o:OLEObject Type="Embed" ProgID="Equation.DSMT4" ShapeID="_x0000_i1114" DrawAspect="Content" ObjectID="_1706014795" r:id="rId197"/>
              </w:object>
            </w:r>
            <w:r>
              <w:rPr>
                <w:rFonts w:eastAsiaTheme="minorEastAsia" w:cs="Arial"/>
              </w:rPr>
              <w:t xml:space="preserve"> </w:t>
            </w:r>
          </w:p>
        </w:tc>
      </w:tr>
      <w:tr w:rsidR="0082322C" w14:paraId="46C9F376" w14:textId="77777777" w:rsidTr="0015577F">
        <w:trPr>
          <w:trHeight w:val="626"/>
        </w:trPr>
        <w:tc>
          <w:tcPr>
            <w:tcW w:w="1290" w:type="dxa"/>
            <w:tcBorders>
              <w:right w:val="single" w:sz="4" w:space="0" w:color="auto"/>
            </w:tcBorders>
          </w:tcPr>
          <w:p w14:paraId="1CCF196B" w14:textId="77777777" w:rsidR="000F7773" w:rsidRDefault="000F7773" w:rsidP="00DB0816">
            <w:pPr>
              <w:rPr>
                <w:rFonts w:eastAsiaTheme="minorEastAsia" w:cs="Arial"/>
              </w:rPr>
            </w:pPr>
            <w:r w:rsidRPr="00C817E7">
              <w:rPr>
                <w:rFonts w:ascii="Arial" w:eastAsiaTheme="minorEastAsia" w:cs="Arial"/>
                <w:position w:val="-12"/>
                <w:lang w:eastAsia="es-ES"/>
              </w:rPr>
              <w:object w:dxaOrig="560" w:dyaOrig="360" w14:anchorId="13ACC4D7">
                <v:shape id="_x0000_i1115" type="#_x0000_t75" style="width:30.75pt;height:20.25pt" o:ole="">
                  <v:imagedata r:id="rId198" o:title=""/>
                </v:shape>
                <o:OLEObject Type="Embed" ProgID="Equation.DSMT4" ShapeID="_x0000_i1115" DrawAspect="Content" ObjectID="_1706014796" r:id="rId199"/>
              </w:object>
            </w:r>
            <w:r>
              <w:rPr>
                <w:rFonts w:eastAsiaTheme="minorEastAsia" w:cs="Arial"/>
              </w:rPr>
              <w:t xml:space="preserve"> </w:t>
            </w:r>
          </w:p>
        </w:tc>
        <w:tc>
          <w:tcPr>
            <w:tcW w:w="5100" w:type="dxa"/>
            <w:tcBorders>
              <w:left w:val="single" w:sz="4" w:space="0" w:color="auto"/>
            </w:tcBorders>
          </w:tcPr>
          <w:p w14:paraId="500ED4B8" w14:textId="3B86EA90" w:rsidR="000F7773" w:rsidRDefault="0015577F" w:rsidP="00DB0816">
            <w:pPr>
              <w:rPr>
                <w:rFonts w:eastAsiaTheme="minorEastAsia" w:cs="Arial"/>
              </w:rPr>
            </w:pPr>
            <w:r w:rsidRPr="00B9602F">
              <w:rPr>
                <w:rFonts w:ascii="Arial" w:eastAsiaTheme="minorEastAsia" w:cs="Arial"/>
                <w:position w:val="-12"/>
                <w:lang w:eastAsia="es-ES"/>
              </w:rPr>
              <w:object w:dxaOrig="6020" w:dyaOrig="580" w14:anchorId="660829C5">
                <v:shape id="_x0000_i1116" type="#_x0000_t75" style="width:246.75pt;height:30.75pt" o:ole="">
                  <v:imagedata r:id="rId200" o:title=""/>
                </v:shape>
                <o:OLEObject Type="Embed" ProgID="Equation.DSMT4" ShapeID="_x0000_i1116" DrawAspect="Content" ObjectID="_1706014797" r:id="rId201"/>
              </w:object>
            </w:r>
            <w:r w:rsidR="000F7773">
              <w:rPr>
                <w:rFonts w:eastAsiaTheme="minorEastAsia" w:cs="Arial"/>
              </w:rPr>
              <w:t xml:space="preserve"> </w:t>
            </w:r>
          </w:p>
        </w:tc>
        <w:tc>
          <w:tcPr>
            <w:tcW w:w="1620" w:type="dxa"/>
            <w:gridSpan w:val="2"/>
          </w:tcPr>
          <w:p w14:paraId="64036F2F" w14:textId="70C2A871" w:rsidR="000F7773" w:rsidRDefault="00397CB0" w:rsidP="001F394D">
            <w:pPr>
              <w:jc w:val="center"/>
              <w:rPr>
                <w:rFonts w:eastAsiaTheme="minorEastAsia" w:cs="Arial"/>
              </w:rPr>
            </w:pPr>
            <w:r w:rsidRPr="00397CB0">
              <w:rPr>
                <w:rFonts w:ascii="Arial" w:eastAsiaTheme="minorEastAsia" w:cs="Arial"/>
                <w:position w:val="-6"/>
                <w:lang w:eastAsia="es-ES"/>
              </w:rPr>
              <w:object w:dxaOrig="180" w:dyaOrig="220" w14:anchorId="0F87E016">
                <v:shape id="_x0000_i1117" type="#_x0000_t75" style="width:10.5pt;height:10.5pt" o:ole="">
                  <v:imagedata r:id="rId202" o:title=""/>
                </v:shape>
                <o:OLEObject Type="Embed" ProgID="Equation.DSMT4" ShapeID="_x0000_i1117" DrawAspect="Content" ObjectID="_1706014798" r:id="rId203"/>
              </w:object>
            </w:r>
            <w:r>
              <w:rPr>
                <w:rFonts w:ascii="Arial" w:eastAsiaTheme="minorEastAsia" w:cs="Arial"/>
                <w:lang w:eastAsia="es-ES"/>
              </w:rPr>
              <w:t xml:space="preserve"> </w:t>
            </w:r>
          </w:p>
        </w:tc>
        <w:tc>
          <w:tcPr>
            <w:tcW w:w="1016" w:type="dxa"/>
          </w:tcPr>
          <w:p w14:paraId="72CD3DD4" w14:textId="77777777" w:rsidR="000F7773" w:rsidRDefault="000F7773" w:rsidP="00DB0816">
            <w:pPr>
              <w:rPr>
                <w:rFonts w:eastAsiaTheme="minorEastAsia" w:cs="Arial"/>
              </w:rPr>
            </w:pPr>
            <w:r w:rsidRPr="007E493E">
              <w:rPr>
                <w:rFonts w:ascii="Arial" w:eastAsiaTheme="minorEastAsia" w:cs="Arial"/>
                <w:position w:val="-12"/>
                <w:lang w:eastAsia="es-ES"/>
              </w:rPr>
              <w:object w:dxaOrig="480" w:dyaOrig="360" w14:anchorId="00199AFF">
                <v:shape id="_x0000_i1118" type="#_x0000_t75" style="width:30.75pt;height:20.25pt" o:ole="">
                  <v:imagedata r:id="rId204" o:title=""/>
                </v:shape>
                <o:OLEObject Type="Embed" ProgID="Equation.DSMT4" ShapeID="_x0000_i1118" DrawAspect="Content" ObjectID="_1706014799" r:id="rId205"/>
              </w:object>
            </w:r>
            <w:r>
              <w:rPr>
                <w:rFonts w:eastAsiaTheme="minorEastAsia" w:cs="Arial"/>
              </w:rPr>
              <w:t xml:space="preserve"> </w:t>
            </w:r>
          </w:p>
        </w:tc>
      </w:tr>
      <w:tr w:rsidR="0082322C" w14:paraId="25E8A18A" w14:textId="77777777" w:rsidTr="0015577F">
        <w:trPr>
          <w:trHeight w:val="465"/>
        </w:trPr>
        <w:tc>
          <w:tcPr>
            <w:tcW w:w="1290" w:type="dxa"/>
            <w:tcBorders>
              <w:right w:val="single" w:sz="4" w:space="0" w:color="auto"/>
            </w:tcBorders>
          </w:tcPr>
          <w:p w14:paraId="4C8DE30A" w14:textId="77777777" w:rsidR="000F7773" w:rsidRDefault="000F7773" w:rsidP="00DB0816">
            <w:pPr>
              <w:rPr>
                <w:rFonts w:eastAsiaTheme="minorEastAsia" w:cs="Arial"/>
              </w:rPr>
            </w:pPr>
            <w:r w:rsidRPr="00C817E7">
              <w:rPr>
                <w:rFonts w:ascii="Arial" w:eastAsiaTheme="minorEastAsia" w:cs="Arial"/>
                <w:position w:val="-12"/>
                <w:lang w:eastAsia="es-ES"/>
              </w:rPr>
              <w:object w:dxaOrig="1140" w:dyaOrig="360" w14:anchorId="715BDD15">
                <v:shape id="_x0000_i1119" type="#_x0000_t75" style="width:56.25pt;height:20.25pt" o:ole="">
                  <v:imagedata r:id="rId206" o:title=""/>
                </v:shape>
                <o:OLEObject Type="Embed" ProgID="Equation.DSMT4" ShapeID="_x0000_i1119" DrawAspect="Content" ObjectID="_1706014800" r:id="rId207"/>
              </w:object>
            </w:r>
            <w:r>
              <w:rPr>
                <w:rFonts w:eastAsiaTheme="minorEastAsia" w:cs="Arial"/>
              </w:rPr>
              <w:t xml:space="preserve"> </w:t>
            </w:r>
          </w:p>
        </w:tc>
        <w:tc>
          <w:tcPr>
            <w:tcW w:w="5100" w:type="dxa"/>
            <w:tcBorders>
              <w:left w:val="single" w:sz="4" w:space="0" w:color="auto"/>
            </w:tcBorders>
          </w:tcPr>
          <w:p w14:paraId="7A4BC30E" w14:textId="77777777" w:rsidR="000F7773" w:rsidRDefault="000F7773" w:rsidP="00DB0816">
            <w:pPr>
              <w:tabs>
                <w:tab w:val="left" w:pos="980"/>
              </w:tabs>
              <w:rPr>
                <w:rFonts w:eastAsiaTheme="minorEastAsia" w:cs="Arial"/>
              </w:rPr>
            </w:pPr>
            <w:r w:rsidRPr="00D9798B">
              <w:rPr>
                <w:rFonts w:ascii="Arial" w:eastAsiaTheme="minorEastAsia" w:cs="Arial"/>
                <w:position w:val="-32"/>
                <w:lang w:eastAsia="es-ES"/>
              </w:rPr>
              <w:object w:dxaOrig="4380" w:dyaOrig="900" w14:anchorId="6C3D7486">
                <v:shape id="_x0000_i1120" type="#_x0000_t75" style="width:221.25pt;height:41.25pt" o:ole="">
                  <v:imagedata r:id="rId208" o:title=""/>
                </v:shape>
                <o:OLEObject Type="Embed" ProgID="Equation.DSMT4" ShapeID="_x0000_i1120" DrawAspect="Content" ObjectID="_1706014801" r:id="rId209"/>
              </w:object>
            </w:r>
            <w:r>
              <w:rPr>
                <w:rFonts w:eastAsiaTheme="minorEastAsia" w:cs="Arial"/>
              </w:rPr>
              <w:t xml:space="preserve"> </w:t>
            </w:r>
            <w:r>
              <w:rPr>
                <w:rFonts w:eastAsiaTheme="minorEastAsia" w:cs="Arial"/>
              </w:rPr>
              <w:tab/>
            </w:r>
          </w:p>
        </w:tc>
        <w:tc>
          <w:tcPr>
            <w:tcW w:w="1620" w:type="dxa"/>
            <w:gridSpan w:val="2"/>
          </w:tcPr>
          <w:p w14:paraId="4786FAC7" w14:textId="0F3BAF93" w:rsidR="000F7773" w:rsidRDefault="00397CB0" w:rsidP="001F394D">
            <w:pPr>
              <w:jc w:val="center"/>
              <w:rPr>
                <w:rFonts w:eastAsiaTheme="minorEastAsia" w:cs="Arial"/>
              </w:rPr>
            </w:pPr>
            <w:r w:rsidRPr="00397CB0">
              <w:rPr>
                <w:rFonts w:ascii="Arial" w:eastAsiaTheme="minorEastAsia" w:cs="Arial"/>
                <w:position w:val="-6"/>
                <w:lang w:eastAsia="es-ES"/>
              </w:rPr>
              <w:object w:dxaOrig="180" w:dyaOrig="220" w14:anchorId="03F95FF7">
                <v:shape id="_x0000_i1121" type="#_x0000_t75" style="width:10.5pt;height:10.5pt" o:ole="">
                  <v:imagedata r:id="rId210" o:title=""/>
                </v:shape>
                <o:OLEObject Type="Embed" ProgID="Equation.DSMT4" ShapeID="_x0000_i1121" DrawAspect="Content" ObjectID="_1706014802" r:id="rId211"/>
              </w:object>
            </w:r>
            <w:r>
              <w:rPr>
                <w:rFonts w:eastAsiaTheme="minorEastAsia" w:cs="Arial"/>
              </w:rPr>
              <w:t xml:space="preserve"> </w:t>
            </w:r>
          </w:p>
        </w:tc>
        <w:tc>
          <w:tcPr>
            <w:tcW w:w="1016" w:type="dxa"/>
          </w:tcPr>
          <w:p w14:paraId="204F8687" w14:textId="77777777" w:rsidR="000F7773" w:rsidRDefault="000F7773" w:rsidP="00DB0816">
            <w:pPr>
              <w:rPr>
                <w:rFonts w:eastAsiaTheme="minorEastAsia" w:cs="Arial"/>
              </w:rPr>
            </w:pPr>
            <w:r w:rsidRPr="005456D9">
              <w:rPr>
                <w:rFonts w:ascii="Arial" w:eastAsiaTheme="minorEastAsia" w:cs="Arial"/>
                <w:position w:val="-12"/>
                <w:lang w:eastAsia="es-ES"/>
              </w:rPr>
              <w:object w:dxaOrig="460" w:dyaOrig="360" w14:anchorId="45C44B36">
                <v:shape id="_x0000_i1122" type="#_x0000_t75" style="width:20.25pt;height:20.25pt" o:ole="">
                  <v:imagedata r:id="rId212" o:title=""/>
                </v:shape>
                <o:OLEObject Type="Embed" ProgID="Equation.DSMT4" ShapeID="_x0000_i1122" DrawAspect="Content" ObjectID="_1706014803" r:id="rId213"/>
              </w:object>
            </w:r>
            <w:r>
              <w:rPr>
                <w:rFonts w:eastAsiaTheme="minorEastAsia" w:cs="Arial"/>
              </w:rPr>
              <w:t xml:space="preserve"> </w:t>
            </w:r>
          </w:p>
        </w:tc>
      </w:tr>
      <w:tr w:rsidR="0082322C" w14:paraId="62D00ADD" w14:textId="77777777" w:rsidTr="0015577F">
        <w:trPr>
          <w:trHeight w:val="458"/>
        </w:trPr>
        <w:tc>
          <w:tcPr>
            <w:tcW w:w="1290" w:type="dxa"/>
            <w:tcBorders>
              <w:right w:val="single" w:sz="4" w:space="0" w:color="auto"/>
            </w:tcBorders>
          </w:tcPr>
          <w:p w14:paraId="688A0352" w14:textId="20DB2C28" w:rsidR="000F7773" w:rsidRDefault="0015577F" w:rsidP="00DB0816">
            <w:pPr>
              <w:rPr>
                <w:rFonts w:eastAsiaTheme="minorEastAsia" w:cs="Arial"/>
              </w:rPr>
            </w:pPr>
            <w:r w:rsidRPr="008E1EF4">
              <w:rPr>
                <w:rFonts w:ascii="Arial" w:eastAsiaTheme="minorEastAsia" w:cs="Arial"/>
                <w:position w:val="-12"/>
                <w:lang w:eastAsia="es-ES"/>
              </w:rPr>
              <w:object w:dxaOrig="1280" w:dyaOrig="360" w14:anchorId="16862F09">
                <v:shape id="_x0000_i1123" type="#_x0000_t75" style="width:56.25pt;height:20.25pt" o:ole="">
                  <v:imagedata r:id="rId214" o:title=""/>
                </v:shape>
                <o:OLEObject Type="Embed" ProgID="Equation.DSMT4" ShapeID="_x0000_i1123" DrawAspect="Content" ObjectID="_1706014804" r:id="rId215"/>
              </w:object>
            </w:r>
            <w:r w:rsidR="000F7773">
              <w:rPr>
                <w:rFonts w:eastAsiaTheme="minorEastAsia" w:cs="Arial"/>
              </w:rPr>
              <w:t xml:space="preserve"> </w:t>
            </w:r>
          </w:p>
        </w:tc>
        <w:tc>
          <w:tcPr>
            <w:tcW w:w="5100" w:type="dxa"/>
            <w:tcBorders>
              <w:left w:val="single" w:sz="4" w:space="0" w:color="auto"/>
            </w:tcBorders>
          </w:tcPr>
          <w:p w14:paraId="11AE58FA" w14:textId="77777777" w:rsidR="000F7773" w:rsidRDefault="000F7773" w:rsidP="00DB0816">
            <w:pPr>
              <w:rPr>
                <w:rFonts w:eastAsiaTheme="minorEastAsia" w:cs="Arial"/>
              </w:rPr>
            </w:pPr>
            <w:r w:rsidRPr="007949E3">
              <w:rPr>
                <w:rFonts w:ascii="Arial" w:eastAsiaTheme="minorEastAsia" w:cs="Arial"/>
                <w:position w:val="-32"/>
                <w:lang w:eastAsia="es-ES"/>
              </w:rPr>
              <w:object w:dxaOrig="3400" w:dyaOrig="800" w14:anchorId="34C72CA2">
                <v:shape id="_x0000_i1124" type="#_x0000_t75" style="width:174.75pt;height:41.25pt" o:ole="">
                  <v:imagedata r:id="rId216" o:title=""/>
                </v:shape>
                <o:OLEObject Type="Embed" ProgID="Equation.DSMT4" ShapeID="_x0000_i1124" DrawAspect="Content" ObjectID="_1706014805" r:id="rId217"/>
              </w:object>
            </w:r>
            <w:r>
              <w:rPr>
                <w:rFonts w:eastAsiaTheme="minorEastAsia" w:cs="Arial"/>
              </w:rPr>
              <w:t xml:space="preserve"> </w:t>
            </w:r>
          </w:p>
        </w:tc>
        <w:tc>
          <w:tcPr>
            <w:tcW w:w="1620" w:type="dxa"/>
            <w:gridSpan w:val="2"/>
          </w:tcPr>
          <w:p w14:paraId="68982FC8" w14:textId="77777777" w:rsidR="000F7773" w:rsidRDefault="000F7773" w:rsidP="00DB0816">
            <w:pPr>
              <w:rPr>
                <w:rFonts w:eastAsiaTheme="minorEastAsia" w:cs="Arial"/>
              </w:rPr>
            </w:pPr>
          </w:p>
        </w:tc>
        <w:tc>
          <w:tcPr>
            <w:tcW w:w="1016" w:type="dxa"/>
          </w:tcPr>
          <w:p w14:paraId="316DF801" w14:textId="77777777" w:rsidR="000F7773" w:rsidRDefault="000F7773" w:rsidP="00DB0816">
            <w:pPr>
              <w:rPr>
                <w:rFonts w:eastAsiaTheme="minorEastAsia" w:cs="Arial"/>
              </w:rPr>
            </w:pPr>
          </w:p>
        </w:tc>
      </w:tr>
      <w:tr w:rsidR="0082322C" w14:paraId="7A0BC79D" w14:textId="77777777" w:rsidTr="0015577F">
        <w:trPr>
          <w:trHeight w:val="465"/>
        </w:trPr>
        <w:tc>
          <w:tcPr>
            <w:tcW w:w="1290" w:type="dxa"/>
            <w:tcBorders>
              <w:bottom w:val="single" w:sz="4" w:space="0" w:color="auto"/>
              <w:right w:val="single" w:sz="4" w:space="0" w:color="auto"/>
            </w:tcBorders>
          </w:tcPr>
          <w:p w14:paraId="623DAB95" w14:textId="77777777" w:rsidR="000F7773" w:rsidRDefault="000F7773" w:rsidP="00DB0816">
            <w:pPr>
              <w:rPr>
                <w:rFonts w:eastAsiaTheme="minorEastAsia" w:cs="Arial"/>
              </w:rPr>
            </w:pPr>
            <w:r w:rsidRPr="008E1EF4">
              <w:rPr>
                <w:rFonts w:ascii="Arial" w:eastAsiaTheme="minorEastAsia" w:cs="Arial"/>
                <w:position w:val="-12"/>
                <w:lang w:eastAsia="es-ES"/>
              </w:rPr>
              <w:object w:dxaOrig="980" w:dyaOrig="360" w14:anchorId="58081DD0">
                <v:shape id="_x0000_i1125" type="#_x0000_t75" style="width:51.75pt;height:20.25pt" o:ole="">
                  <v:imagedata r:id="rId218" o:title=""/>
                </v:shape>
                <o:OLEObject Type="Embed" ProgID="Equation.DSMT4" ShapeID="_x0000_i1125" DrawAspect="Content" ObjectID="_1706014806" r:id="rId219"/>
              </w:object>
            </w:r>
            <w:r>
              <w:rPr>
                <w:rFonts w:eastAsiaTheme="minorEastAsia" w:cs="Arial"/>
              </w:rPr>
              <w:t xml:space="preserve"> </w:t>
            </w:r>
          </w:p>
        </w:tc>
        <w:tc>
          <w:tcPr>
            <w:tcW w:w="5100" w:type="dxa"/>
            <w:tcBorders>
              <w:left w:val="single" w:sz="4" w:space="0" w:color="auto"/>
              <w:bottom w:val="single" w:sz="4" w:space="0" w:color="auto"/>
            </w:tcBorders>
          </w:tcPr>
          <w:p w14:paraId="72EC5129" w14:textId="77777777" w:rsidR="000F7773" w:rsidRDefault="000F7773" w:rsidP="00DB0816">
            <w:pPr>
              <w:rPr>
                <w:rFonts w:eastAsiaTheme="minorEastAsia" w:cs="Arial"/>
              </w:rPr>
            </w:pPr>
            <w:r w:rsidRPr="008A00C0">
              <w:rPr>
                <w:rFonts w:ascii="Arial" w:eastAsiaTheme="minorEastAsia" w:cs="Arial"/>
                <w:position w:val="-12"/>
                <w:lang w:eastAsia="es-ES"/>
              </w:rPr>
              <w:object w:dxaOrig="5380" w:dyaOrig="499" w14:anchorId="4A6CA208">
                <v:shape id="_x0000_i1126" type="#_x0000_t75" style="width:267.75pt;height:30.75pt" o:ole="">
                  <v:imagedata r:id="rId220" o:title=""/>
                </v:shape>
                <o:OLEObject Type="Embed" ProgID="Equation.DSMT4" ShapeID="_x0000_i1126" DrawAspect="Content" ObjectID="_1706014807" r:id="rId221"/>
              </w:object>
            </w:r>
            <w:r>
              <w:rPr>
                <w:rFonts w:eastAsiaTheme="minorEastAsia" w:cs="Arial"/>
              </w:rPr>
              <w:t xml:space="preserve"> </w:t>
            </w:r>
          </w:p>
        </w:tc>
        <w:tc>
          <w:tcPr>
            <w:tcW w:w="1620" w:type="dxa"/>
            <w:gridSpan w:val="2"/>
            <w:tcBorders>
              <w:bottom w:val="single" w:sz="4" w:space="0" w:color="auto"/>
            </w:tcBorders>
          </w:tcPr>
          <w:p w14:paraId="6EF29085" w14:textId="77777777" w:rsidR="000F7773" w:rsidRDefault="000F7773" w:rsidP="00DB0816">
            <w:pPr>
              <w:rPr>
                <w:rFonts w:eastAsiaTheme="minorEastAsia" w:cs="Arial"/>
              </w:rPr>
            </w:pPr>
          </w:p>
        </w:tc>
        <w:tc>
          <w:tcPr>
            <w:tcW w:w="1016" w:type="dxa"/>
            <w:tcBorders>
              <w:bottom w:val="single" w:sz="4" w:space="0" w:color="auto"/>
            </w:tcBorders>
          </w:tcPr>
          <w:p w14:paraId="6A9F3D9E" w14:textId="77777777" w:rsidR="000F7773" w:rsidRDefault="000F7773" w:rsidP="00DB0816">
            <w:pPr>
              <w:rPr>
                <w:rFonts w:eastAsiaTheme="minorEastAsia" w:cs="Arial"/>
              </w:rPr>
            </w:pPr>
          </w:p>
        </w:tc>
      </w:tr>
    </w:tbl>
    <w:p w14:paraId="5E7303CE" w14:textId="37EFDE5E" w:rsidR="000F7773" w:rsidRPr="00700471" w:rsidRDefault="000F7773" w:rsidP="000F7773">
      <w:pPr>
        <w:rPr>
          <w:rFonts w:cs="Arial"/>
          <w:sz w:val="18"/>
        </w:rPr>
      </w:pPr>
      <w:r w:rsidRPr="00220F06">
        <w:rPr>
          <w:rFonts w:cs="Arial"/>
          <w:sz w:val="18"/>
        </w:rPr>
        <w:t xml:space="preserve">Fuente: </w:t>
      </w:r>
      <w:r w:rsidRPr="00220F06">
        <w:rPr>
          <w:rFonts w:cs="Arial"/>
          <w:sz w:val="18"/>
        </w:rPr>
        <w:fldChar w:fldCharType="begin" w:fldLock="1"/>
      </w:r>
      <w:r w:rsidR="00475856">
        <w:rPr>
          <w:rFonts w:cs="Arial"/>
          <w:sz w:val="18"/>
        </w:rPr>
        <w:instrText>ADDIN CSL_CITATION {"citationItems":[{"id":"ITEM-1","itemData":{"author":[{"dropping-particle":"","family":"McDonald","given":"Scott","non-dropping-particle":"","parse-names":false,"suffix":""},{"dropping-particle":"","family":"Thierfelder","given":"Karen","non-dropping-particle":"","parse-names":false,"suffix":""}],"id":"ITEM-1","issue":"January","issued":{"date-parts":[["2017"]]},"number-of-pages":"1-89","title":"A Static Applied General Equilibrium Model: Technical Documentation - STAGE_int Version","type":"report"},"uris":["http://www.mendeley.com/documents/?uuid=83316eb5-e8df-4029-aa83-a2c1fd511a0d"]}],"mendeley":{"formattedCitation":"(McDonald &amp; Thierfelder, 2017)","manualFormatting":"McDonald &amp; Thierfelder (2017)","plainTextFormattedCitation":"(McDonald &amp; Thierfelder, 2017)","previouslyFormattedCitation":"(McDonald &amp; Thierfelder, 2017)"},"properties":{"noteIndex":0},"schema":"https://github.com/citation-style-language/schema/raw/master/csl-citation.json"}</w:instrText>
      </w:r>
      <w:r w:rsidRPr="00220F06">
        <w:rPr>
          <w:rFonts w:cs="Arial"/>
          <w:sz w:val="18"/>
        </w:rPr>
        <w:fldChar w:fldCharType="separate"/>
      </w:r>
      <w:r w:rsidRPr="00220F06">
        <w:rPr>
          <w:rFonts w:cs="Arial"/>
          <w:noProof/>
          <w:sz w:val="18"/>
        </w:rPr>
        <w:t>McDonald &amp; Thierfelder (2017)</w:t>
      </w:r>
      <w:r w:rsidRPr="00220F06">
        <w:rPr>
          <w:rFonts w:cs="Arial"/>
          <w:sz w:val="18"/>
        </w:rPr>
        <w:fldChar w:fldCharType="end"/>
      </w:r>
      <w:r w:rsidRPr="00220F06">
        <w:rPr>
          <w:rFonts w:cs="Arial"/>
          <w:sz w:val="18"/>
        </w:rPr>
        <w:t>.</w:t>
      </w:r>
    </w:p>
    <w:p w14:paraId="467B0A68" w14:textId="35F65233" w:rsidR="000F7773" w:rsidRDefault="000F7773" w:rsidP="00700471">
      <w:pPr>
        <w:spacing w:line="240" w:lineRule="auto"/>
        <w:rPr>
          <w:rFonts w:eastAsiaTheme="minorEastAsia" w:cs="Arial"/>
        </w:rPr>
      </w:pPr>
      <w:r>
        <w:rPr>
          <w:rFonts w:eastAsiaTheme="minorEastAsia" w:cs="Arial"/>
        </w:rPr>
        <w:t xml:space="preserve">Para el bloque de importaciones de la </w:t>
      </w:r>
      <w:r w:rsidR="0015577F">
        <w:rPr>
          <w:rFonts w:eastAsiaTheme="minorEastAsia" w:cs="Arial"/>
        </w:rPr>
        <w:fldChar w:fldCharType="begin"/>
      </w:r>
      <w:r w:rsidR="0015577F">
        <w:rPr>
          <w:rFonts w:eastAsiaTheme="minorEastAsia" w:cs="Arial"/>
        </w:rPr>
        <w:instrText xml:space="preserve"> REF _Ref524803079 \h </w:instrText>
      </w:r>
      <w:r w:rsidR="00E74D5B">
        <w:instrText xml:space="preserve">\* lower </w:instrText>
      </w:r>
      <w:r w:rsidR="0015577F">
        <w:rPr>
          <w:rFonts w:eastAsiaTheme="minorEastAsia" w:cs="Arial"/>
        </w:rPr>
      </w:r>
      <w:r w:rsidR="0015577F">
        <w:rPr>
          <w:rFonts w:eastAsiaTheme="minorEastAsia" w:cs="Arial"/>
        </w:rPr>
        <w:fldChar w:fldCharType="separate"/>
      </w:r>
      <w:r w:rsidR="00A95E32">
        <w:t xml:space="preserve">tabla </w:t>
      </w:r>
      <w:r w:rsidR="00A95E32">
        <w:rPr>
          <w:noProof/>
        </w:rPr>
        <w:t>3</w:t>
      </w:r>
      <w:r w:rsidR="0015577F">
        <w:rPr>
          <w:rFonts w:eastAsiaTheme="minorEastAsia" w:cs="Arial"/>
        </w:rPr>
        <w:fldChar w:fldCharType="end"/>
      </w:r>
      <w:r>
        <w:rPr>
          <w:rFonts w:eastAsiaTheme="minorEastAsia" w:cs="Arial"/>
        </w:rPr>
        <w:t>, el comportamiento es similar al de exportaciones, la formación del precio de las importaciones es resultado de la multiplicación del precio internacional de importaciones, el tipo de cambio, y los aranceles. La oferta domestica utiliza la función CES para combinar la producción nacional que abastece el mercado interno y las importaciones. De igual manera que en las exportaciones, la condición de primer orden de la ecuación define la razón optima entre la producción nacional que abastece el mercado local y las importaciones, a su vez están sumadas generan la oferta local.</w:t>
      </w:r>
    </w:p>
    <w:p w14:paraId="794B14C4" w14:textId="6E2DC8E2" w:rsidR="000F7773" w:rsidRPr="00EC78AD" w:rsidRDefault="000F7773" w:rsidP="000F7773">
      <w:pPr>
        <w:pStyle w:val="Caption"/>
        <w:rPr>
          <w:rFonts w:eastAsiaTheme="minorHAnsi" w:cstheme="minorBidi"/>
        </w:rPr>
      </w:pPr>
      <w:bookmarkStart w:id="62" w:name="_Ref524803079"/>
      <w:bookmarkStart w:id="63" w:name="_Toc524946941"/>
      <w:bookmarkStart w:id="64" w:name="_Toc525033945"/>
      <w:bookmarkStart w:id="65" w:name="_Toc526175246"/>
      <w:bookmarkStart w:id="66" w:name="_Toc2853693"/>
      <w:r>
        <w:t xml:space="preserve">Tabla </w:t>
      </w:r>
      <w:r w:rsidR="00F700CF">
        <w:rPr>
          <w:noProof/>
        </w:rPr>
        <w:fldChar w:fldCharType="begin"/>
      </w:r>
      <w:r w:rsidR="00F700CF">
        <w:rPr>
          <w:noProof/>
        </w:rPr>
        <w:instrText xml:space="preserve"> SEQ Tabla \* ARABIC </w:instrText>
      </w:r>
      <w:r w:rsidR="00F700CF">
        <w:rPr>
          <w:noProof/>
        </w:rPr>
        <w:fldChar w:fldCharType="separate"/>
      </w:r>
      <w:r w:rsidR="00A95E32">
        <w:rPr>
          <w:noProof/>
        </w:rPr>
        <w:t>3</w:t>
      </w:r>
      <w:r w:rsidR="00F700CF">
        <w:rPr>
          <w:noProof/>
        </w:rPr>
        <w:fldChar w:fldCharType="end"/>
      </w:r>
      <w:bookmarkEnd w:id="62"/>
      <w:r>
        <w:t xml:space="preserve"> </w:t>
      </w:r>
      <w:r>
        <w:br/>
        <w:t>Bloque</w:t>
      </w:r>
      <w:r w:rsidRPr="00DF09E4">
        <w:t xml:space="preserve"> de importación</w:t>
      </w:r>
      <w:bookmarkEnd w:id="63"/>
      <w:bookmarkEnd w:id="64"/>
      <w:bookmarkEnd w:id="65"/>
      <w:bookmarkEnd w:id="66"/>
    </w:p>
    <w:tbl>
      <w:tblPr>
        <w:tblStyle w:val="TableGrid"/>
        <w:tblW w:w="9026"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145"/>
        <w:gridCol w:w="5155"/>
        <w:gridCol w:w="360"/>
        <w:gridCol w:w="1170"/>
        <w:gridCol w:w="90"/>
        <w:gridCol w:w="1106"/>
      </w:tblGrid>
      <w:tr w:rsidR="001F394D" w14:paraId="02A50347" w14:textId="77777777" w:rsidTr="001F394D">
        <w:trPr>
          <w:trHeight w:val="479"/>
          <w:jc w:val="center"/>
        </w:trPr>
        <w:tc>
          <w:tcPr>
            <w:tcW w:w="1145" w:type="dxa"/>
            <w:tcBorders>
              <w:bottom w:val="single" w:sz="4" w:space="0" w:color="auto"/>
              <w:right w:val="single" w:sz="4" w:space="0" w:color="auto"/>
            </w:tcBorders>
          </w:tcPr>
          <w:p w14:paraId="50688D00" w14:textId="77777777" w:rsidR="000F7773" w:rsidRPr="001F394D" w:rsidRDefault="000F7773" w:rsidP="00DB0816">
            <w:pPr>
              <w:rPr>
                <w:rFonts w:ascii="Arial" w:eastAsiaTheme="minorEastAsia" w:cs="Arial"/>
                <w:sz w:val="22"/>
              </w:rPr>
            </w:pPr>
            <w:r w:rsidRPr="001F394D">
              <w:rPr>
                <w:rFonts w:ascii="Arial" w:eastAsiaTheme="minorEastAsia" w:cs="Arial"/>
                <w:sz w:val="22"/>
              </w:rPr>
              <w:t>Nombre</w:t>
            </w:r>
          </w:p>
        </w:tc>
        <w:tc>
          <w:tcPr>
            <w:tcW w:w="5155" w:type="dxa"/>
            <w:tcBorders>
              <w:left w:val="single" w:sz="4" w:space="0" w:color="auto"/>
              <w:bottom w:val="single" w:sz="4" w:space="0" w:color="auto"/>
            </w:tcBorders>
          </w:tcPr>
          <w:p w14:paraId="55F6251F" w14:textId="77777777" w:rsidR="000F7773" w:rsidRPr="001F394D" w:rsidRDefault="000F7773" w:rsidP="00DB0816">
            <w:pPr>
              <w:rPr>
                <w:rFonts w:ascii="Arial" w:eastAsiaTheme="minorEastAsia" w:cs="Arial"/>
                <w:sz w:val="22"/>
              </w:rPr>
            </w:pPr>
            <w:r w:rsidRPr="001F394D">
              <w:rPr>
                <w:rFonts w:ascii="Arial" w:eastAsiaTheme="minorEastAsia" w:cs="Arial"/>
                <w:sz w:val="22"/>
              </w:rPr>
              <w:t xml:space="preserve">Ecuación </w:t>
            </w:r>
          </w:p>
        </w:tc>
        <w:tc>
          <w:tcPr>
            <w:tcW w:w="1530" w:type="dxa"/>
            <w:gridSpan w:val="2"/>
            <w:tcBorders>
              <w:bottom w:val="single" w:sz="4" w:space="0" w:color="auto"/>
            </w:tcBorders>
          </w:tcPr>
          <w:p w14:paraId="5EFAF438" w14:textId="77777777" w:rsidR="000F7773" w:rsidRPr="001F394D" w:rsidRDefault="000F7773" w:rsidP="001F394D">
            <w:pPr>
              <w:jc w:val="left"/>
              <w:rPr>
                <w:rFonts w:ascii="Arial" w:eastAsiaTheme="minorEastAsia" w:cs="Arial"/>
                <w:sz w:val="22"/>
              </w:rPr>
            </w:pPr>
            <w:r w:rsidRPr="001F394D">
              <w:rPr>
                <w:rFonts w:ascii="Arial" w:eastAsiaTheme="minorEastAsia" w:cs="Arial"/>
                <w:sz w:val="22"/>
              </w:rPr>
              <w:t>Ecuaciones</w:t>
            </w:r>
          </w:p>
        </w:tc>
        <w:tc>
          <w:tcPr>
            <w:tcW w:w="1196" w:type="dxa"/>
            <w:gridSpan w:val="2"/>
            <w:tcBorders>
              <w:bottom w:val="single" w:sz="4" w:space="0" w:color="auto"/>
            </w:tcBorders>
          </w:tcPr>
          <w:p w14:paraId="5C780001" w14:textId="77777777" w:rsidR="000F7773" w:rsidRPr="001F394D" w:rsidRDefault="000F7773" w:rsidP="00DB0816">
            <w:pPr>
              <w:rPr>
                <w:rFonts w:ascii="Arial" w:eastAsiaTheme="minorEastAsia" w:cs="Arial"/>
                <w:sz w:val="22"/>
              </w:rPr>
            </w:pPr>
            <w:r w:rsidRPr="001F394D">
              <w:rPr>
                <w:rFonts w:ascii="Arial" w:eastAsiaTheme="minorEastAsia" w:cs="Arial"/>
                <w:sz w:val="22"/>
              </w:rPr>
              <w:t>Variables</w:t>
            </w:r>
          </w:p>
        </w:tc>
      </w:tr>
      <w:tr w:rsidR="000F7773" w14:paraId="2A6D08D2" w14:textId="77777777" w:rsidTr="00104214">
        <w:trPr>
          <w:trHeight w:val="427"/>
          <w:jc w:val="center"/>
        </w:trPr>
        <w:tc>
          <w:tcPr>
            <w:tcW w:w="1145" w:type="dxa"/>
            <w:tcBorders>
              <w:top w:val="single" w:sz="4" w:space="0" w:color="auto"/>
              <w:right w:val="single" w:sz="4" w:space="0" w:color="auto"/>
            </w:tcBorders>
          </w:tcPr>
          <w:p w14:paraId="0F7B7743" w14:textId="77777777" w:rsidR="000F7773" w:rsidRPr="00AB2388" w:rsidRDefault="000F7773" w:rsidP="00DB0816">
            <w:pPr>
              <w:rPr>
                <w:rFonts w:eastAsiaTheme="minorEastAsia" w:cs="Arial"/>
                <w:sz w:val="20"/>
              </w:rPr>
            </w:pPr>
            <w:r w:rsidRPr="002A7CA2">
              <w:rPr>
                <w:rFonts w:ascii="Arial" w:eastAsiaTheme="minorEastAsia" w:cs="Arial"/>
                <w:position w:val="-10"/>
                <w:sz w:val="20"/>
                <w:lang w:eastAsia="es-ES"/>
              </w:rPr>
              <w:object w:dxaOrig="800" w:dyaOrig="300" w14:anchorId="4490F535">
                <v:shape id="_x0000_i1127" type="#_x0000_t75" style="width:41.25pt;height:20.25pt" o:ole="">
                  <v:imagedata r:id="rId222" o:title=""/>
                </v:shape>
                <o:OLEObject Type="Embed" ProgID="Equation.DSMT4" ShapeID="_x0000_i1127" DrawAspect="Content" ObjectID="_1706014808" r:id="rId223"/>
              </w:object>
            </w:r>
            <w:r w:rsidRPr="00AB2388">
              <w:rPr>
                <w:rFonts w:eastAsiaTheme="minorEastAsia" w:cs="Arial"/>
                <w:sz w:val="20"/>
              </w:rPr>
              <w:t xml:space="preserve"> </w:t>
            </w:r>
          </w:p>
        </w:tc>
        <w:tc>
          <w:tcPr>
            <w:tcW w:w="5515" w:type="dxa"/>
            <w:gridSpan w:val="2"/>
            <w:tcBorders>
              <w:top w:val="single" w:sz="4" w:space="0" w:color="auto"/>
              <w:left w:val="single" w:sz="4" w:space="0" w:color="auto"/>
            </w:tcBorders>
          </w:tcPr>
          <w:p w14:paraId="0E9B0F3A" w14:textId="77777777" w:rsidR="000F7773" w:rsidRPr="00AB2388" w:rsidRDefault="000F7773" w:rsidP="00DB0816">
            <w:pPr>
              <w:rPr>
                <w:rFonts w:eastAsiaTheme="minorEastAsia" w:cs="Arial"/>
                <w:sz w:val="20"/>
                <w:lang w:val="en-US"/>
              </w:rPr>
            </w:pPr>
            <w:r w:rsidRPr="00AB2388">
              <w:rPr>
                <w:rFonts w:ascii="Arial" w:eastAsiaTheme="minorEastAsia" w:cs="Arial"/>
                <w:position w:val="-12"/>
                <w:sz w:val="20"/>
                <w:lang w:eastAsia="es-ES"/>
              </w:rPr>
              <w:object w:dxaOrig="3340" w:dyaOrig="420" w14:anchorId="081BC61A">
                <v:shape id="_x0000_i1128" type="#_x0000_t75" style="width:174.75pt;height:20.25pt" o:ole="">
                  <v:imagedata r:id="rId192" o:title=""/>
                </v:shape>
                <o:OLEObject Type="Embed" ProgID="Equation.DSMT4" ShapeID="_x0000_i1128" DrawAspect="Content" ObjectID="_1706014809" r:id="rId224"/>
              </w:object>
            </w:r>
            <w:r w:rsidRPr="00AB2388">
              <w:rPr>
                <w:rFonts w:eastAsiaTheme="minorEastAsia" w:cs="Arial"/>
                <w:sz w:val="20"/>
              </w:rPr>
              <w:t xml:space="preserve"> </w:t>
            </w:r>
          </w:p>
        </w:tc>
        <w:tc>
          <w:tcPr>
            <w:tcW w:w="1260" w:type="dxa"/>
            <w:gridSpan w:val="2"/>
            <w:tcBorders>
              <w:top w:val="single" w:sz="4" w:space="0" w:color="auto"/>
            </w:tcBorders>
          </w:tcPr>
          <w:p w14:paraId="6DA3CBEE" w14:textId="6899294C" w:rsidR="000F7773" w:rsidRPr="00AB2388" w:rsidRDefault="00132545" w:rsidP="00DB0816">
            <w:pPr>
              <w:rPr>
                <w:rFonts w:eastAsiaTheme="minorEastAsia" w:cs="Arial"/>
                <w:sz w:val="20"/>
              </w:rPr>
            </w:pPr>
            <w:r w:rsidRPr="00B62EA9">
              <w:rPr>
                <w:rFonts w:ascii="Arial" w:eastAsiaTheme="minorEastAsia" w:cs="Arial"/>
                <w:position w:val="-6"/>
                <w:lang w:eastAsia="es-ES"/>
              </w:rPr>
              <w:object w:dxaOrig="360" w:dyaOrig="220" w14:anchorId="7F5DC089">
                <v:shape id="_x0000_i1129" type="#_x0000_t75" style="width:20.25pt;height:10.5pt" o:ole="">
                  <v:imagedata r:id="rId225" o:title=""/>
                </v:shape>
                <o:OLEObject Type="Embed" ProgID="Equation.DSMT4" ShapeID="_x0000_i1129" DrawAspect="Content" ObjectID="_1706014810" r:id="rId226"/>
              </w:object>
            </w:r>
          </w:p>
        </w:tc>
        <w:tc>
          <w:tcPr>
            <w:tcW w:w="1106" w:type="dxa"/>
            <w:tcBorders>
              <w:top w:val="single" w:sz="4" w:space="0" w:color="auto"/>
            </w:tcBorders>
          </w:tcPr>
          <w:p w14:paraId="3FD35B94" w14:textId="77777777" w:rsidR="000F7773" w:rsidRPr="00AB2388" w:rsidRDefault="000F7773" w:rsidP="00DB0816">
            <w:pPr>
              <w:rPr>
                <w:rFonts w:eastAsiaTheme="minorEastAsia" w:cs="Arial"/>
                <w:sz w:val="20"/>
              </w:rPr>
            </w:pPr>
            <w:r w:rsidRPr="00AB2388">
              <w:rPr>
                <w:rFonts w:ascii="Arial" w:eastAsiaTheme="minorEastAsia" w:cs="Arial"/>
                <w:position w:val="-12"/>
                <w:sz w:val="20"/>
                <w:lang w:eastAsia="es-ES"/>
              </w:rPr>
              <w:object w:dxaOrig="520" w:dyaOrig="360" w14:anchorId="013C6C78">
                <v:shape id="_x0000_i1130" type="#_x0000_t75" style="width:30.75pt;height:20.25pt" o:ole="">
                  <v:imagedata r:id="rId227" o:title=""/>
                </v:shape>
                <o:OLEObject Type="Embed" ProgID="Equation.DSMT4" ShapeID="_x0000_i1130" DrawAspect="Content" ObjectID="_1706014811" r:id="rId228"/>
              </w:object>
            </w:r>
            <w:r w:rsidRPr="00AB2388">
              <w:rPr>
                <w:rFonts w:eastAsiaTheme="minorEastAsia" w:cs="Arial"/>
                <w:sz w:val="20"/>
              </w:rPr>
              <w:t xml:space="preserve"> </w:t>
            </w:r>
          </w:p>
        </w:tc>
      </w:tr>
      <w:tr w:rsidR="000F7773" w14:paraId="6FCD9FCA" w14:textId="77777777" w:rsidTr="00104214">
        <w:trPr>
          <w:trHeight w:val="532"/>
          <w:jc w:val="center"/>
        </w:trPr>
        <w:tc>
          <w:tcPr>
            <w:tcW w:w="1145" w:type="dxa"/>
            <w:tcBorders>
              <w:right w:val="single" w:sz="4" w:space="0" w:color="auto"/>
            </w:tcBorders>
          </w:tcPr>
          <w:p w14:paraId="33F821C7" w14:textId="77777777" w:rsidR="000F7773" w:rsidRPr="00AB2388" w:rsidRDefault="000F7773" w:rsidP="00DB0816">
            <w:pPr>
              <w:rPr>
                <w:rFonts w:eastAsiaTheme="minorEastAsia" w:cs="Arial"/>
                <w:sz w:val="20"/>
              </w:rPr>
            </w:pPr>
            <w:r w:rsidRPr="00A42488">
              <w:rPr>
                <w:rFonts w:ascii="Arial" w:eastAsiaTheme="minorEastAsia" w:cs="Arial"/>
                <w:position w:val="-10"/>
                <w:sz w:val="20"/>
                <w:lang w:eastAsia="es-ES"/>
              </w:rPr>
              <w:object w:dxaOrig="1180" w:dyaOrig="279" w14:anchorId="0619E7DA">
                <v:shape id="_x0000_i1131" type="#_x0000_t75" style="width:51.75pt;height:15.75pt" o:ole="">
                  <v:imagedata r:id="rId229" o:title=""/>
                </v:shape>
                <o:OLEObject Type="Embed" ProgID="Equation.DSMT4" ShapeID="_x0000_i1131" DrawAspect="Content" ObjectID="_1706014812" r:id="rId230"/>
              </w:object>
            </w:r>
            <w:r w:rsidRPr="00AB2388">
              <w:rPr>
                <w:rFonts w:eastAsiaTheme="minorEastAsia" w:cs="Arial"/>
                <w:sz w:val="20"/>
              </w:rPr>
              <w:t xml:space="preserve"> </w:t>
            </w:r>
          </w:p>
        </w:tc>
        <w:tc>
          <w:tcPr>
            <w:tcW w:w="5515" w:type="dxa"/>
            <w:gridSpan w:val="2"/>
            <w:tcBorders>
              <w:left w:val="single" w:sz="4" w:space="0" w:color="auto"/>
            </w:tcBorders>
          </w:tcPr>
          <w:p w14:paraId="51349FB1" w14:textId="42DE2021" w:rsidR="000F7773" w:rsidRPr="00AB2388" w:rsidRDefault="001F394D" w:rsidP="00DB0816">
            <w:pPr>
              <w:rPr>
                <w:rFonts w:eastAsiaTheme="minorEastAsia" w:cs="Arial"/>
                <w:sz w:val="20"/>
              </w:rPr>
            </w:pPr>
            <w:r w:rsidRPr="00AB2388">
              <w:rPr>
                <w:rFonts w:ascii="Arial" w:eastAsiaTheme="minorEastAsia" w:cs="Arial"/>
                <w:position w:val="-12"/>
                <w:sz w:val="20"/>
                <w:lang w:eastAsia="es-ES"/>
              </w:rPr>
              <w:object w:dxaOrig="6240" w:dyaOrig="580" w14:anchorId="2AE048C6">
                <v:shape id="_x0000_i1132" type="#_x0000_t75" style="width:267.75pt;height:30.75pt" o:ole="">
                  <v:imagedata r:id="rId231" o:title=""/>
                </v:shape>
                <o:OLEObject Type="Embed" ProgID="Equation.DSMT4" ShapeID="_x0000_i1132" DrawAspect="Content" ObjectID="_1706014813" r:id="rId232"/>
              </w:object>
            </w:r>
            <w:r w:rsidR="000F7773" w:rsidRPr="00AB2388">
              <w:rPr>
                <w:rFonts w:eastAsiaTheme="minorEastAsia" w:cs="Arial"/>
                <w:sz w:val="20"/>
              </w:rPr>
              <w:t xml:space="preserve"> </w:t>
            </w:r>
          </w:p>
        </w:tc>
        <w:tc>
          <w:tcPr>
            <w:tcW w:w="1260" w:type="dxa"/>
            <w:gridSpan w:val="2"/>
          </w:tcPr>
          <w:p w14:paraId="6ADF1F51" w14:textId="0B760B3B" w:rsidR="000F7773" w:rsidRPr="00AB2388" w:rsidRDefault="00132545" w:rsidP="00DB0816">
            <w:pPr>
              <w:rPr>
                <w:rFonts w:eastAsiaTheme="minorEastAsia" w:cs="Arial"/>
                <w:sz w:val="20"/>
              </w:rPr>
            </w:pPr>
            <w:r w:rsidRPr="00B62EA9">
              <w:rPr>
                <w:rFonts w:ascii="Arial" w:eastAsiaTheme="minorEastAsia" w:cs="Arial"/>
                <w:position w:val="-6"/>
                <w:lang w:eastAsia="es-ES"/>
              </w:rPr>
              <w:object w:dxaOrig="180" w:dyaOrig="220" w14:anchorId="3128F61A">
                <v:shape id="_x0000_i1133" type="#_x0000_t75" style="width:10.5pt;height:10.5pt" o:ole="">
                  <v:imagedata r:id="rId233" o:title=""/>
                </v:shape>
                <o:OLEObject Type="Embed" ProgID="Equation.DSMT4" ShapeID="_x0000_i1133" DrawAspect="Content" ObjectID="_1706014814" r:id="rId234"/>
              </w:object>
            </w:r>
          </w:p>
        </w:tc>
        <w:tc>
          <w:tcPr>
            <w:tcW w:w="1106" w:type="dxa"/>
          </w:tcPr>
          <w:p w14:paraId="0CC15459" w14:textId="77777777" w:rsidR="000F7773" w:rsidRPr="00AB2388" w:rsidRDefault="000F7773" w:rsidP="00DB0816">
            <w:pPr>
              <w:rPr>
                <w:rFonts w:eastAsiaTheme="minorEastAsia" w:cs="Arial"/>
                <w:sz w:val="20"/>
              </w:rPr>
            </w:pPr>
            <w:r w:rsidRPr="00AB2388">
              <w:rPr>
                <w:rFonts w:ascii="Arial" w:eastAsiaTheme="minorEastAsia" w:cs="Arial"/>
                <w:position w:val="-12"/>
                <w:sz w:val="20"/>
                <w:lang w:eastAsia="es-ES"/>
              </w:rPr>
              <w:object w:dxaOrig="480" w:dyaOrig="360" w14:anchorId="40127860">
                <v:shape id="_x0000_i1134" type="#_x0000_t75" style="width:30.75pt;height:20.25pt" o:ole="">
                  <v:imagedata r:id="rId235" o:title=""/>
                </v:shape>
                <o:OLEObject Type="Embed" ProgID="Equation.DSMT4" ShapeID="_x0000_i1134" DrawAspect="Content" ObjectID="_1706014815" r:id="rId236"/>
              </w:object>
            </w:r>
            <w:r w:rsidRPr="00AB2388">
              <w:rPr>
                <w:rFonts w:eastAsiaTheme="minorEastAsia" w:cs="Arial"/>
                <w:sz w:val="20"/>
              </w:rPr>
              <w:t xml:space="preserve"> </w:t>
            </w:r>
          </w:p>
        </w:tc>
      </w:tr>
      <w:tr w:rsidR="000F7773" w14:paraId="2AF59B98" w14:textId="77777777" w:rsidTr="00104214">
        <w:trPr>
          <w:trHeight w:val="396"/>
          <w:jc w:val="center"/>
        </w:trPr>
        <w:tc>
          <w:tcPr>
            <w:tcW w:w="1145" w:type="dxa"/>
            <w:tcBorders>
              <w:right w:val="single" w:sz="4" w:space="0" w:color="auto"/>
            </w:tcBorders>
          </w:tcPr>
          <w:p w14:paraId="3E77F0D5" w14:textId="657136FA" w:rsidR="000F7773" w:rsidRPr="00AB2388" w:rsidRDefault="00241EE4" w:rsidP="00DB0816">
            <w:pPr>
              <w:rPr>
                <w:rFonts w:eastAsiaTheme="minorEastAsia" w:cs="Arial"/>
                <w:sz w:val="20"/>
              </w:rPr>
            </w:pPr>
            <w:r w:rsidRPr="00241EE4">
              <w:rPr>
                <w:rFonts w:ascii="Arial" w:eastAsiaTheme="minorEastAsia" w:cs="Arial"/>
                <w:position w:val="-10"/>
                <w:sz w:val="20"/>
                <w:lang w:eastAsia="es-ES"/>
              </w:rPr>
              <w:object w:dxaOrig="900" w:dyaOrig="300" w14:anchorId="54ABE602">
                <v:shape id="_x0000_i1135" type="#_x0000_t75" style="width:46.5pt;height:15.75pt" o:ole="">
                  <v:imagedata r:id="rId237" o:title=""/>
                </v:shape>
                <o:OLEObject Type="Embed" ProgID="Equation.DSMT4" ShapeID="_x0000_i1135" DrawAspect="Content" ObjectID="_1706014816" r:id="rId238"/>
              </w:object>
            </w:r>
            <w:r>
              <w:rPr>
                <w:rFonts w:ascii="Arial" w:eastAsiaTheme="minorEastAsia" w:cs="Arial"/>
                <w:sz w:val="20"/>
                <w:lang w:eastAsia="es-ES"/>
              </w:rPr>
              <w:t xml:space="preserve"> </w:t>
            </w:r>
          </w:p>
        </w:tc>
        <w:tc>
          <w:tcPr>
            <w:tcW w:w="5515" w:type="dxa"/>
            <w:gridSpan w:val="2"/>
            <w:tcBorders>
              <w:left w:val="single" w:sz="4" w:space="0" w:color="auto"/>
            </w:tcBorders>
          </w:tcPr>
          <w:p w14:paraId="1A5EFD50" w14:textId="77777777" w:rsidR="000F7773" w:rsidRPr="00AB2388" w:rsidRDefault="000F7773" w:rsidP="00DB0816">
            <w:pPr>
              <w:tabs>
                <w:tab w:val="left" w:pos="980"/>
              </w:tabs>
              <w:rPr>
                <w:rFonts w:eastAsiaTheme="minorEastAsia" w:cs="Arial"/>
                <w:sz w:val="20"/>
              </w:rPr>
            </w:pPr>
            <w:r w:rsidRPr="00AB2388">
              <w:rPr>
                <w:rFonts w:ascii="Arial" w:eastAsiaTheme="minorEastAsia" w:cs="Arial"/>
                <w:position w:val="-32"/>
                <w:sz w:val="20"/>
                <w:lang w:eastAsia="es-ES"/>
              </w:rPr>
              <w:object w:dxaOrig="4520" w:dyaOrig="900" w14:anchorId="786EFDC1">
                <v:shape id="_x0000_i1136" type="#_x0000_t75" style="width:221.25pt;height:41.25pt" o:ole="">
                  <v:imagedata r:id="rId239" o:title=""/>
                </v:shape>
                <o:OLEObject Type="Embed" ProgID="Equation.DSMT4" ShapeID="_x0000_i1136" DrawAspect="Content" ObjectID="_1706014817" r:id="rId240"/>
              </w:object>
            </w:r>
            <w:r w:rsidRPr="00AB2388">
              <w:rPr>
                <w:rFonts w:eastAsiaTheme="minorEastAsia" w:cs="Arial"/>
                <w:sz w:val="20"/>
              </w:rPr>
              <w:t xml:space="preserve"> </w:t>
            </w:r>
            <w:r w:rsidRPr="00AB2388">
              <w:rPr>
                <w:rFonts w:eastAsiaTheme="minorEastAsia" w:cs="Arial"/>
                <w:sz w:val="20"/>
              </w:rPr>
              <w:tab/>
            </w:r>
          </w:p>
        </w:tc>
        <w:tc>
          <w:tcPr>
            <w:tcW w:w="1260" w:type="dxa"/>
            <w:gridSpan w:val="2"/>
          </w:tcPr>
          <w:p w14:paraId="4928A90C" w14:textId="314A4495" w:rsidR="000F7773" w:rsidRPr="00AB2388" w:rsidRDefault="00132545" w:rsidP="00DB0816">
            <w:pPr>
              <w:rPr>
                <w:rFonts w:eastAsiaTheme="minorEastAsia" w:cs="Arial"/>
                <w:sz w:val="20"/>
              </w:rPr>
            </w:pPr>
            <w:r w:rsidRPr="00B62EA9">
              <w:rPr>
                <w:rFonts w:ascii="Arial" w:eastAsiaTheme="minorEastAsia" w:cs="Arial"/>
                <w:position w:val="-6"/>
                <w:lang w:eastAsia="es-ES"/>
              </w:rPr>
              <w:object w:dxaOrig="180" w:dyaOrig="220" w14:anchorId="28218805">
                <v:shape id="_x0000_i1137" type="#_x0000_t75" style="width:10.5pt;height:10.5pt" o:ole="">
                  <v:imagedata r:id="rId233" o:title=""/>
                </v:shape>
                <o:OLEObject Type="Embed" ProgID="Equation.DSMT4" ShapeID="_x0000_i1137" DrawAspect="Content" ObjectID="_1706014818" r:id="rId241"/>
              </w:object>
            </w:r>
          </w:p>
        </w:tc>
        <w:tc>
          <w:tcPr>
            <w:tcW w:w="1106" w:type="dxa"/>
          </w:tcPr>
          <w:p w14:paraId="37EA1A09" w14:textId="77777777" w:rsidR="000F7773" w:rsidRPr="00AB2388" w:rsidRDefault="000F7773" w:rsidP="00DB0816">
            <w:pPr>
              <w:rPr>
                <w:rFonts w:eastAsiaTheme="minorEastAsia" w:cs="Arial"/>
                <w:sz w:val="20"/>
              </w:rPr>
            </w:pPr>
            <w:r w:rsidRPr="00AB2388">
              <w:rPr>
                <w:rFonts w:ascii="Arial" w:eastAsiaTheme="minorEastAsia" w:cs="Arial"/>
                <w:position w:val="-12"/>
                <w:sz w:val="20"/>
                <w:lang w:eastAsia="es-ES"/>
              </w:rPr>
              <w:object w:dxaOrig="540" w:dyaOrig="360" w14:anchorId="71780224">
                <v:shape id="_x0000_i1138" type="#_x0000_t75" style="width:30.75pt;height:20.25pt" o:ole="">
                  <v:imagedata r:id="rId242" o:title=""/>
                </v:shape>
                <o:OLEObject Type="Embed" ProgID="Equation.DSMT4" ShapeID="_x0000_i1138" DrawAspect="Content" ObjectID="_1706014819" r:id="rId243"/>
              </w:object>
            </w:r>
            <w:r w:rsidRPr="00AB2388">
              <w:rPr>
                <w:rFonts w:eastAsiaTheme="minorEastAsia" w:cs="Arial"/>
                <w:sz w:val="20"/>
              </w:rPr>
              <w:t xml:space="preserve"> </w:t>
            </w:r>
          </w:p>
        </w:tc>
      </w:tr>
      <w:tr w:rsidR="000F7773" w14:paraId="72560EAD" w14:textId="77777777" w:rsidTr="00104214">
        <w:trPr>
          <w:trHeight w:val="396"/>
          <w:jc w:val="center"/>
        </w:trPr>
        <w:tc>
          <w:tcPr>
            <w:tcW w:w="1145" w:type="dxa"/>
            <w:tcBorders>
              <w:bottom w:val="single" w:sz="4" w:space="0" w:color="auto"/>
              <w:right w:val="single" w:sz="4" w:space="0" w:color="auto"/>
            </w:tcBorders>
          </w:tcPr>
          <w:p w14:paraId="2B5EE545" w14:textId="5989BE08" w:rsidR="000F7773" w:rsidRPr="00AB2388" w:rsidRDefault="00241EE4" w:rsidP="00DB0816">
            <w:pPr>
              <w:rPr>
                <w:rFonts w:eastAsiaTheme="minorEastAsia" w:cs="Arial"/>
                <w:sz w:val="20"/>
              </w:rPr>
            </w:pPr>
            <w:r w:rsidRPr="00241EE4">
              <w:rPr>
                <w:rFonts w:ascii="Arial" w:eastAsia="Times New Roman" w:cs="Times New Roman"/>
                <w:position w:val="-4"/>
                <w:lang w:eastAsia="es-ES"/>
              </w:rPr>
              <w:object w:dxaOrig="880" w:dyaOrig="220" w14:anchorId="75174005">
                <v:shape id="_x0000_i1139" type="#_x0000_t75" style="width:46.5pt;height:10.5pt" o:ole="">
                  <v:imagedata r:id="rId244" o:title=""/>
                </v:shape>
                <o:OLEObject Type="Embed" ProgID="Equation.DSMT4" ShapeID="_x0000_i1139" DrawAspect="Content" ObjectID="_1706014820" r:id="rId245"/>
              </w:object>
            </w:r>
            <w:r>
              <w:t xml:space="preserve"> </w:t>
            </w:r>
          </w:p>
        </w:tc>
        <w:tc>
          <w:tcPr>
            <w:tcW w:w="5515" w:type="dxa"/>
            <w:gridSpan w:val="2"/>
            <w:tcBorders>
              <w:left w:val="single" w:sz="4" w:space="0" w:color="auto"/>
              <w:bottom w:val="single" w:sz="4" w:space="0" w:color="auto"/>
            </w:tcBorders>
          </w:tcPr>
          <w:p w14:paraId="728E53BE" w14:textId="5A4F4073" w:rsidR="000F7773" w:rsidRPr="00AB2388" w:rsidRDefault="004D112F" w:rsidP="00DB0816">
            <w:pPr>
              <w:rPr>
                <w:rFonts w:eastAsiaTheme="minorEastAsia" w:cs="Arial"/>
                <w:sz w:val="20"/>
              </w:rPr>
            </w:pPr>
            <w:r w:rsidRPr="00AB2388">
              <w:rPr>
                <w:rFonts w:ascii="Arial" w:eastAsiaTheme="minorEastAsia" w:cs="Arial"/>
                <w:position w:val="-12"/>
                <w:sz w:val="20"/>
                <w:lang w:eastAsia="es-ES"/>
              </w:rPr>
              <w:object w:dxaOrig="5400" w:dyaOrig="499" w14:anchorId="58B49348">
                <v:shape id="_x0000_i1140" type="#_x0000_t75" style="width:265.5pt;height:30.75pt" o:ole="">
                  <v:imagedata r:id="rId246" o:title=""/>
                </v:shape>
                <o:OLEObject Type="Embed" ProgID="Equation.DSMT4" ShapeID="_x0000_i1140" DrawAspect="Content" ObjectID="_1706014821" r:id="rId247"/>
              </w:object>
            </w:r>
            <w:r w:rsidR="000F7773" w:rsidRPr="00AB2388">
              <w:rPr>
                <w:rFonts w:eastAsiaTheme="minorEastAsia" w:cs="Arial"/>
                <w:sz w:val="20"/>
              </w:rPr>
              <w:t xml:space="preserve"> </w:t>
            </w:r>
          </w:p>
        </w:tc>
        <w:tc>
          <w:tcPr>
            <w:tcW w:w="1260" w:type="dxa"/>
            <w:gridSpan w:val="2"/>
            <w:tcBorders>
              <w:bottom w:val="single" w:sz="4" w:space="0" w:color="auto"/>
            </w:tcBorders>
          </w:tcPr>
          <w:p w14:paraId="592F8B65" w14:textId="77777777" w:rsidR="000F7773" w:rsidRPr="00AB2388" w:rsidRDefault="000F7773" w:rsidP="00DB0816">
            <w:pPr>
              <w:rPr>
                <w:rFonts w:eastAsiaTheme="minorEastAsia" w:cs="Arial"/>
                <w:sz w:val="20"/>
              </w:rPr>
            </w:pPr>
          </w:p>
        </w:tc>
        <w:tc>
          <w:tcPr>
            <w:tcW w:w="1106" w:type="dxa"/>
            <w:tcBorders>
              <w:bottom w:val="single" w:sz="4" w:space="0" w:color="auto"/>
            </w:tcBorders>
          </w:tcPr>
          <w:p w14:paraId="100386C6" w14:textId="77777777" w:rsidR="000F7773" w:rsidRPr="00AB2388" w:rsidRDefault="000F7773" w:rsidP="00DB0816">
            <w:pPr>
              <w:rPr>
                <w:rFonts w:eastAsiaTheme="minorEastAsia" w:cs="Arial"/>
                <w:sz w:val="20"/>
              </w:rPr>
            </w:pPr>
          </w:p>
        </w:tc>
      </w:tr>
    </w:tbl>
    <w:p w14:paraId="7E8FE3BE" w14:textId="14D7DE83" w:rsidR="000F7773" w:rsidRPr="00700471" w:rsidRDefault="000F7773" w:rsidP="00700471">
      <w:pPr>
        <w:rPr>
          <w:rFonts w:cs="Arial"/>
          <w:sz w:val="18"/>
        </w:rPr>
      </w:pPr>
      <w:r w:rsidRPr="00220F06">
        <w:rPr>
          <w:rFonts w:cs="Arial"/>
          <w:sz w:val="18"/>
        </w:rPr>
        <w:t xml:space="preserve">Fuente: </w:t>
      </w:r>
      <w:r w:rsidRPr="00220F06">
        <w:rPr>
          <w:rFonts w:cs="Arial"/>
          <w:sz w:val="18"/>
        </w:rPr>
        <w:fldChar w:fldCharType="begin" w:fldLock="1"/>
      </w:r>
      <w:r w:rsidR="00475856">
        <w:rPr>
          <w:rFonts w:cs="Arial"/>
          <w:sz w:val="18"/>
        </w:rPr>
        <w:instrText>ADDIN CSL_CITATION {"citationItems":[{"id":"ITEM-1","itemData":{"author":[{"dropping-particle":"","family":"McDonald","given":"Scott","non-dropping-particle":"","parse-names":false,"suffix":""},{"dropping-particle":"","family":"Thierfelder","given":"Karen","non-dropping-particle":"","parse-names":false,"suffix":""}],"id":"ITEM-1","issue":"January","issued":{"date-parts":[["2017"]]},"number-of-pages":"1-89","title":"A Static Applied General Equilibrium Model: Technical Documentation - STAGE_int Version","type":"report"},"uris":["http://www.mendeley.com/documents/?uuid=83316eb5-e8df-4029-aa83-a2c1fd511a0d"]}],"mendeley":{"formattedCitation":"(McDonald &amp; Thierfelder, 2017)","manualFormatting":"McDonald &amp; Thierfelder (2017)","plainTextFormattedCitation":"(McDonald &amp; Thierfelder, 2017)","previouslyFormattedCitation":"(McDonald &amp; Thierfelder, 2017)"},"properties":{"noteIndex":0},"schema":"https://github.com/citation-style-language/schema/raw/master/csl-citation.json"}</w:instrText>
      </w:r>
      <w:r w:rsidRPr="00220F06">
        <w:rPr>
          <w:rFonts w:cs="Arial"/>
          <w:sz w:val="18"/>
        </w:rPr>
        <w:fldChar w:fldCharType="separate"/>
      </w:r>
      <w:r w:rsidRPr="00220F06">
        <w:rPr>
          <w:rFonts w:cs="Arial"/>
          <w:noProof/>
          <w:sz w:val="18"/>
        </w:rPr>
        <w:t>McDonald &amp; Thierfelder (2017)</w:t>
      </w:r>
      <w:r w:rsidRPr="00220F06">
        <w:rPr>
          <w:rFonts w:cs="Arial"/>
          <w:sz w:val="18"/>
        </w:rPr>
        <w:fldChar w:fldCharType="end"/>
      </w:r>
      <w:r w:rsidRPr="00220F06">
        <w:rPr>
          <w:rFonts w:cs="Arial"/>
          <w:sz w:val="18"/>
        </w:rPr>
        <w:t>.</w:t>
      </w:r>
    </w:p>
    <w:p w14:paraId="17EECFEC" w14:textId="18DABCD7" w:rsidR="000F7773" w:rsidRPr="00700471" w:rsidRDefault="000F7773" w:rsidP="00700471">
      <w:pPr>
        <w:spacing w:line="240" w:lineRule="auto"/>
        <w:rPr>
          <w:rFonts w:eastAsiaTheme="minorEastAsia" w:cs="Arial"/>
        </w:rPr>
      </w:pPr>
      <w:r w:rsidRPr="00AB2388">
        <w:rPr>
          <w:rFonts w:eastAsiaTheme="minorEastAsia" w:cs="Arial"/>
        </w:rPr>
        <w:t xml:space="preserve">El comercio y costes marginales de transporte se definen en la </w:t>
      </w:r>
      <w:r w:rsidR="00104214">
        <w:rPr>
          <w:rFonts w:eastAsiaTheme="minorEastAsia" w:cs="Arial"/>
        </w:rPr>
        <w:fldChar w:fldCharType="begin"/>
      </w:r>
      <w:r w:rsidR="00104214">
        <w:rPr>
          <w:rFonts w:eastAsiaTheme="minorEastAsia" w:cs="Arial"/>
        </w:rPr>
        <w:instrText xml:space="preserve"> REF _Ref524803153 \h </w:instrText>
      </w:r>
      <w:r w:rsidR="00104214">
        <w:instrText>\* lower</w:instrText>
      </w:r>
      <w:r w:rsidR="00104214">
        <w:rPr>
          <w:rFonts w:eastAsiaTheme="minorEastAsia" w:cs="Arial"/>
        </w:rPr>
        <w:instrText xml:space="preserve"> </w:instrText>
      </w:r>
      <w:r w:rsidR="00104214">
        <w:rPr>
          <w:rFonts w:eastAsiaTheme="minorEastAsia" w:cs="Arial"/>
        </w:rPr>
      </w:r>
      <w:r w:rsidR="00104214">
        <w:rPr>
          <w:rFonts w:eastAsiaTheme="minorEastAsia" w:cs="Arial"/>
        </w:rPr>
        <w:fldChar w:fldCharType="separate"/>
      </w:r>
      <w:r w:rsidR="00A95E32">
        <w:t xml:space="preserve">tabla </w:t>
      </w:r>
      <w:r w:rsidR="00A95E32">
        <w:rPr>
          <w:noProof/>
        </w:rPr>
        <w:t>4</w:t>
      </w:r>
      <w:r w:rsidR="00104214">
        <w:rPr>
          <w:rFonts w:eastAsiaTheme="minorEastAsia" w:cs="Arial"/>
        </w:rPr>
        <w:fldChar w:fldCharType="end"/>
      </w:r>
      <w:r w:rsidRPr="00AB2388">
        <w:rPr>
          <w:rFonts w:eastAsiaTheme="minorEastAsia" w:cs="Arial"/>
        </w:rPr>
        <w:t>, donde se registran los costos de movilizar los bienes desde sus fuentes hasta su consumo. Desde sus fuentes los bienes están en precios básicos hasta el consumo que están en precios de comprador, donde se incluye los impuestos indirectos y los márgenes de comercio y transporte.</w:t>
      </w:r>
    </w:p>
    <w:p w14:paraId="3FAB3FB7" w14:textId="7754958B" w:rsidR="000F7773" w:rsidRPr="002177DD" w:rsidRDefault="000F7773" w:rsidP="000F7773">
      <w:pPr>
        <w:pStyle w:val="Caption"/>
      </w:pPr>
      <w:bookmarkStart w:id="67" w:name="_Ref524803153"/>
      <w:bookmarkStart w:id="68" w:name="_Toc524946942"/>
      <w:bookmarkStart w:id="69" w:name="_Toc525033946"/>
      <w:bookmarkStart w:id="70" w:name="_Toc526175247"/>
      <w:bookmarkStart w:id="71" w:name="_Toc2853694"/>
      <w:r>
        <w:t xml:space="preserve">Tabla </w:t>
      </w:r>
      <w:r w:rsidR="00F700CF">
        <w:rPr>
          <w:noProof/>
        </w:rPr>
        <w:fldChar w:fldCharType="begin"/>
      </w:r>
      <w:r w:rsidR="00F700CF">
        <w:rPr>
          <w:noProof/>
        </w:rPr>
        <w:instrText xml:space="preserve"> SEQ Tabla \* ARABIC </w:instrText>
      </w:r>
      <w:r w:rsidR="00F700CF">
        <w:rPr>
          <w:noProof/>
        </w:rPr>
        <w:fldChar w:fldCharType="separate"/>
      </w:r>
      <w:r w:rsidR="00A95E32">
        <w:rPr>
          <w:noProof/>
        </w:rPr>
        <w:t>4</w:t>
      </w:r>
      <w:r w:rsidR="00F700CF">
        <w:rPr>
          <w:noProof/>
        </w:rPr>
        <w:fldChar w:fldCharType="end"/>
      </w:r>
      <w:bookmarkEnd w:id="67"/>
      <w:r>
        <w:t xml:space="preserve"> </w:t>
      </w:r>
      <w:r>
        <w:br/>
      </w:r>
      <w:r w:rsidRPr="00EB51C5">
        <w:t>Bloque de márgenes de comercio y transporte</w:t>
      </w:r>
      <w:bookmarkEnd w:id="68"/>
      <w:bookmarkEnd w:id="69"/>
      <w:bookmarkEnd w:id="70"/>
      <w:bookmarkEnd w:id="71"/>
    </w:p>
    <w:tbl>
      <w:tblPr>
        <w:tblStyle w:val="TableGrid"/>
        <w:tblW w:w="911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37"/>
        <w:gridCol w:w="5257"/>
        <w:gridCol w:w="1371"/>
        <w:gridCol w:w="1147"/>
      </w:tblGrid>
      <w:tr w:rsidR="000F7773" w:rsidRPr="001F394D" w14:paraId="2FBE149D" w14:textId="77777777" w:rsidTr="00700471">
        <w:trPr>
          <w:trHeight w:val="578"/>
          <w:jc w:val="center"/>
        </w:trPr>
        <w:tc>
          <w:tcPr>
            <w:tcW w:w="1341" w:type="dxa"/>
            <w:tcBorders>
              <w:bottom w:val="single" w:sz="4" w:space="0" w:color="auto"/>
              <w:right w:val="single" w:sz="4" w:space="0" w:color="auto"/>
            </w:tcBorders>
          </w:tcPr>
          <w:p w14:paraId="27B8250D" w14:textId="77777777" w:rsidR="000F7773" w:rsidRPr="001F394D" w:rsidRDefault="000F7773" w:rsidP="00DB0816">
            <w:pPr>
              <w:rPr>
                <w:rFonts w:ascii="Arial" w:eastAsiaTheme="minorEastAsia" w:cs="Arial"/>
                <w:sz w:val="22"/>
              </w:rPr>
            </w:pPr>
            <w:r w:rsidRPr="001F394D">
              <w:rPr>
                <w:rFonts w:ascii="Arial" w:eastAsiaTheme="minorEastAsia" w:cs="Arial"/>
                <w:sz w:val="22"/>
              </w:rPr>
              <w:t>Nombre</w:t>
            </w:r>
          </w:p>
        </w:tc>
        <w:tc>
          <w:tcPr>
            <w:tcW w:w="5169" w:type="dxa"/>
            <w:tcBorders>
              <w:left w:val="single" w:sz="4" w:space="0" w:color="auto"/>
              <w:bottom w:val="single" w:sz="4" w:space="0" w:color="auto"/>
            </w:tcBorders>
          </w:tcPr>
          <w:p w14:paraId="5E7227D5" w14:textId="77777777" w:rsidR="000F7773" w:rsidRPr="001F394D" w:rsidRDefault="000F7773" w:rsidP="00DB0816">
            <w:pPr>
              <w:rPr>
                <w:rFonts w:ascii="Arial" w:eastAsiaTheme="minorEastAsia" w:cs="Arial"/>
                <w:sz w:val="22"/>
              </w:rPr>
            </w:pPr>
            <w:r w:rsidRPr="001F394D">
              <w:rPr>
                <w:rFonts w:ascii="Arial" w:eastAsiaTheme="minorEastAsia" w:cs="Arial"/>
                <w:sz w:val="22"/>
              </w:rPr>
              <w:t xml:space="preserve">Ecuación </w:t>
            </w:r>
          </w:p>
        </w:tc>
        <w:tc>
          <w:tcPr>
            <w:tcW w:w="1418" w:type="dxa"/>
            <w:tcBorders>
              <w:bottom w:val="single" w:sz="4" w:space="0" w:color="auto"/>
            </w:tcBorders>
          </w:tcPr>
          <w:p w14:paraId="5C6EF47D" w14:textId="77777777" w:rsidR="000F7773" w:rsidRPr="001F394D" w:rsidRDefault="000F7773" w:rsidP="00DB0816">
            <w:pPr>
              <w:rPr>
                <w:rFonts w:ascii="Arial" w:eastAsiaTheme="minorEastAsia" w:cs="Arial"/>
                <w:sz w:val="22"/>
              </w:rPr>
            </w:pPr>
            <w:r w:rsidRPr="001F394D">
              <w:rPr>
                <w:rFonts w:ascii="Arial" w:eastAsiaTheme="minorEastAsia" w:cs="Arial"/>
                <w:sz w:val="22"/>
              </w:rPr>
              <w:t>Ecuaciones</w:t>
            </w:r>
          </w:p>
        </w:tc>
        <w:tc>
          <w:tcPr>
            <w:tcW w:w="1184" w:type="dxa"/>
            <w:tcBorders>
              <w:bottom w:val="single" w:sz="4" w:space="0" w:color="auto"/>
            </w:tcBorders>
          </w:tcPr>
          <w:p w14:paraId="27A63EA5" w14:textId="77777777" w:rsidR="000F7773" w:rsidRPr="001F394D" w:rsidRDefault="000F7773" w:rsidP="00DB0816">
            <w:pPr>
              <w:rPr>
                <w:rFonts w:ascii="Arial" w:eastAsiaTheme="minorEastAsia" w:cs="Arial"/>
                <w:sz w:val="22"/>
              </w:rPr>
            </w:pPr>
            <w:r w:rsidRPr="001F394D">
              <w:rPr>
                <w:rFonts w:ascii="Arial" w:eastAsiaTheme="minorEastAsia" w:cs="Arial"/>
                <w:sz w:val="22"/>
              </w:rPr>
              <w:t>Variables</w:t>
            </w:r>
          </w:p>
        </w:tc>
      </w:tr>
      <w:tr w:rsidR="000F7773" w14:paraId="75A8AA9D" w14:textId="77777777" w:rsidTr="00700471">
        <w:trPr>
          <w:trHeight w:val="514"/>
          <w:jc w:val="center"/>
        </w:trPr>
        <w:tc>
          <w:tcPr>
            <w:tcW w:w="1341" w:type="dxa"/>
            <w:tcBorders>
              <w:top w:val="single" w:sz="4" w:space="0" w:color="auto"/>
              <w:right w:val="single" w:sz="4" w:space="0" w:color="auto"/>
            </w:tcBorders>
          </w:tcPr>
          <w:p w14:paraId="2A298841" w14:textId="77777777" w:rsidR="000F7773" w:rsidRDefault="000F7773" w:rsidP="00DB0816">
            <w:pPr>
              <w:rPr>
                <w:rFonts w:eastAsiaTheme="minorEastAsia" w:cs="Arial"/>
              </w:rPr>
            </w:pPr>
            <w:r w:rsidRPr="00950C8C">
              <w:rPr>
                <w:rFonts w:ascii="Arial" w:eastAsiaTheme="minorEastAsia" w:cs="Arial"/>
                <w:position w:val="-12"/>
                <w:lang w:eastAsia="es-ES"/>
              </w:rPr>
              <w:object w:dxaOrig="1040" w:dyaOrig="360" w14:anchorId="22831350">
                <v:shape id="_x0000_i1141" type="#_x0000_t75" style="width:51.75pt;height:20.25pt" o:ole="">
                  <v:imagedata r:id="rId248" o:title=""/>
                </v:shape>
                <o:OLEObject Type="Embed" ProgID="Equation.DSMT4" ShapeID="_x0000_i1141" DrawAspect="Content" ObjectID="_1706014822" r:id="rId249"/>
              </w:object>
            </w:r>
            <w:r>
              <w:rPr>
                <w:rFonts w:eastAsiaTheme="minorEastAsia" w:cs="Arial"/>
              </w:rPr>
              <w:t xml:space="preserve"> </w:t>
            </w:r>
          </w:p>
        </w:tc>
        <w:tc>
          <w:tcPr>
            <w:tcW w:w="5169" w:type="dxa"/>
            <w:tcBorders>
              <w:top w:val="single" w:sz="4" w:space="0" w:color="auto"/>
              <w:left w:val="single" w:sz="4" w:space="0" w:color="auto"/>
            </w:tcBorders>
          </w:tcPr>
          <w:p w14:paraId="165CE874" w14:textId="77777777" w:rsidR="000F7773" w:rsidRPr="007704AF" w:rsidRDefault="000F7773" w:rsidP="00DB0816">
            <w:pPr>
              <w:rPr>
                <w:rFonts w:eastAsiaTheme="minorEastAsia" w:cs="Arial"/>
                <w:lang w:val="en-US"/>
              </w:rPr>
            </w:pPr>
            <w:r w:rsidRPr="009C2D31">
              <w:rPr>
                <w:rFonts w:ascii="Arial" w:eastAsiaTheme="minorEastAsia" w:cs="Arial"/>
                <w:position w:val="-28"/>
                <w:lang w:eastAsia="es-ES"/>
              </w:rPr>
              <w:object w:dxaOrig="2900" w:dyaOrig="540" w14:anchorId="1988BBF5">
                <v:shape id="_x0000_i1142" type="#_x0000_t75" style="width:149.25pt;height:30.75pt" o:ole="">
                  <v:imagedata r:id="rId250" o:title=""/>
                </v:shape>
                <o:OLEObject Type="Embed" ProgID="Equation.DSMT4" ShapeID="_x0000_i1142" DrawAspect="Content" ObjectID="_1706014823" r:id="rId251"/>
              </w:object>
            </w:r>
            <w:r>
              <w:rPr>
                <w:rFonts w:eastAsiaTheme="minorEastAsia" w:cs="Arial"/>
              </w:rPr>
              <w:t xml:space="preserve"> </w:t>
            </w:r>
          </w:p>
        </w:tc>
        <w:tc>
          <w:tcPr>
            <w:tcW w:w="1418" w:type="dxa"/>
            <w:tcBorders>
              <w:top w:val="single" w:sz="4" w:space="0" w:color="auto"/>
            </w:tcBorders>
          </w:tcPr>
          <w:p w14:paraId="054E5E85" w14:textId="2F631C70" w:rsidR="000F7773" w:rsidRDefault="001B4C82" w:rsidP="001F394D">
            <w:pPr>
              <w:jc w:val="center"/>
              <w:rPr>
                <w:rFonts w:eastAsiaTheme="minorEastAsia" w:cs="Arial"/>
              </w:rPr>
            </w:pPr>
            <w:r w:rsidRPr="00BA213D">
              <w:rPr>
                <w:rFonts w:ascii="Arial" w:eastAsiaTheme="minorEastAsia" w:cs="Arial"/>
                <w:position w:val="-6"/>
                <w:lang w:eastAsia="es-ES"/>
              </w:rPr>
              <w:object w:dxaOrig="180" w:dyaOrig="220" w14:anchorId="30B28A13">
                <v:shape id="_x0000_i1143" type="#_x0000_t75" style="width:10.5pt;height:10.5pt" o:ole="">
                  <v:imagedata r:id="rId252" o:title=""/>
                </v:shape>
                <o:OLEObject Type="Embed" ProgID="Equation.DSMT4" ShapeID="_x0000_i1143" DrawAspect="Content" ObjectID="_1706014824" r:id="rId253"/>
              </w:object>
            </w:r>
            <w:r w:rsidR="00BA213D">
              <w:rPr>
                <w:rFonts w:ascii="Arial" w:eastAsiaTheme="minorEastAsia" w:cs="Arial"/>
                <w:lang w:eastAsia="es-ES"/>
              </w:rPr>
              <w:t xml:space="preserve"> </w:t>
            </w:r>
          </w:p>
        </w:tc>
        <w:tc>
          <w:tcPr>
            <w:tcW w:w="1184" w:type="dxa"/>
            <w:tcBorders>
              <w:top w:val="single" w:sz="4" w:space="0" w:color="auto"/>
            </w:tcBorders>
          </w:tcPr>
          <w:p w14:paraId="2A8CC685" w14:textId="77F2AE1C" w:rsidR="000F7773" w:rsidRDefault="00FA2C6B" w:rsidP="00DB0816">
            <w:pPr>
              <w:rPr>
                <w:rFonts w:eastAsiaTheme="minorEastAsia" w:cs="Arial"/>
              </w:rPr>
            </w:pPr>
            <w:r w:rsidRPr="007E493E">
              <w:rPr>
                <w:rFonts w:ascii="Arial" w:eastAsiaTheme="minorEastAsia" w:cs="Arial"/>
                <w:position w:val="-12"/>
                <w:lang w:eastAsia="es-ES"/>
              </w:rPr>
              <w:object w:dxaOrig="639" w:dyaOrig="360" w14:anchorId="55977116">
                <v:shape id="_x0000_i1144" type="#_x0000_t75" style="width:30.75pt;height:20.25pt" o:ole="">
                  <v:imagedata r:id="rId254" o:title=""/>
                </v:shape>
                <o:OLEObject Type="Embed" ProgID="Equation.DSMT4" ShapeID="_x0000_i1144" DrawAspect="Content" ObjectID="_1706014825" r:id="rId255"/>
              </w:object>
            </w:r>
            <w:r w:rsidR="000F7773">
              <w:rPr>
                <w:rFonts w:eastAsiaTheme="minorEastAsia" w:cs="Arial"/>
              </w:rPr>
              <w:t xml:space="preserve"> </w:t>
            </w:r>
          </w:p>
        </w:tc>
      </w:tr>
      <w:tr w:rsidR="000F7773" w14:paraId="19FDB886" w14:textId="77777777" w:rsidTr="00700471">
        <w:trPr>
          <w:trHeight w:val="640"/>
          <w:jc w:val="center"/>
        </w:trPr>
        <w:tc>
          <w:tcPr>
            <w:tcW w:w="1341" w:type="dxa"/>
            <w:tcBorders>
              <w:right w:val="single" w:sz="4" w:space="0" w:color="auto"/>
            </w:tcBorders>
          </w:tcPr>
          <w:p w14:paraId="62A6421E" w14:textId="77777777" w:rsidR="000F7773" w:rsidRDefault="000F7773" w:rsidP="00DB0816">
            <w:pPr>
              <w:rPr>
                <w:rFonts w:eastAsiaTheme="minorEastAsia" w:cs="Arial"/>
              </w:rPr>
            </w:pPr>
            <w:r w:rsidRPr="00C817E7">
              <w:rPr>
                <w:rFonts w:ascii="Arial" w:eastAsiaTheme="minorEastAsia" w:cs="Arial"/>
                <w:position w:val="-12"/>
                <w:lang w:eastAsia="es-ES"/>
              </w:rPr>
              <w:object w:dxaOrig="1080" w:dyaOrig="360" w14:anchorId="2DDA43D7">
                <v:shape id="_x0000_i1145" type="#_x0000_t75" style="width:51.75pt;height:20.25pt" o:ole="">
                  <v:imagedata r:id="rId256" o:title=""/>
                </v:shape>
                <o:OLEObject Type="Embed" ProgID="Equation.DSMT4" ShapeID="_x0000_i1145" DrawAspect="Content" ObjectID="_1706014826" r:id="rId257"/>
              </w:object>
            </w:r>
            <w:r>
              <w:rPr>
                <w:rFonts w:eastAsiaTheme="minorEastAsia" w:cs="Arial"/>
              </w:rPr>
              <w:t xml:space="preserve"> </w:t>
            </w:r>
          </w:p>
        </w:tc>
        <w:tc>
          <w:tcPr>
            <w:tcW w:w="5169" w:type="dxa"/>
            <w:tcBorders>
              <w:left w:val="single" w:sz="4" w:space="0" w:color="auto"/>
            </w:tcBorders>
          </w:tcPr>
          <w:p w14:paraId="1F43671F" w14:textId="77777777" w:rsidR="000F7773" w:rsidRDefault="000F7773" w:rsidP="00DB0816">
            <w:pPr>
              <w:rPr>
                <w:rFonts w:eastAsiaTheme="minorEastAsia" w:cs="Arial"/>
              </w:rPr>
            </w:pPr>
            <w:r w:rsidRPr="004E5D57">
              <w:rPr>
                <w:rFonts w:ascii="Arial" w:eastAsiaTheme="minorEastAsia" w:cs="Arial"/>
                <w:position w:val="-28"/>
                <w:lang w:eastAsia="es-ES"/>
              </w:rPr>
              <w:object w:dxaOrig="5020" w:dyaOrig="540" w14:anchorId="296969B2">
                <v:shape id="_x0000_i1146" type="#_x0000_t75" style="width:252pt;height:30.75pt" o:ole="">
                  <v:imagedata r:id="rId258" o:title=""/>
                </v:shape>
                <o:OLEObject Type="Embed" ProgID="Equation.DSMT4" ShapeID="_x0000_i1146" DrawAspect="Content" ObjectID="_1706014827" r:id="rId259"/>
              </w:object>
            </w:r>
            <w:r>
              <w:rPr>
                <w:rFonts w:eastAsiaTheme="minorEastAsia" w:cs="Arial"/>
              </w:rPr>
              <w:t xml:space="preserve"> </w:t>
            </w:r>
          </w:p>
        </w:tc>
        <w:tc>
          <w:tcPr>
            <w:tcW w:w="1418" w:type="dxa"/>
          </w:tcPr>
          <w:p w14:paraId="77D7CB27" w14:textId="654D2C6F" w:rsidR="000F7773" w:rsidRDefault="001B4C82" w:rsidP="001F394D">
            <w:pPr>
              <w:jc w:val="center"/>
              <w:rPr>
                <w:rFonts w:eastAsiaTheme="minorEastAsia" w:cs="Arial"/>
              </w:rPr>
            </w:pPr>
            <w:r w:rsidRPr="001B4C82">
              <w:rPr>
                <w:rFonts w:ascii="Arial" w:eastAsiaTheme="minorEastAsia" w:cs="Arial"/>
                <w:position w:val="-6"/>
                <w:lang w:eastAsia="es-ES"/>
              </w:rPr>
              <w:object w:dxaOrig="260" w:dyaOrig="220" w14:anchorId="39A0538D">
                <v:shape id="_x0000_i1147" type="#_x0000_t75" style="width:15.75pt;height:10.5pt" o:ole="">
                  <v:imagedata r:id="rId260" o:title=""/>
                </v:shape>
                <o:OLEObject Type="Embed" ProgID="Equation.DSMT4" ShapeID="_x0000_i1147" DrawAspect="Content" ObjectID="_1706014828" r:id="rId261"/>
              </w:object>
            </w:r>
            <w:r>
              <w:rPr>
                <w:rFonts w:ascii="Arial" w:eastAsiaTheme="minorEastAsia" w:cs="Arial"/>
                <w:lang w:eastAsia="es-ES"/>
              </w:rPr>
              <w:t xml:space="preserve"> </w:t>
            </w:r>
          </w:p>
        </w:tc>
        <w:tc>
          <w:tcPr>
            <w:tcW w:w="1184" w:type="dxa"/>
          </w:tcPr>
          <w:p w14:paraId="2C998E88" w14:textId="51B304AE" w:rsidR="000F7773" w:rsidRDefault="0044741F" w:rsidP="00DB0816">
            <w:pPr>
              <w:rPr>
                <w:rFonts w:eastAsiaTheme="minorEastAsia" w:cs="Arial"/>
              </w:rPr>
            </w:pPr>
            <w:r w:rsidRPr="007E493E">
              <w:rPr>
                <w:rFonts w:ascii="Arial" w:eastAsiaTheme="minorEastAsia" w:cs="Arial"/>
                <w:position w:val="-12"/>
                <w:lang w:eastAsia="es-ES"/>
              </w:rPr>
              <w:object w:dxaOrig="600" w:dyaOrig="360" w14:anchorId="0160BFCB">
                <v:shape id="_x0000_i1148" type="#_x0000_t75" style="width:41.25pt;height:20.25pt" o:ole="">
                  <v:imagedata r:id="rId262" o:title=""/>
                </v:shape>
                <o:OLEObject Type="Embed" ProgID="Equation.DSMT4" ShapeID="_x0000_i1148" DrawAspect="Content" ObjectID="_1706014829" r:id="rId263"/>
              </w:object>
            </w:r>
            <w:r w:rsidR="000F7773">
              <w:rPr>
                <w:rFonts w:eastAsiaTheme="minorEastAsia" w:cs="Arial"/>
              </w:rPr>
              <w:t xml:space="preserve"> </w:t>
            </w:r>
          </w:p>
        </w:tc>
      </w:tr>
      <w:tr w:rsidR="000F7773" w14:paraId="3700B134" w14:textId="77777777" w:rsidTr="00700471">
        <w:trPr>
          <w:trHeight w:val="477"/>
          <w:jc w:val="center"/>
        </w:trPr>
        <w:tc>
          <w:tcPr>
            <w:tcW w:w="1341" w:type="dxa"/>
            <w:tcBorders>
              <w:bottom w:val="single" w:sz="4" w:space="0" w:color="auto"/>
              <w:right w:val="single" w:sz="4" w:space="0" w:color="auto"/>
            </w:tcBorders>
          </w:tcPr>
          <w:p w14:paraId="359C9A3D" w14:textId="77777777" w:rsidR="000F7773" w:rsidRDefault="000F7773" w:rsidP="00DB0816">
            <w:pPr>
              <w:rPr>
                <w:rFonts w:eastAsiaTheme="minorEastAsia" w:cs="Arial"/>
              </w:rPr>
            </w:pPr>
            <w:r w:rsidRPr="00C817E7">
              <w:rPr>
                <w:rFonts w:ascii="Arial" w:eastAsiaTheme="minorEastAsia" w:cs="Arial"/>
                <w:position w:val="-12"/>
                <w:lang w:eastAsia="es-ES"/>
              </w:rPr>
              <w:object w:dxaOrig="1120" w:dyaOrig="360" w14:anchorId="77AA7A5A">
                <v:shape id="_x0000_i1149" type="#_x0000_t75" style="width:56.25pt;height:20.25pt" o:ole="">
                  <v:imagedata r:id="rId264" o:title=""/>
                </v:shape>
                <o:OLEObject Type="Embed" ProgID="Equation.DSMT4" ShapeID="_x0000_i1149" DrawAspect="Content" ObjectID="_1706014830" r:id="rId265"/>
              </w:object>
            </w:r>
            <w:r>
              <w:rPr>
                <w:rFonts w:eastAsiaTheme="minorEastAsia" w:cs="Arial"/>
              </w:rPr>
              <w:t xml:space="preserve"> </w:t>
            </w:r>
          </w:p>
        </w:tc>
        <w:tc>
          <w:tcPr>
            <w:tcW w:w="5169" w:type="dxa"/>
            <w:tcBorders>
              <w:left w:val="single" w:sz="4" w:space="0" w:color="auto"/>
              <w:bottom w:val="single" w:sz="4" w:space="0" w:color="auto"/>
            </w:tcBorders>
          </w:tcPr>
          <w:p w14:paraId="53D5DA6B" w14:textId="77777777" w:rsidR="000F7773" w:rsidRDefault="000F7773" w:rsidP="00DB0816">
            <w:pPr>
              <w:tabs>
                <w:tab w:val="left" w:pos="980"/>
              </w:tabs>
              <w:rPr>
                <w:rFonts w:eastAsiaTheme="minorEastAsia" w:cs="Arial"/>
              </w:rPr>
            </w:pPr>
            <w:r w:rsidRPr="007C7A66">
              <w:rPr>
                <w:rFonts w:ascii="Arial" w:eastAsiaTheme="minorEastAsia" w:cs="Arial"/>
                <w:position w:val="-28"/>
                <w:lang w:eastAsia="es-ES"/>
              </w:rPr>
              <w:object w:dxaOrig="3019" w:dyaOrig="540" w14:anchorId="6224C3F5">
                <v:shape id="_x0000_i1150" type="#_x0000_t75" style="width:149.25pt;height:30.75pt" o:ole="">
                  <v:imagedata r:id="rId266" o:title=""/>
                </v:shape>
                <o:OLEObject Type="Embed" ProgID="Equation.DSMT4" ShapeID="_x0000_i1150" DrawAspect="Content" ObjectID="_1706014831" r:id="rId267"/>
              </w:object>
            </w:r>
            <w:r>
              <w:rPr>
                <w:rFonts w:eastAsiaTheme="minorEastAsia" w:cs="Arial"/>
              </w:rPr>
              <w:tab/>
            </w:r>
          </w:p>
        </w:tc>
        <w:tc>
          <w:tcPr>
            <w:tcW w:w="1418" w:type="dxa"/>
            <w:tcBorders>
              <w:bottom w:val="single" w:sz="4" w:space="0" w:color="auto"/>
            </w:tcBorders>
          </w:tcPr>
          <w:p w14:paraId="4E2926EB" w14:textId="7F004D12" w:rsidR="000F7773" w:rsidRDefault="001B4C82" w:rsidP="001F394D">
            <w:pPr>
              <w:jc w:val="center"/>
              <w:rPr>
                <w:rFonts w:eastAsiaTheme="minorEastAsia" w:cs="Arial"/>
              </w:rPr>
            </w:pPr>
            <w:r w:rsidRPr="001B4C82">
              <w:rPr>
                <w:rFonts w:ascii="Arial" w:eastAsiaTheme="minorEastAsia" w:cs="Arial"/>
                <w:position w:val="-6"/>
                <w:lang w:eastAsia="es-ES"/>
              </w:rPr>
              <w:object w:dxaOrig="260" w:dyaOrig="220" w14:anchorId="75DC4119">
                <v:shape id="_x0000_i1151" type="#_x0000_t75" style="width:15.75pt;height:10.5pt" o:ole="">
                  <v:imagedata r:id="rId268" o:title=""/>
                </v:shape>
                <o:OLEObject Type="Embed" ProgID="Equation.DSMT4" ShapeID="_x0000_i1151" DrawAspect="Content" ObjectID="_1706014832" r:id="rId269"/>
              </w:object>
            </w:r>
            <w:r>
              <w:rPr>
                <w:rFonts w:ascii="Arial" w:eastAsiaTheme="minorEastAsia" w:cs="Arial"/>
                <w:lang w:eastAsia="es-ES"/>
              </w:rPr>
              <w:t xml:space="preserve"> </w:t>
            </w:r>
          </w:p>
        </w:tc>
        <w:tc>
          <w:tcPr>
            <w:tcW w:w="1184" w:type="dxa"/>
            <w:tcBorders>
              <w:bottom w:val="single" w:sz="4" w:space="0" w:color="auto"/>
            </w:tcBorders>
          </w:tcPr>
          <w:p w14:paraId="1BC6DC5E" w14:textId="4944E00C" w:rsidR="000F7773" w:rsidRDefault="0044741F" w:rsidP="00DB0816">
            <w:pPr>
              <w:rPr>
                <w:rFonts w:eastAsiaTheme="minorEastAsia" w:cs="Arial"/>
              </w:rPr>
            </w:pPr>
            <w:r w:rsidRPr="005456D9">
              <w:rPr>
                <w:rFonts w:ascii="Arial" w:eastAsiaTheme="minorEastAsia" w:cs="Arial"/>
                <w:position w:val="-12"/>
                <w:lang w:eastAsia="es-ES"/>
              </w:rPr>
              <w:object w:dxaOrig="780" w:dyaOrig="360" w14:anchorId="0AA9F562">
                <v:shape id="_x0000_i1152" type="#_x0000_t75" style="width:36pt;height:20.25pt" o:ole="">
                  <v:imagedata r:id="rId270" o:title=""/>
                </v:shape>
                <o:OLEObject Type="Embed" ProgID="Equation.DSMT4" ShapeID="_x0000_i1152" DrawAspect="Content" ObjectID="_1706014833" r:id="rId271"/>
              </w:object>
            </w:r>
            <w:r w:rsidR="000F7773">
              <w:rPr>
                <w:rFonts w:eastAsiaTheme="minorEastAsia" w:cs="Arial"/>
              </w:rPr>
              <w:t xml:space="preserve"> </w:t>
            </w:r>
          </w:p>
        </w:tc>
      </w:tr>
    </w:tbl>
    <w:p w14:paraId="439FDFF3" w14:textId="3B6807C8" w:rsidR="000F7773" w:rsidRPr="00700471" w:rsidRDefault="000F7773" w:rsidP="000F7773">
      <w:pPr>
        <w:rPr>
          <w:rFonts w:cs="Arial"/>
          <w:sz w:val="18"/>
        </w:rPr>
      </w:pPr>
      <w:r w:rsidRPr="00220F06">
        <w:rPr>
          <w:rFonts w:cs="Arial"/>
          <w:sz w:val="18"/>
        </w:rPr>
        <w:t xml:space="preserve">Fuente: </w:t>
      </w:r>
      <w:r w:rsidRPr="00220F06">
        <w:rPr>
          <w:rFonts w:cs="Arial"/>
          <w:sz w:val="18"/>
        </w:rPr>
        <w:fldChar w:fldCharType="begin" w:fldLock="1"/>
      </w:r>
      <w:r w:rsidR="00475856">
        <w:rPr>
          <w:rFonts w:cs="Arial"/>
          <w:sz w:val="18"/>
        </w:rPr>
        <w:instrText>ADDIN CSL_CITATION {"citationItems":[{"id":"ITEM-1","itemData":{"author":[{"dropping-particle":"","family":"McDonald","given":"Scott","non-dropping-particle":"","parse-names":false,"suffix":""},{"dropping-particle":"","family":"Thierfelder","given":"Karen","non-dropping-particle":"","parse-names":false,"suffix":""}],"id":"ITEM-1","issue":"January","issued":{"date-parts":[["2017"]]},"number-of-pages":"1-89","title":"A Static Applied General Equilibrium Model: Technical Documentation - STAGE_int Version","type":"report"},"uris":["http://www.mendeley.com/documents/?uuid=83316eb5-e8df-4029-aa83-a2c1fd511a0d"]}],"mendeley":{"formattedCitation":"(McDonald &amp; Thierfelder, 2017)","manualFormatting":"McDonald &amp; Thierfelder (2017)","plainTextFormattedCitation":"(McDonald &amp; Thierfelder, 2017)","previouslyFormattedCitation":"(McDonald &amp; Thierfelder, 2017)"},"properties":{"noteIndex":0},"schema":"https://github.com/citation-style-language/schema/raw/master/csl-citation.json"}</w:instrText>
      </w:r>
      <w:r w:rsidRPr="00220F06">
        <w:rPr>
          <w:rFonts w:cs="Arial"/>
          <w:sz w:val="18"/>
        </w:rPr>
        <w:fldChar w:fldCharType="separate"/>
      </w:r>
      <w:r w:rsidRPr="00220F06">
        <w:rPr>
          <w:rFonts w:cs="Arial"/>
          <w:noProof/>
          <w:sz w:val="18"/>
        </w:rPr>
        <w:t>McDonald &amp; Thierfelder (2017)</w:t>
      </w:r>
      <w:r w:rsidRPr="00220F06">
        <w:rPr>
          <w:rFonts w:cs="Arial"/>
          <w:sz w:val="18"/>
        </w:rPr>
        <w:fldChar w:fldCharType="end"/>
      </w:r>
      <w:r w:rsidRPr="00220F06">
        <w:rPr>
          <w:rFonts w:cs="Arial"/>
          <w:sz w:val="18"/>
        </w:rPr>
        <w:t>.</w:t>
      </w:r>
    </w:p>
    <w:p w14:paraId="4DEA538D" w14:textId="125FED7E" w:rsidR="000F7773" w:rsidRDefault="000F7773" w:rsidP="00700471">
      <w:pPr>
        <w:spacing w:line="240" w:lineRule="auto"/>
        <w:rPr>
          <w:rFonts w:eastAsiaTheme="minorEastAsia" w:cs="Arial"/>
        </w:rPr>
      </w:pPr>
      <w:r>
        <w:rPr>
          <w:rFonts w:eastAsiaTheme="minorEastAsia" w:cs="Arial"/>
        </w:rPr>
        <w:t>Siguiendo esta misma línea, la oferta de precios se calcula como función de los bienes producidos localmente y las importaciones (Dada la condición de primer orden para la composición de bienes). La oferta de precios de los bienes producidos localmente</w:t>
      </w:r>
      <w:bookmarkStart w:id="72" w:name="MTBlankEqn"/>
      <w:r>
        <w:rPr>
          <w:rFonts w:eastAsiaTheme="minorEastAsia" w:cs="Arial"/>
        </w:rPr>
        <w:t xml:space="preserve"> (</w:t>
      </w:r>
      <w:r w:rsidRPr="00F4132D">
        <w:rPr>
          <w:position w:val="-12"/>
        </w:rPr>
        <w:object w:dxaOrig="600" w:dyaOrig="360" w14:anchorId="3537558B">
          <v:shape id="_x0000_i1153" type="#_x0000_t75" style="width:30.75pt;height:20.25pt" o:ole="">
            <v:imagedata r:id="rId272" o:title=""/>
          </v:shape>
          <o:OLEObject Type="Embed" ProgID="Equation.DSMT4" ShapeID="_x0000_i1153" DrawAspect="Content" ObjectID="_1706014834" r:id="rId273"/>
        </w:object>
      </w:r>
      <w:bookmarkEnd w:id="72"/>
      <w:r>
        <w:rPr>
          <w:rFonts w:eastAsiaTheme="minorEastAsia" w:cs="Arial"/>
        </w:rPr>
        <w:t xml:space="preserve">), se genera por la suma pondera de los bienes producidos localmente y los exportados, de igual manera esta ecuación se desprende de la condición de primer orden de la composición de este tipo de bien. Finalmente, los consumidores locales son sujetos al impuesto de ventas e impuestos especiales en la formación del precio final, esto se aprecia en la </w:t>
      </w:r>
      <w:r w:rsidR="00104214">
        <w:rPr>
          <w:rFonts w:eastAsiaTheme="minorEastAsia" w:cs="Arial"/>
        </w:rPr>
        <w:fldChar w:fldCharType="begin"/>
      </w:r>
      <w:r w:rsidR="00104214">
        <w:rPr>
          <w:rFonts w:eastAsiaTheme="minorEastAsia" w:cs="Arial"/>
        </w:rPr>
        <w:instrText xml:space="preserve"> REF _Ref524803271 \h </w:instrText>
      </w:r>
      <w:r w:rsidR="00104214">
        <w:instrText>\* lower</w:instrText>
      </w:r>
      <w:r w:rsidR="00104214">
        <w:rPr>
          <w:rFonts w:eastAsiaTheme="minorEastAsia" w:cs="Arial"/>
        </w:rPr>
        <w:instrText xml:space="preserve"> </w:instrText>
      </w:r>
      <w:r w:rsidR="00104214">
        <w:rPr>
          <w:rFonts w:eastAsiaTheme="minorEastAsia" w:cs="Arial"/>
        </w:rPr>
      </w:r>
      <w:r w:rsidR="00104214">
        <w:rPr>
          <w:rFonts w:eastAsiaTheme="minorEastAsia" w:cs="Arial"/>
        </w:rPr>
        <w:fldChar w:fldCharType="separate"/>
      </w:r>
      <w:r w:rsidR="00A95E32">
        <w:t xml:space="preserve">tabla </w:t>
      </w:r>
      <w:r w:rsidR="00A95E32">
        <w:rPr>
          <w:noProof/>
        </w:rPr>
        <w:t>5</w:t>
      </w:r>
      <w:r w:rsidR="00104214">
        <w:rPr>
          <w:rFonts w:eastAsiaTheme="minorEastAsia" w:cs="Arial"/>
        </w:rPr>
        <w:fldChar w:fldCharType="end"/>
      </w:r>
      <w:r>
        <w:rPr>
          <w:rFonts w:eastAsiaTheme="minorEastAsia" w:cs="Arial"/>
        </w:rPr>
        <w:t>.</w:t>
      </w:r>
    </w:p>
    <w:p w14:paraId="31942EA7" w14:textId="67671454" w:rsidR="000F7773" w:rsidRDefault="000F7773" w:rsidP="000F7773">
      <w:pPr>
        <w:pStyle w:val="Caption"/>
      </w:pPr>
      <w:bookmarkStart w:id="73" w:name="_Ref524803271"/>
      <w:bookmarkStart w:id="74" w:name="_Toc524946943"/>
      <w:bookmarkStart w:id="75" w:name="_Toc525033947"/>
      <w:bookmarkStart w:id="76" w:name="_Toc526175248"/>
      <w:bookmarkStart w:id="77" w:name="_Toc2853695"/>
      <w:r>
        <w:t xml:space="preserve">Tabla </w:t>
      </w:r>
      <w:r w:rsidR="00F700CF">
        <w:rPr>
          <w:noProof/>
        </w:rPr>
        <w:fldChar w:fldCharType="begin"/>
      </w:r>
      <w:r w:rsidR="00F700CF">
        <w:rPr>
          <w:noProof/>
        </w:rPr>
        <w:instrText xml:space="preserve"> SEQ Tabla \* ARABIC </w:instrText>
      </w:r>
      <w:r w:rsidR="00F700CF">
        <w:rPr>
          <w:noProof/>
        </w:rPr>
        <w:fldChar w:fldCharType="separate"/>
      </w:r>
      <w:r w:rsidR="00A95E32">
        <w:rPr>
          <w:noProof/>
        </w:rPr>
        <w:t>5</w:t>
      </w:r>
      <w:r w:rsidR="00F700CF">
        <w:rPr>
          <w:noProof/>
        </w:rPr>
        <w:fldChar w:fldCharType="end"/>
      </w:r>
      <w:bookmarkEnd w:id="73"/>
      <w:r>
        <w:t xml:space="preserve"> </w:t>
      </w:r>
      <w:r>
        <w:br/>
      </w:r>
      <w:r w:rsidRPr="00AF7CAD">
        <w:t>Bloque de precios de los bienes</w:t>
      </w:r>
      <w:bookmarkEnd w:id="74"/>
      <w:bookmarkEnd w:id="75"/>
      <w:bookmarkEnd w:id="76"/>
      <w:bookmarkEnd w:id="77"/>
    </w:p>
    <w:tbl>
      <w:tblPr>
        <w:tblStyle w:val="TableGrid"/>
        <w:tblW w:w="936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35"/>
        <w:gridCol w:w="5255"/>
        <w:gridCol w:w="1457"/>
        <w:gridCol w:w="1217"/>
      </w:tblGrid>
      <w:tr w:rsidR="000F7773" w14:paraId="467F2619" w14:textId="77777777" w:rsidTr="00DB0816">
        <w:trPr>
          <w:trHeight w:val="548"/>
          <w:jc w:val="center"/>
        </w:trPr>
        <w:tc>
          <w:tcPr>
            <w:tcW w:w="1435" w:type="dxa"/>
            <w:tcBorders>
              <w:bottom w:val="single" w:sz="4" w:space="0" w:color="auto"/>
              <w:right w:val="single" w:sz="4" w:space="0" w:color="auto"/>
            </w:tcBorders>
          </w:tcPr>
          <w:p w14:paraId="1CCE7BC3" w14:textId="77777777" w:rsidR="000F7773" w:rsidRPr="001F394D" w:rsidRDefault="000F7773" w:rsidP="00DB0816">
            <w:pPr>
              <w:rPr>
                <w:rFonts w:ascii="Arial" w:eastAsiaTheme="minorEastAsia" w:cs="Arial"/>
                <w:sz w:val="22"/>
              </w:rPr>
            </w:pPr>
            <w:r w:rsidRPr="001F394D">
              <w:rPr>
                <w:rFonts w:ascii="Arial" w:eastAsiaTheme="minorEastAsia" w:cs="Arial"/>
                <w:sz w:val="22"/>
              </w:rPr>
              <w:t>Nombre</w:t>
            </w:r>
          </w:p>
        </w:tc>
        <w:tc>
          <w:tcPr>
            <w:tcW w:w="5255" w:type="dxa"/>
            <w:tcBorders>
              <w:left w:val="single" w:sz="4" w:space="0" w:color="auto"/>
              <w:bottom w:val="single" w:sz="4" w:space="0" w:color="auto"/>
            </w:tcBorders>
          </w:tcPr>
          <w:p w14:paraId="386E9912" w14:textId="77777777" w:rsidR="000F7773" w:rsidRPr="001F394D" w:rsidRDefault="000F7773" w:rsidP="00DB0816">
            <w:pPr>
              <w:rPr>
                <w:rFonts w:ascii="Arial" w:eastAsiaTheme="minorEastAsia" w:cs="Arial"/>
                <w:sz w:val="22"/>
              </w:rPr>
            </w:pPr>
            <w:r w:rsidRPr="001F394D">
              <w:rPr>
                <w:rFonts w:ascii="Arial" w:eastAsiaTheme="minorEastAsia" w:cs="Arial"/>
                <w:sz w:val="22"/>
              </w:rPr>
              <w:t xml:space="preserve">Ecuación </w:t>
            </w:r>
          </w:p>
        </w:tc>
        <w:tc>
          <w:tcPr>
            <w:tcW w:w="1457" w:type="dxa"/>
            <w:tcBorders>
              <w:bottom w:val="single" w:sz="4" w:space="0" w:color="auto"/>
            </w:tcBorders>
          </w:tcPr>
          <w:p w14:paraId="05F307FB" w14:textId="77777777" w:rsidR="000F7773" w:rsidRPr="001F394D" w:rsidRDefault="000F7773" w:rsidP="00DB0816">
            <w:pPr>
              <w:rPr>
                <w:rFonts w:ascii="Arial" w:eastAsiaTheme="minorEastAsia" w:cs="Arial"/>
                <w:sz w:val="22"/>
              </w:rPr>
            </w:pPr>
            <w:r w:rsidRPr="001F394D">
              <w:rPr>
                <w:rFonts w:ascii="Arial" w:eastAsiaTheme="minorEastAsia" w:cs="Arial"/>
                <w:sz w:val="22"/>
              </w:rPr>
              <w:t>Ecuaciones</w:t>
            </w:r>
          </w:p>
        </w:tc>
        <w:tc>
          <w:tcPr>
            <w:tcW w:w="1217" w:type="dxa"/>
            <w:tcBorders>
              <w:bottom w:val="single" w:sz="4" w:space="0" w:color="auto"/>
            </w:tcBorders>
          </w:tcPr>
          <w:p w14:paraId="5785E3C0" w14:textId="77777777" w:rsidR="000F7773" w:rsidRPr="001F394D" w:rsidRDefault="000F7773" w:rsidP="00DB0816">
            <w:pPr>
              <w:rPr>
                <w:rFonts w:ascii="Arial" w:eastAsiaTheme="minorEastAsia" w:cs="Arial"/>
                <w:sz w:val="22"/>
              </w:rPr>
            </w:pPr>
            <w:r w:rsidRPr="001F394D">
              <w:rPr>
                <w:rFonts w:ascii="Arial" w:eastAsiaTheme="minorEastAsia" w:cs="Arial"/>
                <w:sz w:val="22"/>
              </w:rPr>
              <w:t>Variables</w:t>
            </w:r>
          </w:p>
        </w:tc>
      </w:tr>
      <w:tr w:rsidR="000F7773" w14:paraId="31EFBC4D" w14:textId="77777777" w:rsidTr="00DB0816">
        <w:trPr>
          <w:trHeight w:val="487"/>
          <w:jc w:val="center"/>
        </w:trPr>
        <w:tc>
          <w:tcPr>
            <w:tcW w:w="1435" w:type="dxa"/>
            <w:tcBorders>
              <w:top w:val="single" w:sz="4" w:space="0" w:color="auto"/>
              <w:right w:val="single" w:sz="4" w:space="0" w:color="auto"/>
            </w:tcBorders>
          </w:tcPr>
          <w:p w14:paraId="16E575C2" w14:textId="77777777" w:rsidR="000F7773" w:rsidRDefault="000F7773" w:rsidP="00DB0816">
            <w:pPr>
              <w:rPr>
                <w:rFonts w:eastAsiaTheme="minorEastAsia" w:cs="Arial"/>
              </w:rPr>
            </w:pPr>
            <w:r w:rsidRPr="00950C8C">
              <w:rPr>
                <w:rFonts w:ascii="Arial" w:eastAsiaTheme="minorEastAsia" w:cs="Arial"/>
                <w:position w:val="-12"/>
                <w:lang w:eastAsia="es-ES"/>
              </w:rPr>
              <w:object w:dxaOrig="1080" w:dyaOrig="360" w14:anchorId="26D97E07">
                <v:shape id="_x0000_i1154" type="#_x0000_t75" style="width:56.25pt;height:20.25pt" o:ole="">
                  <v:imagedata r:id="rId274" o:title=""/>
                </v:shape>
                <o:OLEObject Type="Embed" ProgID="Equation.DSMT4" ShapeID="_x0000_i1154" DrawAspect="Content" ObjectID="_1706014835" r:id="rId275"/>
              </w:object>
            </w:r>
            <w:r>
              <w:rPr>
                <w:rFonts w:eastAsiaTheme="minorEastAsia" w:cs="Arial"/>
              </w:rPr>
              <w:t xml:space="preserve"> </w:t>
            </w:r>
          </w:p>
        </w:tc>
        <w:tc>
          <w:tcPr>
            <w:tcW w:w="5255" w:type="dxa"/>
            <w:tcBorders>
              <w:top w:val="single" w:sz="4" w:space="0" w:color="auto"/>
              <w:left w:val="single" w:sz="4" w:space="0" w:color="auto"/>
            </w:tcBorders>
          </w:tcPr>
          <w:p w14:paraId="7BE363CC" w14:textId="1D4DB3FB" w:rsidR="000F7773" w:rsidRPr="007704AF" w:rsidRDefault="004D112F" w:rsidP="00DB0816">
            <w:pPr>
              <w:rPr>
                <w:rFonts w:eastAsiaTheme="minorEastAsia" w:cs="Arial"/>
                <w:lang w:val="en-US"/>
              </w:rPr>
            </w:pPr>
            <w:r w:rsidRPr="00DA15FA">
              <w:rPr>
                <w:rFonts w:ascii="Arial" w:eastAsiaTheme="minorEastAsia" w:cs="Arial"/>
                <w:position w:val="-12"/>
                <w:lang w:eastAsia="es-ES"/>
              </w:rPr>
              <w:object w:dxaOrig="4280" w:dyaOrig="360" w14:anchorId="00C4A5CB">
                <v:shape id="_x0000_i1155" type="#_x0000_t75" style="width:217.5pt;height:20.25pt" o:ole="">
                  <v:imagedata r:id="rId276" o:title=""/>
                </v:shape>
                <o:OLEObject Type="Embed" ProgID="Equation.DSMT4" ShapeID="_x0000_i1155" DrawAspect="Content" ObjectID="_1706014836" r:id="rId277"/>
              </w:object>
            </w:r>
            <w:r w:rsidR="000F7773">
              <w:rPr>
                <w:rFonts w:eastAsiaTheme="minorEastAsia" w:cs="Arial"/>
              </w:rPr>
              <w:t xml:space="preserve"> </w:t>
            </w:r>
          </w:p>
        </w:tc>
        <w:tc>
          <w:tcPr>
            <w:tcW w:w="1457" w:type="dxa"/>
            <w:tcBorders>
              <w:top w:val="single" w:sz="4" w:space="0" w:color="auto"/>
            </w:tcBorders>
          </w:tcPr>
          <w:p w14:paraId="5D787E85" w14:textId="279133B6" w:rsidR="000F7773" w:rsidRDefault="001B4C82" w:rsidP="001F394D">
            <w:pPr>
              <w:jc w:val="center"/>
              <w:rPr>
                <w:rFonts w:eastAsiaTheme="minorEastAsia" w:cs="Arial"/>
              </w:rPr>
            </w:pPr>
            <w:r w:rsidRPr="001B4C82">
              <w:rPr>
                <w:rFonts w:ascii="Arial" w:eastAsiaTheme="minorEastAsia" w:cs="Arial"/>
                <w:position w:val="-6"/>
                <w:lang w:eastAsia="es-ES"/>
              </w:rPr>
              <w:object w:dxaOrig="180" w:dyaOrig="220" w14:anchorId="1D139CB2">
                <v:shape id="_x0000_i1156" type="#_x0000_t75" style="width:10.5pt;height:10.5pt" o:ole="">
                  <v:imagedata r:id="rId278" o:title=""/>
                </v:shape>
                <o:OLEObject Type="Embed" ProgID="Equation.DSMT4" ShapeID="_x0000_i1156" DrawAspect="Content" ObjectID="_1706014837" r:id="rId279"/>
              </w:object>
            </w:r>
            <w:r>
              <w:rPr>
                <w:rFonts w:ascii="Arial" w:eastAsiaTheme="minorEastAsia" w:cs="Arial"/>
                <w:lang w:eastAsia="es-ES"/>
              </w:rPr>
              <w:t xml:space="preserve"> </w:t>
            </w:r>
          </w:p>
        </w:tc>
        <w:tc>
          <w:tcPr>
            <w:tcW w:w="1217" w:type="dxa"/>
            <w:tcBorders>
              <w:top w:val="single" w:sz="4" w:space="0" w:color="auto"/>
            </w:tcBorders>
          </w:tcPr>
          <w:p w14:paraId="729AA66E" w14:textId="6C8D99CF" w:rsidR="000F7773" w:rsidRDefault="0068152A" w:rsidP="00DB0816">
            <w:pPr>
              <w:rPr>
                <w:rFonts w:eastAsiaTheme="minorEastAsia" w:cs="Arial"/>
              </w:rPr>
            </w:pPr>
            <w:r w:rsidRPr="007E493E">
              <w:rPr>
                <w:rFonts w:ascii="Arial" w:eastAsiaTheme="minorEastAsia" w:cs="Arial"/>
                <w:position w:val="-12"/>
                <w:lang w:eastAsia="es-ES"/>
              </w:rPr>
              <w:object w:dxaOrig="639" w:dyaOrig="360" w14:anchorId="426DD971">
                <v:shape id="_x0000_i1157" type="#_x0000_t75" style="width:30.75pt;height:20.25pt" o:ole="">
                  <v:imagedata r:id="rId280" o:title=""/>
                </v:shape>
                <o:OLEObject Type="Embed" ProgID="Equation.DSMT4" ShapeID="_x0000_i1157" DrawAspect="Content" ObjectID="_1706014838" r:id="rId281"/>
              </w:object>
            </w:r>
            <w:r w:rsidR="000F7773">
              <w:rPr>
                <w:rFonts w:eastAsiaTheme="minorEastAsia" w:cs="Arial"/>
              </w:rPr>
              <w:t xml:space="preserve"> </w:t>
            </w:r>
          </w:p>
        </w:tc>
      </w:tr>
      <w:tr w:rsidR="000F7773" w14:paraId="7EB84AEE" w14:textId="77777777" w:rsidTr="00DB0816">
        <w:trPr>
          <w:trHeight w:val="607"/>
          <w:jc w:val="center"/>
        </w:trPr>
        <w:tc>
          <w:tcPr>
            <w:tcW w:w="1435" w:type="dxa"/>
            <w:tcBorders>
              <w:right w:val="single" w:sz="4" w:space="0" w:color="auto"/>
            </w:tcBorders>
          </w:tcPr>
          <w:p w14:paraId="5517B701" w14:textId="77777777" w:rsidR="000F7773" w:rsidRDefault="000F7773" w:rsidP="00DB0816">
            <w:pPr>
              <w:rPr>
                <w:rFonts w:eastAsiaTheme="minorEastAsia" w:cs="Arial"/>
              </w:rPr>
            </w:pPr>
            <w:r w:rsidRPr="00C817E7">
              <w:rPr>
                <w:rFonts w:ascii="Arial" w:eastAsiaTheme="minorEastAsia" w:cs="Arial"/>
                <w:position w:val="-12"/>
                <w:lang w:eastAsia="es-ES"/>
              </w:rPr>
              <w:object w:dxaOrig="1040" w:dyaOrig="360" w14:anchorId="0B3BA32D">
                <v:shape id="_x0000_i1158" type="#_x0000_t75" style="width:51.75pt;height:20.25pt" o:ole="">
                  <v:imagedata r:id="rId282" o:title=""/>
                </v:shape>
                <o:OLEObject Type="Embed" ProgID="Equation.DSMT4" ShapeID="_x0000_i1158" DrawAspect="Content" ObjectID="_1706014839" r:id="rId283"/>
              </w:object>
            </w:r>
            <w:r>
              <w:rPr>
                <w:rFonts w:eastAsiaTheme="minorEastAsia" w:cs="Arial"/>
              </w:rPr>
              <w:t xml:space="preserve"> </w:t>
            </w:r>
          </w:p>
        </w:tc>
        <w:tc>
          <w:tcPr>
            <w:tcW w:w="5255" w:type="dxa"/>
            <w:tcBorders>
              <w:left w:val="single" w:sz="4" w:space="0" w:color="auto"/>
            </w:tcBorders>
          </w:tcPr>
          <w:p w14:paraId="09D483D3" w14:textId="77777777" w:rsidR="000F7773" w:rsidRDefault="000F7773" w:rsidP="00DB0816">
            <w:pPr>
              <w:rPr>
                <w:rFonts w:eastAsiaTheme="minorEastAsia" w:cs="Arial"/>
              </w:rPr>
            </w:pPr>
            <w:r w:rsidRPr="009855D6">
              <w:rPr>
                <w:rFonts w:ascii="Arial" w:eastAsiaTheme="minorEastAsia" w:cs="Arial"/>
                <w:position w:val="-30"/>
                <w:lang w:eastAsia="es-ES"/>
              </w:rPr>
              <w:object w:dxaOrig="4740" w:dyaOrig="680" w14:anchorId="09EFAC59">
                <v:shape id="_x0000_i1159" type="#_x0000_t75" style="width:236.25pt;height:36pt" o:ole="">
                  <v:imagedata r:id="rId284" o:title=""/>
                </v:shape>
                <o:OLEObject Type="Embed" ProgID="Equation.DSMT4" ShapeID="_x0000_i1159" DrawAspect="Content" ObjectID="_1706014840" r:id="rId285"/>
              </w:object>
            </w:r>
            <w:r>
              <w:rPr>
                <w:rFonts w:eastAsiaTheme="minorEastAsia" w:cs="Arial"/>
              </w:rPr>
              <w:t xml:space="preserve"> </w:t>
            </w:r>
          </w:p>
        </w:tc>
        <w:tc>
          <w:tcPr>
            <w:tcW w:w="1457" w:type="dxa"/>
          </w:tcPr>
          <w:p w14:paraId="38D1DCB1" w14:textId="76176BF1" w:rsidR="000F7773" w:rsidRDefault="001B4C82" w:rsidP="001F394D">
            <w:pPr>
              <w:jc w:val="center"/>
              <w:rPr>
                <w:rFonts w:eastAsiaTheme="minorEastAsia" w:cs="Arial"/>
              </w:rPr>
            </w:pPr>
            <w:r w:rsidRPr="001B4C82">
              <w:rPr>
                <w:rFonts w:ascii="Arial" w:eastAsiaTheme="minorEastAsia" w:cs="Arial"/>
                <w:position w:val="-6"/>
                <w:lang w:eastAsia="es-ES"/>
              </w:rPr>
              <w:object w:dxaOrig="180" w:dyaOrig="220" w14:anchorId="74310800">
                <v:shape id="_x0000_i1160" type="#_x0000_t75" style="width:10.5pt;height:10.5pt" o:ole="">
                  <v:imagedata r:id="rId286" o:title=""/>
                </v:shape>
                <o:OLEObject Type="Embed" ProgID="Equation.DSMT4" ShapeID="_x0000_i1160" DrawAspect="Content" ObjectID="_1706014841" r:id="rId287"/>
              </w:object>
            </w:r>
            <w:r>
              <w:rPr>
                <w:rFonts w:ascii="Arial" w:eastAsiaTheme="minorEastAsia" w:cs="Arial"/>
                <w:lang w:eastAsia="es-ES"/>
              </w:rPr>
              <w:t xml:space="preserve"> </w:t>
            </w:r>
          </w:p>
        </w:tc>
        <w:tc>
          <w:tcPr>
            <w:tcW w:w="1217" w:type="dxa"/>
          </w:tcPr>
          <w:p w14:paraId="2D7FF0F1" w14:textId="1C383DD1" w:rsidR="0044741F" w:rsidRDefault="0068152A" w:rsidP="00DB0816">
            <w:pPr>
              <w:rPr>
                <w:rFonts w:ascii="Arial" w:eastAsiaTheme="minorEastAsia" w:cs="Arial"/>
                <w:lang w:eastAsia="es-ES"/>
              </w:rPr>
            </w:pPr>
            <w:r w:rsidRPr="0044741F">
              <w:rPr>
                <w:rFonts w:ascii="Arial" w:eastAsiaTheme="minorEastAsia" w:cs="Arial"/>
                <w:position w:val="-12"/>
                <w:lang w:eastAsia="es-ES"/>
              </w:rPr>
              <w:object w:dxaOrig="600" w:dyaOrig="360" w14:anchorId="208187E5">
                <v:shape id="_x0000_i1161" type="#_x0000_t75" style="width:30.75pt;height:20.25pt" o:ole="">
                  <v:imagedata r:id="rId288" o:title=""/>
                </v:shape>
                <o:OLEObject Type="Embed" ProgID="Equation.DSMT4" ShapeID="_x0000_i1161" DrawAspect="Content" ObjectID="_1706014842" r:id="rId289"/>
              </w:object>
            </w:r>
            <w:r w:rsidR="0044741F">
              <w:rPr>
                <w:rFonts w:ascii="Arial" w:eastAsiaTheme="minorEastAsia" w:cs="Arial"/>
                <w:lang w:eastAsia="es-ES"/>
              </w:rPr>
              <w:t xml:space="preserve"> </w:t>
            </w:r>
          </w:p>
          <w:p w14:paraId="660C3E20" w14:textId="476FF7BD" w:rsidR="000F7773" w:rsidRDefault="000F7773" w:rsidP="00DB0816">
            <w:pPr>
              <w:rPr>
                <w:rFonts w:eastAsiaTheme="minorEastAsia" w:cs="Arial"/>
              </w:rPr>
            </w:pPr>
            <w:r>
              <w:rPr>
                <w:rFonts w:eastAsiaTheme="minorEastAsia" w:cs="Arial"/>
              </w:rPr>
              <w:t xml:space="preserve"> </w:t>
            </w:r>
          </w:p>
        </w:tc>
      </w:tr>
      <w:tr w:rsidR="000F7773" w14:paraId="6C51450B" w14:textId="77777777" w:rsidTr="00DB0816">
        <w:trPr>
          <w:trHeight w:val="452"/>
          <w:jc w:val="center"/>
        </w:trPr>
        <w:tc>
          <w:tcPr>
            <w:tcW w:w="1435" w:type="dxa"/>
            <w:tcBorders>
              <w:bottom w:val="single" w:sz="4" w:space="0" w:color="auto"/>
              <w:right w:val="single" w:sz="4" w:space="0" w:color="auto"/>
            </w:tcBorders>
          </w:tcPr>
          <w:p w14:paraId="7F1F8F95" w14:textId="77777777" w:rsidR="000F7773" w:rsidRDefault="000F7773" w:rsidP="00DB0816">
            <w:pPr>
              <w:rPr>
                <w:rFonts w:eastAsiaTheme="minorEastAsia" w:cs="Arial"/>
              </w:rPr>
            </w:pPr>
            <w:r w:rsidRPr="00C817E7">
              <w:rPr>
                <w:rFonts w:ascii="Arial" w:eastAsiaTheme="minorEastAsia" w:cs="Arial"/>
                <w:position w:val="-12"/>
                <w:lang w:eastAsia="es-ES"/>
              </w:rPr>
              <w:object w:dxaOrig="1040" w:dyaOrig="360" w14:anchorId="68AC1940">
                <v:shape id="_x0000_i1162" type="#_x0000_t75" style="width:51.75pt;height:20.25pt" o:ole="">
                  <v:imagedata r:id="rId290" o:title=""/>
                </v:shape>
                <o:OLEObject Type="Embed" ProgID="Equation.DSMT4" ShapeID="_x0000_i1162" DrawAspect="Content" ObjectID="_1706014843" r:id="rId291"/>
              </w:object>
            </w:r>
            <w:r>
              <w:rPr>
                <w:rFonts w:eastAsiaTheme="minorEastAsia" w:cs="Arial"/>
              </w:rPr>
              <w:t xml:space="preserve"> </w:t>
            </w:r>
          </w:p>
        </w:tc>
        <w:tc>
          <w:tcPr>
            <w:tcW w:w="5255" w:type="dxa"/>
            <w:tcBorders>
              <w:left w:val="single" w:sz="4" w:space="0" w:color="auto"/>
              <w:bottom w:val="single" w:sz="4" w:space="0" w:color="auto"/>
            </w:tcBorders>
          </w:tcPr>
          <w:p w14:paraId="78D44288" w14:textId="77777777" w:rsidR="000F7773" w:rsidRDefault="000F7773" w:rsidP="00DB0816">
            <w:pPr>
              <w:tabs>
                <w:tab w:val="left" w:pos="980"/>
              </w:tabs>
              <w:rPr>
                <w:rFonts w:eastAsiaTheme="minorEastAsia" w:cs="Arial"/>
              </w:rPr>
            </w:pPr>
            <w:r w:rsidRPr="009855D6">
              <w:rPr>
                <w:rFonts w:ascii="Arial" w:eastAsiaTheme="minorEastAsia" w:cs="Arial"/>
                <w:position w:val="-30"/>
                <w:lang w:eastAsia="es-ES"/>
              </w:rPr>
              <w:object w:dxaOrig="3700" w:dyaOrig="680" w14:anchorId="2D51924E">
                <v:shape id="_x0000_i1163" type="#_x0000_t75" style="width:185.25pt;height:36pt" o:ole="">
                  <v:imagedata r:id="rId292" o:title=""/>
                </v:shape>
                <o:OLEObject Type="Embed" ProgID="Equation.DSMT4" ShapeID="_x0000_i1163" DrawAspect="Content" ObjectID="_1706014844" r:id="rId293"/>
              </w:object>
            </w:r>
            <w:r>
              <w:rPr>
                <w:rFonts w:eastAsiaTheme="minorEastAsia" w:cs="Arial"/>
              </w:rPr>
              <w:tab/>
            </w:r>
          </w:p>
        </w:tc>
        <w:tc>
          <w:tcPr>
            <w:tcW w:w="1457" w:type="dxa"/>
            <w:tcBorders>
              <w:bottom w:val="single" w:sz="4" w:space="0" w:color="auto"/>
            </w:tcBorders>
          </w:tcPr>
          <w:p w14:paraId="020961E8" w14:textId="3B0D789C" w:rsidR="000F7773" w:rsidRDefault="003D1637" w:rsidP="001F394D">
            <w:pPr>
              <w:jc w:val="center"/>
              <w:rPr>
                <w:rFonts w:eastAsiaTheme="minorEastAsia" w:cs="Arial"/>
              </w:rPr>
            </w:pPr>
            <w:r w:rsidRPr="001B4C82">
              <w:rPr>
                <w:rFonts w:ascii="Arial" w:eastAsiaTheme="minorEastAsia" w:cs="Arial"/>
                <w:position w:val="-6"/>
                <w:lang w:eastAsia="es-ES"/>
              </w:rPr>
              <w:object w:dxaOrig="279" w:dyaOrig="220" w14:anchorId="00B86BE2">
                <v:shape id="_x0000_i1164" type="#_x0000_t75" style="width:15.75pt;height:10.5pt" o:ole="">
                  <v:imagedata r:id="rId294" o:title=""/>
                </v:shape>
                <o:OLEObject Type="Embed" ProgID="Equation.DSMT4" ShapeID="_x0000_i1164" DrawAspect="Content" ObjectID="_1706014845" r:id="rId295"/>
              </w:object>
            </w:r>
            <w:r w:rsidR="001B4C82">
              <w:rPr>
                <w:rFonts w:ascii="Arial" w:eastAsiaTheme="minorEastAsia" w:cs="Arial"/>
                <w:lang w:eastAsia="es-ES"/>
              </w:rPr>
              <w:t xml:space="preserve"> </w:t>
            </w:r>
          </w:p>
        </w:tc>
        <w:tc>
          <w:tcPr>
            <w:tcW w:w="1217" w:type="dxa"/>
            <w:tcBorders>
              <w:bottom w:val="single" w:sz="4" w:space="0" w:color="auto"/>
            </w:tcBorders>
          </w:tcPr>
          <w:p w14:paraId="3CFDB68E" w14:textId="4D177F09" w:rsidR="000F7773" w:rsidRDefault="0068152A" w:rsidP="00DB0816">
            <w:pPr>
              <w:rPr>
                <w:rFonts w:eastAsiaTheme="minorEastAsia" w:cs="Arial"/>
              </w:rPr>
            </w:pPr>
            <w:r w:rsidRPr="005456D9">
              <w:rPr>
                <w:rFonts w:ascii="Arial" w:eastAsiaTheme="minorEastAsia" w:cs="Arial"/>
                <w:position w:val="-12"/>
                <w:lang w:eastAsia="es-ES"/>
              </w:rPr>
              <w:object w:dxaOrig="600" w:dyaOrig="360" w14:anchorId="4FD43C1C">
                <v:shape id="_x0000_i1165" type="#_x0000_t75" style="width:25.5pt;height:20.25pt" o:ole="">
                  <v:imagedata r:id="rId296" o:title=""/>
                </v:shape>
                <o:OLEObject Type="Embed" ProgID="Equation.DSMT4" ShapeID="_x0000_i1165" DrawAspect="Content" ObjectID="_1706014846" r:id="rId297"/>
              </w:object>
            </w:r>
            <w:r w:rsidR="000F7773">
              <w:rPr>
                <w:rFonts w:eastAsiaTheme="minorEastAsia" w:cs="Arial"/>
              </w:rPr>
              <w:t xml:space="preserve"> </w:t>
            </w:r>
          </w:p>
        </w:tc>
      </w:tr>
    </w:tbl>
    <w:p w14:paraId="22D9508E" w14:textId="6509D68F" w:rsidR="000F7773" w:rsidRPr="00700471" w:rsidRDefault="000F7773" w:rsidP="000F7773">
      <w:pPr>
        <w:rPr>
          <w:rFonts w:cs="Arial"/>
          <w:sz w:val="18"/>
        </w:rPr>
      </w:pPr>
      <w:r w:rsidRPr="00220F06">
        <w:rPr>
          <w:rFonts w:cs="Arial"/>
          <w:sz w:val="18"/>
        </w:rPr>
        <w:lastRenderedPageBreak/>
        <w:t xml:space="preserve">Fuente: </w:t>
      </w:r>
      <w:r w:rsidRPr="00220F06">
        <w:rPr>
          <w:rFonts w:cs="Arial"/>
          <w:sz w:val="18"/>
        </w:rPr>
        <w:fldChar w:fldCharType="begin" w:fldLock="1"/>
      </w:r>
      <w:r w:rsidR="00475856">
        <w:rPr>
          <w:rFonts w:cs="Arial"/>
          <w:sz w:val="18"/>
        </w:rPr>
        <w:instrText>ADDIN CSL_CITATION {"citationItems":[{"id":"ITEM-1","itemData":{"author":[{"dropping-particle":"","family":"McDonald","given":"Scott","non-dropping-particle":"","parse-names":false,"suffix":""},{"dropping-particle":"","family":"Thierfelder","given":"Karen","non-dropping-particle":"","parse-names":false,"suffix":""}],"id":"ITEM-1","issue":"January","issued":{"date-parts":[["2017"]]},"number-of-pages":"1-89","title":"A Static Applied General Equilibrium Model: Technical Documentation - STAGE_int Version","type":"report"},"uris":["http://www.mendeley.com/documents/?uuid=83316eb5-e8df-4029-aa83-a2c1fd511a0d"]}],"mendeley":{"formattedCitation":"(McDonald &amp; Thierfelder, 2017)","manualFormatting":"McDonald &amp; Thierfelder (2017)","plainTextFormattedCitation":"(McDonald &amp; Thierfelder, 2017)","previouslyFormattedCitation":"(McDonald &amp; Thierfelder, 2017)"},"properties":{"noteIndex":0},"schema":"https://github.com/citation-style-language/schema/raw/master/csl-citation.json"}</w:instrText>
      </w:r>
      <w:r w:rsidRPr="00220F06">
        <w:rPr>
          <w:rFonts w:cs="Arial"/>
          <w:sz w:val="18"/>
        </w:rPr>
        <w:fldChar w:fldCharType="separate"/>
      </w:r>
      <w:r w:rsidRPr="00220F06">
        <w:rPr>
          <w:rFonts w:cs="Arial"/>
          <w:noProof/>
          <w:sz w:val="18"/>
        </w:rPr>
        <w:t>McDonald &amp; Thierfelder (2017)</w:t>
      </w:r>
      <w:r w:rsidRPr="00220F06">
        <w:rPr>
          <w:rFonts w:cs="Arial"/>
          <w:sz w:val="18"/>
        </w:rPr>
        <w:fldChar w:fldCharType="end"/>
      </w:r>
      <w:r w:rsidR="004D112F">
        <w:rPr>
          <w:rFonts w:cs="Arial"/>
          <w:sz w:val="18"/>
        </w:rPr>
        <w:t>, con modificaciones</w:t>
      </w:r>
      <w:r w:rsidRPr="00220F06">
        <w:rPr>
          <w:rFonts w:cs="Arial"/>
          <w:sz w:val="18"/>
        </w:rPr>
        <w:t>.</w:t>
      </w:r>
    </w:p>
    <w:p w14:paraId="00F1389D" w14:textId="3A08F91F" w:rsidR="000F7773" w:rsidRDefault="000F7773" w:rsidP="00700471">
      <w:pPr>
        <w:spacing w:line="240" w:lineRule="auto"/>
        <w:rPr>
          <w:rFonts w:eastAsiaTheme="minorEastAsia" w:cs="Arial"/>
        </w:rPr>
      </w:pPr>
      <w:r>
        <w:rPr>
          <w:rFonts w:eastAsiaTheme="minorEastAsia" w:cs="Arial"/>
        </w:rPr>
        <w:t>Complementando al bloque de precios, es necesario agregar dos indicadores de precios, el índice de precios al consumidor (</w:t>
      </w:r>
      <w:r w:rsidRPr="00EA0CC9">
        <w:rPr>
          <w:rFonts w:eastAsiaTheme="minorEastAsia" w:cs="Arial"/>
          <w:position w:val="-6"/>
        </w:rPr>
        <w:object w:dxaOrig="480" w:dyaOrig="279" w14:anchorId="1C12E31A">
          <v:shape id="_x0000_i1166" type="#_x0000_t75" style="width:30.75pt;height:15.75pt" o:ole="">
            <v:imagedata r:id="rId298" o:title=""/>
          </v:shape>
          <o:OLEObject Type="Embed" ProgID="Equation.DSMT4" ShapeID="_x0000_i1166" DrawAspect="Content" ObjectID="_1706014847" r:id="rId299"/>
        </w:object>
      </w:r>
      <w:r>
        <w:rPr>
          <w:rFonts w:eastAsiaTheme="minorEastAsia" w:cs="Arial"/>
        </w:rPr>
        <w:t>) y el índice de precios al productor nacional (</w:t>
      </w:r>
      <w:r w:rsidRPr="00EA0CC9">
        <w:rPr>
          <w:rFonts w:eastAsiaTheme="minorEastAsia" w:cs="Arial"/>
          <w:position w:val="-4"/>
        </w:rPr>
        <w:object w:dxaOrig="480" w:dyaOrig="260" w14:anchorId="1B9F29A0">
          <v:shape id="_x0000_i1167" type="#_x0000_t75" style="width:30.75pt;height:15.75pt" o:ole="">
            <v:imagedata r:id="rId300" o:title=""/>
          </v:shape>
          <o:OLEObject Type="Embed" ProgID="Equation.DSMT4" ShapeID="_x0000_i1167" DrawAspect="Content" ObjectID="_1706014848" r:id="rId301"/>
        </w:object>
      </w:r>
      <w:r>
        <w:rPr>
          <w:rFonts w:eastAsiaTheme="minorEastAsia" w:cs="Arial"/>
        </w:rPr>
        <w:t xml:space="preserve">). Ambos son el resultado de multiplicación de la suma de los pesos de los productos la demanda total y la demanda local respectivamente, esto se observa en </w:t>
      </w:r>
      <w:r w:rsidR="00104214">
        <w:rPr>
          <w:rFonts w:eastAsiaTheme="minorEastAsia" w:cs="Arial"/>
        </w:rPr>
        <w:fldChar w:fldCharType="begin"/>
      </w:r>
      <w:r w:rsidR="00104214">
        <w:rPr>
          <w:rFonts w:eastAsiaTheme="minorEastAsia" w:cs="Arial"/>
        </w:rPr>
        <w:instrText xml:space="preserve"> REF _Ref524803593 \h  </w:instrText>
      </w:r>
      <w:r w:rsidR="00104214">
        <w:instrText xml:space="preserve">\* lower </w:instrText>
      </w:r>
      <w:r w:rsidR="00104214">
        <w:rPr>
          <w:rFonts w:eastAsiaTheme="minorEastAsia" w:cs="Arial"/>
        </w:rPr>
      </w:r>
      <w:r w:rsidR="00104214">
        <w:rPr>
          <w:rFonts w:eastAsiaTheme="minorEastAsia" w:cs="Arial"/>
        </w:rPr>
        <w:fldChar w:fldCharType="separate"/>
      </w:r>
      <w:r w:rsidR="00A95E32">
        <w:t xml:space="preserve">tabla </w:t>
      </w:r>
      <w:r w:rsidR="00A95E32">
        <w:rPr>
          <w:noProof/>
        </w:rPr>
        <w:t>6</w:t>
      </w:r>
      <w:r w:rsidR="00104214">
        <w:rPr>
          <w:rFonts w:eastAsiaTheme="minorEastAsia" w:cs="Arial"/>
        </w:rPr>
        <w:fldChar w:fldCharType="end"/>
      </w:r>
      <w:r>
        <w:rPr>
          <w:rFonts w:eastAsiaTheme="minorEastAsia" w:cs="Arial"/>
        </w:rPr>
        <w:t xml:space="preserve">. Es necesario aclarar que </w:t>
      </w:r>
      <w:r w:rsidRPr="000D65C0">
        <w:rPr>
          <w:rFonts w:eastAsiaTheme="minorEastAsia" w:cs="Arial"/>
          <w:position w:val="-12"/>
        </w:rPr>
        <w:object w:dxaOrig="800" w:dyaOrig="360" w14:anchorId="440C960C">
          <v:shape id="_x0000_i1168" type="#_x0000_t75" style="width:41.25pt;height:20.25pt" o:ole="">
            <v:imagedata r:id="rId302" o:title=""/>
          </v:shape>
          <o:OLEObject Type="Embed" ProgID="Equation.DSMT4" ShapeID="_x0000_i1168" DrawAspect="Content" ObjectID="_1706014849" r:id="rId303"/>
        </w:object>
      </w:r>
      <w:r>
        <w:rPr>
          <w:rFonts w:eastAsiaTheme="minorEastAsia" w:cs="Arial"/>
        </w:rPr>
        <w:t xml:space="preserve"> es igual a la composición de precios de los bienes (</w:t>
      </w:r>
      <w:r w:rsidRPr="000D65C0">
        <w:rPr>
          <w:rFonts w:eastAsiaTheme="minorEastAsia" w:cs="Arial"/>
          <w:position w:val="-12"/>
        </w:rPr>
        <w:object w:dxaOrig="639" w:dyaOrig="360" w14:anchorId="31E529AB">
          <v:shape id="_x0000_i1169" type="#_x0000_t75" style="width:30.75pt;height:20.25pt" o:ole="">
            <v:imagedata r:id="rId304" o:title=""/>
          </v:shape>
          <o:OLEObject Type="Embed" ProgID="Equation.DSMT4" ShapeID="_x0000_i1169" DrawAspect="Content" ObjectID="_1706014850" r:id="rId305"/>
        </w:object>
      </w:r>
      <w:r>
        <w:rPr>
          <w:rFonts w:eastAsiaTheme="minorEastAsia" w:cs="Arial"/>
        </w:rPr>
        <w:t>) más el impuesto al valor agregado (</w:t>
      </w:r>
      <w:r w:rsidRPr="000D65C0">
        <w:rPr>
          <w:rFonts w:eastAsiaTheme="minorEastAsia" w:cs="Arial"/>
          <w:position w:val="-12"/>
        </w:rPr>
        <w:object w:dxaOrig="400" w:dyaOrig="360" w14:anchorId="3F7C60C2">
          <v:shape id="_x0000_i1170" type="#_x0000_t75" style="width:20.25pt;height:20.25pt" o:ole="">
            <v:imagedata r:id="rId306" o:title=""/>
          </v:shape>
          <o:OLEObject Type="Embed" ProgID="Equation.DSMT4" ShapeID="_x0000_i1170" DrawAspect="Content" ObjectID="_1706014851" r:id="rId307"/>
        </w:object>
      </w:r>
      <w:r>
        <w:rPr>
          <w:rFonts w:eastAsiaTheme="minorEastAsia" w:cs="Arial"/>
        </w:rPr>
        <w:t>).</w:t>
      </w:r>
    </w:p>
    <w:p w14:paraId="4115992E" w14:textId="0AF9F8DC" w:rsidR="000F7773" w:rsidRPr="002177DD" w:rsidRDefault="000F7773" w:rsidP="000F7773">
      <w:pPr>
        <w:pStyle w:val="Caption"/>
      </w:pPr>
      <w:bookmarkStart w:id="78" w:name="_Ref524803593"/>
      <w:bookmarkStart w:id="79" w:name="_Toc524946944"/>
      <w:bookmarkStart w:id="80" w:name="_Toc525033948"/>
      <w:bookmarkStart w:id="81" w:name="_Toc526175249"/>
      <w:bookmarkStart w:id="82" w:name="_Toc2853696"/>
      <w:r>
        <w:t xml:space="preserve">Tabla </w:t>
      </w:r>
      <w:r w:rsidR="00F700CF">
        <w:rPr>
          <w:noProof/>
        </w:rPr>
        <w:fldChar w:fldCharType="begin"/>
      </w:r>
      <w:r w:rsidR="00F700CF">
        <w:rPr>
          <w:noProof/>
        </w:rPr>
        <w:instrText xml:space="preserve"> SEQ Tabla \* ARABIC </w:instrText>
      </w:r>
      <w:r w:rsidR="00F700CF">
        <w:rPr>
          <w:noProof/>
        </w:rPr>
        <w:fldChar w:fldCharType="separate"/>
      </w:r>
      <w:r w:rsidR="00A95E32">
        <w:rPr>
          <w:noProof/>
        </w:rPr>
        <w:t>6</w:t>
      </w:r>
      <w:r w:rsidR="00F700CF">
        <w:rPr>
          <w:noProof/>
        </w:rPr>
        <w:fldChar w:fldCharType="end"/>
      </w:r>
      <w:bookmarkEnd w:id="78"/>
      <w:r>
        <w:t xml:space="preserve"> </w:t>
      </w:r>
      <w:r>
        <w:br/>
      </w:r>
      <w:r w:rsidRPr="00004F15">
        <w:t>Bloque numerario</w:t>
      </w:r>
      <w:bookmarkEnd w:id="79"/>
      <w:bookmarkEnd w:id="80"/>
      <w:bookmarkEnd w:id="81"/>
      <w:bookmarkEnd w:id="82"/>
    </w:p>
    <w:tbl>
      <w:tblPr>
        <w:tblStyle w:val="TableGrid"/>
        <w:tblW w:w="902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6"/>
        <w:gridCol w:w="5034"/>
        <w:gridCol w:w="1401"/>
        <w:gridCol w:w="1170"/>
      </w:tblGrid>
      <w:tr w:rsidR="000F7773" w:rsidRPr="001F394D" w14:paraId="606667DF" w14:textId="77777777" w:rsidTr="00700471">
        <w:trPr>
          <w:trHeight w:val="727"/>
          <w:jc w:val="center"/>
        </w:trPr>
        <w:tc>
          <w:tcPr>
            <w:tcW w:w="1416" w:type="dxa"/>
            <w:tcBorders>
              <w:bottom w:val="single" w:sz="4" w:space="0" w:color="auto"/>
              <w:right w:val="single" w:sz="4" w:space="0" w:color="auto"/>
            </w:tcBorders>
          </w:tcPr>
          <w:p w14:paraId="74A251C0" w14:textId="77777777" w:rsidR="000F7773" w:rsidRPr="001F394D" w:rsidRDefault="000F7773" w:rsidP="00DB0816">
            <w:pPr>
              <w:rPr>
                <w:rFonts w:ascii="Arial" w:eastAsiaTheme="minorEastAsia" w:cs="Arial"/>
                <w:sz w:val="22"/>
              </w:rPr>
            </w:pPr>
            <w:r w:rsidRPr="001F394D">
              <w:rPr>
                <w:rFonts w:ascii="Arial" w:eastAsiaTheme="minorEastAsia" w:cs="Arial"/>
                <w:sz w:val="22"/>
              </w:rPr>
              <w:t>Nombre</w:t>
            </w:r>
          </w:p>
        </w:tc>
        <w:tc>
          <w:tcPr>
            <w:tcW w:w="5034" w:type="dxa"/>
            <w:tcBorders>
              <w:left w:val="single" w:sz="4" w:space="0" w:color="auto"/>
              <w:bottom w:val="single" w:sz="4" w:space="0" w:color="auto"/>
            </w:tcBorders>
          </w:tcPr>
          <w:p w14:paraId="12272877" w14:textId="77777777" w:rsidR="000F7773" w:rsidRPr="001F394D" w:rsidRDefault="000F7773" w:rsidP="00DB0816">
            <w:pPr>
              <w:rPr>
                <w:rFonts w:ascii="Arial" w:eastAsiaTheme="minorEastAsia" w:cs="Arial"/>
                <w:sz w:val="22"/>
              </w:rPr>
            </w:pPr>
            <w:r w:rsidRPr="001F394D">
              <w:rPr>
                <w:rFonts w:ascii="Arial" w:eastAsiaTheme="minorEastAsia" w:cs="Arial"/>
                <w:sz w:val="22"/>
              </w:rPr>
              <w:t xml:space="preserve">Ecuación </w:t>
            </w:r>
          </w:p>
        </w:tc>
        <w:tc>
          <w:tcPr>
            <w:tcW w:w="1401" w:type="dxa"/>
            <w:tcBorders>
              <w:bottom w:val="single" w:sz="4" w:space="0" w:color="auto"/>
            </w:tcBorders>
          </w:tcPr>
          <w:p w14:paraId="03481E7F" w14:textId="77777777" w:rsidR="000F7773" w:rsidRPr="001F394D" w:rsidRDefault="000F7773" w:rsidP="00DB0816">
            <w:pPr>
              <w:rPr>
                <w:rFonts w:ascii="Arial" w:eastAsiaTheme="minorEastAsia" w:cs="Arial"/>
                <w:sz w:val="22"/>
              </w:rPr>
            </w:pPr>
            <w:r w:rsidRPr="001F394D">
              <w:rPr>
                <w:rFonts w:ascii="Arial" w:eastAsiaTheme="minorEastAsia" w:cs="Arial"/>
                <w:sz w:val="22"/>
              </w:rPr>
              <w:t>Ecuaciones</w:t>
            </w:r>
          </w:p>
        </w:tc>
        <w:tc>
          <w:tcPr>
            <w:tcW w:w="1170" w:type="dxa"/>
            <w:tcBorders>
              <w:bottom w:val="single" w:sz="4" w:space="0" w:color="auto"/>
            </w:tcBorders>
          </w:tcPr>
          <w:p w14:paraId="00C6A9A2" w14:textId="77777777" w:rsidR="000F7773" w:rsidRPr="001F394D" w:rsidRDefault="000F7773" w:rsidP="00DB0816">
            <w:pPr>
              <w:rPr>
                <w:rFonts w:ascii="Arial" w:eastAsiaTheme="minorEastAsia" w:cs="Arial"/>
                <w:sz w:val="22"/>
              </w:rPr>
            </w:pPr>
            <w:r w:rsidRPr="001F394D">
              <w:rPr>
                <w:rFonts w:ascii="Arial" w:eastAsiaTheme="minorEastAsia" w:cs="Arial"/>
                <w:sz w:val="22"/>
              </w:rPr>
              <w:t>Variables</w:t>
            </w:r>
          </w:p>
        </w:tc>
      </w:tr>
      <w:tr w:rsidR="000F7773" w14:paraId="38096B9B" w14:textId="77777777" w:rsidTr="00700471">
        <w:trPr>
          <w:trHeight w:val="645"/>
          <w:jc w:val="center"/>
        </w:trPr>
        <w:tc>
          <w:tcPr>
            <w:tcW w:w="1416" w:type="dxa"/>
            <w:tcBorders>
              <w:top w:val="single" w:sz="4" w:space="0" w:color="auto"/>
              <w:right w:val="single" w:sz="4" w:space="0" w:color="auto"/>
            </w:tcBorders>
          </w:tcPr>
          <w:p w14:paraId="53ABB371" w14:textId="77777777" w:rsidR="000F7773" w:rsidRDefault="000F7773" w:rsidP="00DB0816">
            <w:pPr>
              <w:rPr>
                <w:rFonts w:eastAsiaTheme="minorEastAsia" w:cs="Arial"/>
              </w:rPr>
            </w:pPr>
            <w:r w:rsidRPr="003B09D1">
              <w:rPr>
                <w:rFonts w:ascii="Arial" w:eastAsiaTheme="minorEastAsia" w:cs="Arial"/>
                <w:position w:val="-6"/>
                <w:lang w:eastAsia="es-ES"/>
              </w:rPr>
              <w:object w:dxaOrig="940" w:dyaOrig="279" w14:anchorId="2198D1F0">
                <v:shape id="_x0000_i1171" type="#_x0000_t75" style="width:41.25pt;height:15.75pt" o:ole="">
                  <v:imagedata r:id="rId308" o:title=""/>
                </v:shape>
                <o:OLEObject Type="Embed" ProgID="Equation.DSMT4" ShapeID="_x0000_i1171" DrawAspect="Content" ObjectID="_1706014852" r:id="rId309"/>
              </w:object>
            </w:r>
            <w:r>
              <w:rPr>
                <w:rFonts w:eastAsiaTheme="minorEastAsia" w:cs="Arial"/>
              </w:rPr>
              <w:t xml:space="preserve"> </w:t>
            </w:r>
          </w:p>
        </w:tc>
        <w:tc>
          <w:tcPr>
            <w:tcW w:w="5034" w:type="dxa"/>
            <w:tcBorders>
              <w:top w:val="single" w:sz="4" w:space="0" w:color="auto"/>
              <w:left w:val="single" w:sz="4" w:space="0" w:color="auto"/>
            </w:tcBorders>
          </w:tcPr>
          <w:p w14:paraId="7D0FD030" w14:textId="53D6451C" w:rsidR="000F7773" w:rsidRPr="007704AF" w:rsidRDefault="004D112F" w:rsidP="00DB0816">
            <w:pPr>
              <w:rPr>
                <w:rFonts w:eastAsiaTheme="minorEastAsia" w:cs="Arial"/>
                <w:lang w:val="en-US"/>
              </w:rPr>
            </w:pPr>
            <w:r w:rsidRPr="000C0263">
              <w:rPr>
                <w:rFonts w:ascii="Arial" w:eastAsiaTheme="minorEastAsia" w:cs="Arial"/>
                <w:position w:val="-28"/>
                <w:lang w:eastAsia="es-ES"/>
              </w:rPr>
              <w:object w:dxaOrig="2860" w:dyaOrig="540" w14:anchorId="7EBAA765">
                <v:shape id="_x0000_i1172" type="#_x0000_t75" style="width:141pt;height:30.75pt" o:ole="">
                  <v:imagedata r:id="rId310" o:title=""/>
                </v:shape>
                <o:OLEObject Type="Embed" ProgID="Equation.DSMT4" ShapeID="_x0000_i1172" DrawAspect="Content" ObjectID="_1706014853" r:id="rId311"/>
              </w:object>
            </w:r>
            <w:r w:rsidR="000F7773">
              <w:rPr>
                <w:rFonts w:eastAsiaTheme="minorEastAsia" w:cs="Arial"/>
              </w:rPr>
              <w:t xml:space="preserve"> </w:t>
            </w:r>
          </w:p>
        </w:tc>
        <w:tc>
          <w:tcPr>
            <w:tcW w:w="1401" w:type="dxa"/>
            <w:tcBorders>
              <w:top w:val="single" w:sz="4" w:space="0" w:color="auto"/>
            </w:tcBorders>
          </w:tcPr>
          <w:p w14:paraId="62B2AEFB" w14:textId="77777777" w:rsidR="000F7773" w:rsidRDefault="000F7773" w:rsidP="001F394D">
            <w:pPr>
              <w:jc w:val="center"/>
              <w:rPr>
                <w:rFonts w:eastAsiaTheme="minorEastAsia" w:cs="Arial"/>
              </w:rPr>
            </w:pPr>
            <w:r>
              <w:rPr>
                <w:rFonts w:eastAsiaTheme="minorEastAsia" w:cs="Arial"/>
              </w:rPr>
              <w:t>1</w:t>
            </w:r>
          </w:p>
        </w:tc>
        <w:tc>
          <w:tcPr>
            <w:tcW w:w="1170" w:type="dxa"/>
            <w:tcBorders>
              <w:top w:val="single" w:sz="4" w:space="0" w:color="auto"/>
            </w:tcBorders>
          </w:tcPr>
          <w:p w14:paraId="7BEFC299" w14:textId="77777777" w:rsidR="000F7773" w:rsidRDefault="000F7773" w:rsidP="00DB0816">
            <w:pPr>
              <w:rPr>
                <w:rFonts w:eastAsiaTheme="minorEastAsia" w:cs="Arial"/>
              </w:rPr>
            </w:pPr>
            <w:r w:rsidRPr="002F5572">
              <w:rPr>
                <w:rFonts w:ascii="Arial" w:eastAsiaTheme="minorEastAsia" w:cs="Arial"/>
                <w:position w:val="-6"/>
                <w:lang w:eastAsia="es-ES"/>
              </w:rPr>
              <w:object w:dxaOrig="480" w:dyaOrig="279" w14:anchorId="59B4CB45">
                <v:shape id="_x0000_i1173" type="#_x0000_t75" style="width:30.75pt;height:15.75pt" o:ole="">
                  <v:imagedata r:id="rId312" o:title=""/>
                </v:shape>
                <o:OLEObject Type="Embed" ProgID="Equation.DSMT4" ShapeID="_x0000_i1173" DrawAspect="Content" ObjectID="_1706014854" r:id="rId313"/>
              </w:object>
            </w:r>
            <w:r>
              <w:rPr>
                <w:rFonts w:eastAsiaTheme="minorEastAsia" w:cs="Arial"/>
              </w:rPr>
              <w:t xml:space="preserve"> </w:t>
            </w:r>
          </w:p>
        </w:tc>
      </w:tr>
      <w:tr w:rsidR="000F7773" w14:paraId="3387A90E" w14:textId="77777777" w:rsidTr="00700471">
        <w:trPr>
          <w:trHeight w:val="804"/>
          <w:jc w:val="center"/>
        </w:trPr>
        <w:tc>
          <w:tcPr>
            <w:tcW w:w="1416" w:type="dxa"/>
            <w:tcBorders>
              <w:bottom w:val="single" w:sz="4" w:space="0" w:color="auto"/>
              <w:right w:val="single" w:sz="4" w:space="0" w:color="auto"/>
            </w:tcBorders>
          </w:tcPr>
          <w:p w14:paraId="5C71F53F" w14:textId="77777777" w:rsidR="000F7773" w:rsidRDefault="000F7773" w:rsidP="00DB0816">
            <w:pPr>
              <w:rPr>
                <w:rFonts w:eastAsiaTheme="minorEastAsia" w:cs="Arial"/>
              </w:rPr>
            </w:pPr>
            <w:r w:rsidRPr="002F5572">
              <w:rPr>
                <w:rFonts w:ascii="Arial" w:eastAsiaTheme="minorEastAsia" w:cs="Arial"/>
                <w:position w:val="-4"/>
                <w:lang w:eastAsia="es-ES"/>
              </w:rPr>
              <w:object w:dxaOrig="940" w:dyaOrig="260" w14:anchorId="07E70065">
                <v:shape id="_x0000_i1174" type="#_x0000_t75" style="width:41.25pt;height:15.75pt" o:ole="">
                  <v:imagedata r:id="rId314" o:title=""/>
                </v:shape>
                <o:OLEObject Type="Embed" ProgID="Equation.DSMT4" ShapeID="_x0000_i1174" DrawAspect="Content" ObjectID="_1706014855" r:id="rId315"/>
              </w:object>
            </w:r>
            <w:r>
              <w:rPr>
                <w:rFonts w:eastAsiaTheme="minorEastAsia" w:cs="Arial"/>
              </w:rPr>
              <w:t xml:space="preserve"> </w:t>
            </w:r>
          </w:p>
        </w:tc>
        <w:tc>
          <w:tcPr>
            <w:tcW w:w="5034" w:type="dxa"/>
            <w:tcBorders>
              <w:left w:val="single" w:sz="4" w:space="0" w:color="auto"/>
              <w:bottom w:val="single" w:sz="4" w:space="0" w:color="auto"/>
            </w:tcBorders>
          </w:tcPr>
          <w:p w14:paraId="1ADA46DC" w14:textId="77777777" w:rsidR="000F7773" w:rsidRDefault="000F7773" w:rsidP="00DB0816">
            <w:pPr>
              <w:rPr>
                <w:rFonts w:eastAsiaTheme="minorEastAsia" w:cs="Arial"/>
              </w:rPr>
            </w:pPr>
            <w:r w:rsidRPr="000C0263">
              <w:rPr>
                <w:rFonts w:ascii="Arial" w:eastAsiaTheme="minorEastAsia" w:cs="Arial"/>
                <w:position w:val="-28"/>
                <w:lang w:eastAsia="es-ES"/>
              </w:rPr>
              <w:object w:dxaOrig="2480" w:dyaOrig="540" w14:anchorId="4406CC80">
                <v:shape id="_x0000_i1175" type="#_x0000_t75" style="width:123.75pt;height:30.75pt" o:ole="">
                  <v:imagedata r:id="rId316" o:title=""/>
                </v:shape>
                <o:OLEObject Type="Embed" ProgID="Equation.DSMT4" ShapeID="_x0000_i1175" DrawAspect="Content" ObjectID="_1706014856" r:id="rId317"/>
              </w:object>
            </w:r>
          </w:p>
        </w:tc>
        <w:tc>
          <w:tcPr>
            <w:tcW w:w="1401" w:type="dxa"/>
            <w:tcBorders>
              <w:bottom w:val="single" w:sz="4" w:space="0" w:color="auto"/>
            </w:tcBorders>
          </w:tcPr>
          <w:p w14:paraId="42DD18A6" w14:textId="77777777" w:rsidR="000F7773" w:rsidRDefault="000F7773" w:rsidP="001F394D">
            <w:pPr>
              <w:jc w:val="center"/>
              <w:rPr>
                <w:rFonts w:eastAsiaTheme="minorEastAsia" w:cs="Arial"/>
              </w:rPr>
            </w:pPr>
            <w:r>
              <w:rPr>
                <w:rFonts w:eastAsiaTheme="minorEastAsia" w:cs="Arial"/>
              </w:rPr>
              <w:t>1</w:t>
            </w:r>
          </w:p>
        </w:tc>
        <w:tc>
          <w:tcPr>
            <w:tcW w:w="1170" w:type="dxa"/>
            <w:tcBorders>
              <w:bottom w:val="single" w:sz="4" w:space="0" w:color="auto"/>
            </w:tcBorders>
          </w:tcPr>
          <w:p w14:paraId="37077105" w14:textId="77777777" w:rsidR="000F7773" w:rsidRDefault="000F7773" w:rsidP="00DB0816">
            <w:pPr>
              <w:rPr>
                <w:rFonts w:eastAsiaTheme="minorEastAsia" w:cs="Arial"/>
              </w:rPr>
            </w:pPr>
            <w:r w:rsidRPr="002F5572">
              <w:rPr>
                <w:rFonts w:ascii="Arial" w:eastAsiaTheme="minorEastAsia" w:cs="Arial"/>
                <w:position w:val="-4"/>
                <w:lang w:eastAsia="es-ES"/>
              </w:rPr>
              <w:object w:dxaOrig="480" w:dyaOrig="260" w14:anchorId="53E031FA">
                <v:shape id="_x0000_i1176" type="#_x0000_t75" style="width:30.75pt;height:15.75pt" o:ole="">
                  <v:imagedata r:id="rId318" o:title=""/>
                </v:shape>
                <o:OLEObject Type="Embed" ProgID="Equation.DSMT4" ShapeID="_x0000_i1176" DrawAspect="Content" ObjectID="_1706014857" r:id="rId319"/>
              </w:object>
            </w:r>
            <w:r>
              <w:rPr>
                <w:rFonts w:eastAsiaTheme="minorEastAsia" w:cs="Arial"/>
              </w:rPr>
              <w:t xml:space="preserve"> </w:t>
            </w:r>
          </w:p>
        </w:tc>
      </w:tr>
    </w:tbl>
    <w:p w14:paraId="5985AB48" w14:textId="59394EC9" w:rsidR="000F7773" w:rsidRPr="00700471" w:rsidRDefault="000F7773" w:rsidP="000F7773">
      <w:pPr>
        <w:rPr>
          <w:rFonts w:cs="Arial"/>
          <w:sz w:val="18"/>
        </w:rPr>
      </w:pPr>
      <w:r w:rsidRPr="00220F06">
        <w:rPr>
          <w:rFonts w:cs="Arial"/>
          <w:sz w:val="18"/>
        </w:rPr>
        <w:t xml:space="preserve">Fuente: </w:t>
      </w:r>
      <w:r w:rsidRPr="00220F06">
        <w:rPr>
          <w:rFonts w:cs="Arial"/>
          <w:sz w:val="18"/>
        </w:rPr>
        <w:fldChar w:fldCharType="begin" w:fldLock="1"/>
      </w:r>
      <w:r w:rsidR="00475856">
        <w:rPr>
          <w:rFonts w:cs="Arial"/>
          <w:sz w:val="18"/>
        </w:rPr>
        <w:instrText>ADDIN CSL_CITATION {"citationItems":[{"id":"ITEM-1","itemData":{"author":[{"dropping-particle":"","family":"McDonald","given":"Scott","non-dropping-particle":"","parse-names":false,"suffix":""},{"dropping-particle":"","family":"Thierfelder","given":"Karen","non-dropping-particle":"","parse-names":false,"suffix":""}],"id":"ITEM-1","issue":"January","issued":{"date-parts":[["2017"]]},"number-of-pages":"1-89","title":"A Static Applied General Equilibrium Model: Technical Documentation - STAGE_int Version","type":"report"},"uris":["http://www.mendeley.com/documents/?uuid=83316eb5-e8df-4029-aa83-a2c1fd511a0d"]}],"mendeley":{"formattedCitation":"(McDonald &amp; Thierfelder, 2017)","manualFormatting":"McDonald &amp; Thierfelder (2017)","plainTextFormattedCitation":"(McDonald &amp; Thierfelder, 2017)","previouslyFormattedCitation":"(McDonald &amp; Thierfelder, 2017)"},"properties":{"noteIndex":0},"schema":"https://github.com/citation-style-language/schema/raw/master/csl-citation.json"}</w:instrText>
      </w:r>
      <w:r w:rsidRPr="00220F06">
        <w:rPr>
          <w:rFonts w:cs="Arial"/>
          <w:sz w:val="18"/>
        </w:rPr>
        <w:fldChar w:fldCharType="separate"/>
      </w:r>
      <w:r w:rsidRPr="00220F06">
        <w:rPr>
          <w:rFonts w:cs="Arial"/>
          <w:noProof/>
          <w:sz w:val="18"/>
        </w:rPr>
        <w:t>McDonald &amp; Thierfelder (2017)</w:t>
      </w:r>
      <w:r w:rsidRPr="00220F06">
        <w:rPr>
          <w:rFonts w:cs="Arial"/>
          <w:sz w:val="18"/>
        </w:rPr>
        <w:fldChar w:fldCharType="end"/>
      </w:r>
      <w:r w:rsidR="004D112F">
        <w:rPr>
          <w:rFonts w:cs="Arial"/>
          <w:sz w:val="18"/>
        </w:rPr>
        <w:t>, con modificaciones</w:t>
      </w:r>
      <w:r w:rsidRPr="00220F06">
        <w:rPr>
          <w:rFonts w:cs="Arial"/>
          <w:sz w:val="18"/>
        </w:rPr>
        <w:t>.</w:t>
      </w:r>
      <w:r>
        <w:rPr>
          <w:rFonts w:eastAsiaTheme="minorEastAsia" w:cs="Arial"/>
        </w:rPr>
        <w:tab/>
      </w:r>
    </w:p>
    <w:p w14:paraId="70213152" w14:textId="3C6D5537" w:rsidR="00E859F1" w:rsidRDefault="000F7773" w:rsidP="00E859F1">
      <w:pPr>
        <w:spacing w:line="240" w:lineRule="auto"/>
      </w:pPr>
      <w:r>
        <w:rPr>
          <w:rFonts w:eastAsiaTheme="minorEastAsia" w:cs="Arial"/>
        </w:rPr>
        <w:t>El bloque de producción denota las relaciones que se expusieron en las</w:t>
      </w:r>
      <w:r w:rsidR="006138F1">
        <w:rPr>
          <w:rFonts w:eastAsiaTheme="minorEastAsia" w:cs="Arial"/>
          <w:sz w:val="28"/>
        </w:rPr>
        <w:t xml:space="preserve"> </w:t>
      </w:r>
      <w:r w:rsidR="006138F1">
        <w:rPr>
          <w:rFonts w:eastAsiaTheme="minorEastAsia" w:cs="Arial"/>
        </w:rPr>
        <w:t xml:space="preserve">figuras </w:t>
      </w:r>
      <w:r w:rsidR="006138F1">
        <w:rPr>
          <w:rFonts w:eastAsiaTheme="minorEastAsia" w:cs="Arial"/>
        </w:rPr>
        <w:fldChar w:fldCharType="begin"/>
      </w:r>
      <w:r w:rsidR="006138F1">
        <w:rPr>
          <w:rFonts w:eastAsiaTheme="minorEastAsia" w:cs="Arial"/>
        </w:rPr>
        <w:instrText xml:space="preserve"> REF _Ref527300164 </w:instrText>
      </w:r>
      <w:r w:rsidR="00FC7F86">
        <w:rPr>
          <w:rFonts w:eastAsiaTheme="minorEastAsia" w:cs="Arial"/>
        </w:rPr>
        <w:instrText xml:space="preserve">\# 0 </w:instrText>
      </w:r>
      <w:r w:rsidR="006138F1">
        <w:rPr>
          <w:rFonts w:eastAsiaTheme="minorEastAsia" w:cs="Arial"/>
        </w:rPr>
        <w:instrText xml:space="preserve">\h </w:instrText>
      </w:r>
      <w:r w:rsidR="006138F1">
        <w:rPr>
          <w:rFonts w:eastAsiaTheme="minorEastAsia" w:cs="Arial"/>
        </w:rPr>
      </w:r>
      <w:r w:rsidR="006138F1">
        <w:rPr>
          <w:rFonts w:eastAsiaTheme="minorEastAsia" w:cs="Arial"/>
        </w:rPr>
        <w:fldChar w:fldCharType="separate"/>
      </w:r>
      <w:r w:rsidR="00A95E32">
        <w:rPr>
          <w:rFonts w:eastAsiaTheme="minorEastAsia" w:cs="Arial"/>
        </w:rPr>
        <w:t>6</w:t>
      </w:r>
      <w:r w:rsidR="006138F1">
        <w:rPr>
          <w:rFonts w:eastAsiaTheme="minorEastAsia" w:cs="Arial"/>
        </w:rPr>
        <w:fldChar w:fldCharType="end"/>
      </w:r>
      <w:r>
        <w:rPr>
          <w:rFonts w:eastAsiaTheme="minorEastAsia" w:cs="Arial"/>
          <w:sz w:val="28"/>
        </w:rPr>
        <w:t xml:space="preserve">, </w:t>
      </w:r>
      <w:r w:rsidR="00104214" w:rsidRPr="00104214">
        <w:rPr>
          <w:rFonts w:eastAsiaTheme="minorEastAsia" w:cs="Arial"/>
        </w:rPr>
        <w:fldChar w:fldCharType="begin"/>
      </w:r>
      <w:r w:rsidR="00104214" w:rsidRPr="00104214">
        <w:rPr>
          <w:rFonts w:eastAsiaTheme="minorEastAsia" w:cs="Arial"/>
        </w:rPr>
        <w:instrText xml:space="preserve"> REF _Ref525022713 \# 0 \h </w:instrText>
      </w:r>
      <w:r w:rsidR="00104214">
        <w:rPr>
          <w:rFonts w:eastAsiaTheme="minorEastAsia" w:cs="Arial"/>
        </w:rPr>
        <w:instrText xml:space="preserve"> \* MERGEFORMAT </w:instrText>
      </w:r>
      <w:r w:rsidR="00104214" w:rsidRPr="00104214">
        <w:rPr>
          <w:rFonts w:eastAsiaTheme="minorEastAsia" w:cs="Arial"/>
        </w:rPr>
      </w:r>
      <w:r w:rsidR="00104214" w:rsidRPr="00104214">
        <w:rPr>
          <w:rFonts w:eastAsiaTheme="minorEastAsia" w:cs="Arial"/>
        </w:rPr>
        <w:fldChar w:fldCharType="separate"/>
      </w:r>
      <w:r w:rsidR="00A95E32">
        <w:rPr>
          <w:rFonts w:eastAsiaTheme="minorEastAsia" w:cs="Arial"/>
        </w:rPr>
        <w:t>7</w:t>
      </w:r>
      <w:r w:rsidR="00104214" w:rsidRPr="00104214">
        <w:rPr>
          <w:rFonts w:eastAsiaTheme="minorEastAsia" w:cs="Arial"/>
        </w:rPr>
        <w:fldChar w:fldCharType="end"/>
      </w:r>
      <w:r w:rsidR="00104214">
        <w:rPr>
          <w:rFonts w:eastAsiaTheme="minorEastAsia" w:cs="Arial"/>
          <w:sz w:val="28"/>
        </w:rPr>
        <w:t xml:space="preserve"> </w:t>
      </w:r>
      <w:r>
        <w:rPr>
          <w:rFonts w:eastAsiaTheme="minorEastAsia" w:cs="Arial"/>
          <w:sz w:val="28"/>
        </w:rPr>
        <w:t>y</w:t>
      </w:r>
      <w:r w:rsidR="00104214">
        <w:rPr>
          <w:rFonts w:eastAsiaTheme="minorEastAsia" w:cs="Arial"/>
          <w:sz w:val="28"/>
        </w:rPr>
        <w:t xml:space="preserve"> </w:t>
      </w:r>
      <w:r w:rsidR="00104214" w:rsidRPr="00104214">
        <w:rPr>
          <w:rFonts w:eastAsiaTheme="minorEastAsia" w:cs="Arial"/>
        </w:rPr>
        <w:fldChar w:fldCharType="begin"/>
      </w:r>
      <w:r w:rsidR="00104214" w:rsidRPr="00104214">
        <w:rPr>
          <w:rFonts w:eastAsiaTheme="minorEastAsia" w:cs="Arial"/>
        </w:rPr>
        <w:instrText xml:space="preserve"> REF _Ref524804205 \# 0 \h </w:instrText>
      </w:r>
      <w:r w:rsidR="00104214">
        <w:rPr>
          <w:rFonts w:eastAsiaTheme="minorEastAsia" w:cs="Arial"/>
        </w:rPr>
        <w:instrText xml:space="preserve"> \* MERGEFORMAT </w:instrText>
      </w:r>
      <w:r w:rsidR="00104214" w:rsidRPr="00104214">
        <w:rPr>
          <w:rFonts w:eastAsiaTheme="minorEastAsia" w:cs="Arial"/>
        </w:rPr>
      </w:r>
      <w:r w:rsidR="00104214" w:rsidRPr="00104214">
        <w:rPr>
          <w:rFonts w:eastAsiaTheme="minorEastAsia" w:cs="Arial"/>
        </w:rPr>
        <w:fldChar w:fldCharType="separate"/>
      </w:r>
      <w:r w:rsidR="00A95E32">
        <w:rPr>
          <w:rFonts w:eastAsiaTheme="minorEastAsia" w:cs="Arial"/>
        </w:rPr>
        <w:t>8</w:t>
      </w:r>
      <w:r w:rsidR="00104214" w:rsidRPr="00104214">
        <w:rPr>
          <w:rFonts w:eastAsiaTheme="minorEastAsia" w:cs="Arial"/>
        </w:rPr>
        <w:fldChar w:fldCharType="end"/>
      </w:r>
      <w:r w:rsidR="00104214">
        <w:rPr>
          <w:rFonts w:eastAsiaTheme="minorEastAsia" w:cs="Arial"/>
          <w:sz w:val="28"/>
        </w:rPr>
        <w:t xml:space="preserve">. </w:t>
      </w:r>
      <w:r>
        <w:rPr>
          <w:rFonts w:eastAsiaTheme="minorEastAsia" w:cs="Arial"/>
        </w:rPr>
        <w:t xml:space="preserve">La oferta de precios de los bienes es determinada por los precios de los bienes domésticos y los precios del mercado internacional. Los precios son multiplicados por los pesos relativos de los productos de cada actividad, permitiendo que la condición optima de producción dependa de los precios relativos y sus pesos en la producción. Las cantidades de producción son determinadas por tres procesos del tipo CES, esto es observable en las ecuaciones: </w:t>
      </w:r>
      <w:r w:rsidRPr="00CE7929">
        <w:rPr>
          <w:position w:val="-12"/>
        </w:rPr>
        <w:object w:dxaOrig="1200" w:dyaOrig="360" w14:anchorId="5AEA17BD">
          <v:shape id="_x0000_i1177" type="#_x0000_t75" style="width:66.75pt;height:20.25pt" o:ole="">
            <v:imagedata r:id="rId320" o:title=""/>
          </v:shape>
          <o:OLEObject Type="Embed" ProgID="Equation.DSMT4" ShapeID="_x0000_i1177" DrawAspect="Content" ObjectID="_1706014858" r:id="rId321"/>
        </w:object>
      </w:r>
      <w:r>
        <w:t xml:space="preserve">, </w:t>
      </w:r>
      <w:r>
        <w:rPr>
          <w:rFonts w:eastAsiaTheme="minorEastAsia" w:cs="Arial"/>
        </w:rPr>
        <w:t xml:space="preserve"> </w:t>
      </w:r>
      <w:r w:rsidRPr="00172339">
        <w:rPr>
          <w:position w:val="-12"/>
        </w:rPr>
        <w:object w:dxaOrig="1320" w:dyaOrig="360" w14:anchorId="619D9848">
          <v:shape id="_x0000_i1178" type="#_x0000_t75" style="width:66.75pt;height:15.75pt" o:ole="">
            <v:imagedata r:id="rId322" o:title=""/>
          </v:shape>
          <o:OLEObject Type="Embed" ProgID="Equation.DSMT4" ShapeID="_x0000_i1178" DrawAspect="Content" ObjectID="_1706014859" r:id="rId323"/>
        </w:object>
      </w:r>
      <w:r>
        <w:t>,</w:t>
      </w:r>
      <w:r>
        <w:rPr>
          <w:rFonts w:eastAsiaTheme="minorEastAsia" w:cs="Arial"/>
        </w:rPr>
        <w:t xml:space="preserve"> </w:t>
      </w:r>
      <w:r w:rsidRPr="002B215F">
        <w:rPr>
          <w:position w:val="-14"/>
        </w:rPr>
        <w:object w:dxaOrig="1040" w:dyaOrig="380" w14:anchorId="75E7EE33">
          <v:shape id="_x0000_i1179" type="#_x0000_t75" style="width:51.75pt;height:20.25pt" o:ole="">
            <v:imagedata r:id="rId324" o:title=""/>
          </v:shape>
          <o:OLEObject Type="Embed" ProgID="Equation.DSMT4" ShapeID="_x0000_i1179" DrawAspect="Content" ObjectID="_1706014860" r:id="rId325"/>
        </w:object>
      </w:r>
      <w:r>
        <w:t xml:space="preserve">. </w:t>
      </w:r>
    </w:p>
    <w:p w14:paraId="033EC189" w14:textId="6AD1F0F7" w:rsidR="000F7773" w:rsidRPr="00E859F1" w:rsidRDefault="000F7773" w:rsidP="00E859F1">
      <w:pPr>
        <w:spacing w:line="240" w:lineRule="auto"/>
        <w:rPr>
          <w:b/>
          <w:iCs/>
          <w:color w:val="000000" w:themeColor="text1"/>
          <w:sz w:val="22"/>
          <w:szCs w:val="18"/>
        </w:rPr>
      </w:pPr>
      <w:r>
        <w:rPr>
          <w:rFonts w:eastAsiaTheme="minorEastAsia" w:cs="Arial"/>
        </w:rPr>
        <w:t xml:space="preserve">En la </w:t>
      </w:r>
      <w:r w:rsidR="00104214">
        <w:rPr>
          <w:rFonts w:eastAsiaTheme="minorEastAsia" w:cs="Arial"/>
        </w:rPr>
        <w:fldChar w:fldCharType="begin"/>
      </w:r>
      <w:r w:rsidR="00104214">
        <w:rPr>
          <w:rFonts w:eastAsiaTheme="minorEastAsia" w:cs="Arial"/>
        </w:rPr>
        <w:instrText xml:space="preserve"> REF _Ref524803886 \h  </w:instrText>
      </w:r>
      <w:r w:rsidR="00104214">
        <w:instrText xml:space="preserve">\* lower </w:instrText>
      </w:r>
      <w:r w:rsidR="00104214">
        <w:rPr>
          <w:rFonts w:eastAsiaTheme="minorEastAsia" w:cs="Arial"/>
        </w:rPr>
      </w:r>
      <w:r w:rsidR="00104214">
        <w:rPr>
          <w:rFonts w:eastAsiaTheme="minorEastAsia" w:cs="Arial"/>
        </w:rPr>
        <w:fldChar w:fldCharType="separate"/>
      </w:r>
      <w:r w:rsidR="00A95E32">
        <w:t xml:space="preserve">tabla </w:t>
      </w:r>
      <w:r w:rsidR="00A95E32">
        <w:rPr>
          <w:noProof/>
        </w:rPr>
        <w:t>7</w:t>
      </w:r>
      <w:r w:rsidR="00104214">
        <w:rPr>
          <w:rFonts w:eastAsiaTheme="minorEastAsia" w:cs="Arial"/>
        </w:rPr>
        <w:fldChar w:fldCharType="end"/>
      </w:r>
      <w:r>
        <w:rPr>
          <w:rFonts w:eastAsiaTheme="minorEastAsia" w:cs="Arial"/>
        </w:rPr>
        <w:t xml:space="preserve">, se muestra el primer nivel de producción, donde se muestra un que se agregan mediante un parámetro de tecnología, los bienes intermedios y el valor agregado. La razón optima entre bienes intermedios y valor agregado se obtiene bajo la condición de primer orden de la función previa, los valores de estas variables se basan en el volumen obtenidos de la MCS mediante las constantes </w:t>
      </w:r>
      <w:r w:rsidRPr="00CE2072">
        <w:rPr>
          <w:position w:val="-12"/>
        </w:rPr>
        <w:object w:dxaOrig="940" w:dyaOrig="360" w14:anchorId="5DAA17E2">
          <v:shape id="_x0000_i1180" type="#_x0000_t75" style="width:41.25pt;height:20.25pt" o:ole="">
            <v:imagedata r:id="rId326" o:title=""/>
          </v:shape>
          <o:OLEObject Type="Embed" ProgID="Equation.DSMT4" ShapeID="_x0000_i1180" DrawAspect="Content" ObjectID="_1706014861" r:id="rId327"/>
        </w:object>
      </w:r>
      <w:r>
        <w:rPr>
          <w:rFonts w:eastAsiaTheme="minorEastAsia" w:cs="Arial"/>
        </w:rPr>
        <w:t xml:space="preserve"> y </w:t>
      </w:r>
      <w:r w:rsidRPr="001A34BA">
        <w:rPr>
          <w:position w:val="-10"/>
        </w:rPr>
        <w:object w:dxaOrig="840" w:dyaOrig="300" w14:anchorId="61630E98">
          <v:shape id="_x0000_i1181" type="#_x0000_t75" style="width:41.25pt;height:15.75pt" o:ole="">
            <v:imagedata r:id="rId328" o:title=""/>
          </v:shape>
          <o:OLEObject Type="Embed" ProgID="Equation.DSMT4" ShapeID="_x0000_i1181" DrawAspect="Content" ObjectID="_1706014862" r:id="rId329"/>
        </w:object>
      </w:r>
      <w:r>
        <w:t>.</w:t>
      </w:r>
      <w:r>
        <w:rPr>
          <w:rFonts w:eastAsiaTheme="minorEastAsia" w:cs="Arial"/>
        </w:rPr>
        <w:t xml:space="preserve"> </w:t>
      </w:r>
    </w:p>
    <w:p w14:paraId="1993656F" w14:textId="31BFB70F" w:rsidR="000F7773" w:rsidRPr="002177DD" w:rsidRDefault="000F7773" w:rsidP="000F7773">
      <w:pPr>
        <w:pStyle w:val="Caption"/>
      </w:pPr>
      <w:bookmarkStart w:id="83" w:name="_Ref524803886"/>
      <w:bookmarkStart w:id="84" w:name="_Toc524946945"/>
      <w:bookmarkStart w:id="85" w:name="_Toc525033949"/>
      <w:bookmarkStart w:id="86" w:name="_Toc526175250"/>
      <w:bookmarkStart w:id="87" w:name="_Toc2853697"/>
      <w:r>
        <w:t xml:space="preserve">Tabla </w:t>
      </w:r>
      <w:r w:rsidR="00F700CF">
        <w:rPr>
          <w:noProof/>
        </w:rPr>
        <w:fldChar w:fldCharType="begin"/>
      </w:r>
      <w:r w:rsidR="00F700CF">
        <w:rPr>
          <w:noProof/>
        </w:rPr>
        <w:instrText xml:space="preserve"> SEQ Tabla \* ARABIC </w:instrText>
      </w:r>
      <w:r w:rsidR="00F700CF">
        <w:rPr>
          <w:noProof/>
        </w:rPr>
        <w:fldChar w:fldCharType="separate"/>
      </w:r>
      <w:r w:rsidR="00A95E32">
        <w:rPr>
          <w:noProof/>
        </w:rPr>
        <w:t>7</w:t>
      </w:r>
      <w:r w:rsidR="00F700CF">
        <w:rPr>
          <w:noProof/>
        </w:rPr>
        <w:fldChar w:fldCharType="end"/>
      </w:r>
      <w:bookmarkEnd w:id="83"/>
      <w:r>
        <w:t xml:space="preserve"> </w:t>
      </w:r>
      <w:r>
        <w:br/>
      </w:r>
      <w:r w:rsidRPr="005F3483">
        <w:t>Bloque Producción nivel 1</w:t>
      </w:r>
      <w:bookmarkEnd w:id="84"/>
      <w:bookmarkEnd w:id="85"/>
      <w:bookmarkEnd w:id="86"/>
      <w:bookmarkEnd w:id="87"/>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02"/>
        <w:gridCol w:w="4708"/>
        <w:gridCol w:w="1530"/>
        <w:gridCol w:w="1286"/>
      </w:tblGrid>
      <w:tr w:rsidR="000F7773" w14:paraId="74371942" w14:textId="77777777" w:rsidTr="001F394D">
        <w:trPr>
          <w:trHeight w:val="548"/>
          <w:jc w:val="center"/>
        </w:trPr>
        <w:tc>
          <w:tcPr>
            <w:tcW w:w="1502" w:type="dxa"/>
            <w:tcBorders>
              <w:bottom w:val="single" w:sz="4" w:space="0" w:color="auto"/>
              <w:right w:val="single" w:sz="4" w:space="0" w:color="auto"/>
            </w:tcBorders>
          </w:tcPr>
          <w:p w14:paraId="46A723CD" w14:textId="77777777" w:rsidR="000F7773" w:rsidRPr="001F394D" w:rsidRDefault="000F7773" w:rsidP="00DB0816">
            <w:pPr>
              <w:rPr>
                <w:rFonts w:ascii="Arial" w:eastAsiaTheme="minorEastAsia" w:cs="Arial"/>
                <w:sz w:val="22"/>
              </w:rPr>
            </w:pPr>
            <w:r w:rsidRPr="001F394D">
              <w:rPr>
                <w:rFonts w:ascii="Arial" w:eastAsiaTheme="minorEastAsia" w:cs="Arial"/>
                <w:sz w:val="22"/>
              </w:rPr>
              <w:t>Nombre</w:t>
            </w:r>
          </w:p>
        </w:tc>
        <w:tc>
          <w:tcPr>
            <w:tcW w:w="4708" w:type="dxa"/>
            <w:tcBorders>
              <w:left w:val="single" w:sz="4" w:space="0" w:color="auto"/>
              <w:bottom w:val="single" w:sz="4" w:space="0" w:color="auto"/>
            </w:tcBorders>
          </w:tcPr>
          <w:p w14:paraId="15153D1A" w14:textId="77777777" w:rsidR="000F7773" w:rsidRPr="001F394D" w:rsidRDefault="000F7773" w:rsidP="00DB0816">
            <w:pPr>
              <w:rPr>
                <w:rFonts w:ascii="Arial" w:eastAsiaTheme="minorEastAsia" w:cs="Arial"/>
                <w:sz w:val="22"/>
              </w:rPr>
            </w:pPr>
            <w:r w:rsidRPr="001F394D">
              <w:rPr>
                <w:rFonts w:ascii="Arial" w:eastAsiaTheme="minorEastAsia" w:cs="Arial"/>
                <w:sz w:val="22"/>
              </w:rPr>
              <w:t xml:space="preserve">Ecuación </w:t>
            </w:r>
          </w:p>
        </w:tc>
        <w:tc>
          <w:tcPr>
            <w:tcW w:w="1530" w:type="dxa"/>
            <w:tcBorders>
              <w:bottom w:val="single" w:sz="4" w:space="0" w:color="auto"/>
            </w:tcBorders>
          </w:tcPr>
          <w:p w14:paraId="6AD5C8D0" w14:textId="77777777" w:rsidR="000F7773" w:rsidRPr="001F394D" w:rsidRDefault="000F7773" w:rsidP="00DB0816">
            <w:pPr>
              <w:rPr>
                <w:rFonts w:ascii="Arial" w:eastAsiaTheme="minorEastAsia" w:cs="Arial"/>
                <w:sz w:val="22"/>
              </w:rPr>
            </w:pPr>
            <w:r w:rsidRPr="001F394D">
              <w:rPr>
                <w:rFonts w:ascii="Arial" w:eastAsiaTheme="minorEastAsia" w:cs="Arial"/>
                <w:sz w:val="22"/>
              </w:rPr>
              <w:t>Ecuaciones</w:t>
            </w:r>
          </w:p>
        </w:tc>
        <w:tc>
          <w:tcPr>
            <w:tcW w:w="1286" w:type="dxa"/>
            <w:tcBorders>
              <w:bottom w:val="single" w:sz="4" w:space="0" w:color="auto"/>
            </w:tcBorders>
          </w:tcPr>
          <w:p w14:paraId="2685C083" w14:textId="77777777" w:rsidR="000F7773" w:rsidRPr="001F394D" w:rsidRDefault="000F7773" w:rsidP="00DB0816">
            <w:pPr>
              <w:rPr>
                <w:rFonts w:ascii="Arial" w:eastAsiaTheme="minorEastAsia" w:cs="Arial"/>
                <w:sz w:val="22"/>
              </w:rPr>
            </w:pPr>
            <w:r w:rsidRPr="001F394D">
              <w:rPr>
                <w:rFonts w:ascii="Arial" w:eastAsiaTheme="minorEastAsia" w:cs="Arial"/>
                <w:sz w:val="22"/>
              </w:rPr>
              <w:t>Variables</w:t>
            </w:r>
          </w:p>
        </w:tc>
      </w:tr>
      <w:tr w:rsidR="000F7773" w14:paraId="6912E0FE" w14:textId="77777777" w:rsidTr="001F394D">
        <w:trPr>
          <w:trHeight w:val="487"/>
          <w:jc w:val="center"/>
        </w:trPr>
        <w:tc>
          <w:tcPr>
            <w:tcW w:w="1502" w:type="dxa"/>
            <w:tcBorders>
              <w:top w:val="single" w:sz="4" w:space="0" w:color="auto"/>
              <w:right w:val="single" w:sz="4" w:space="0" w:color="auto"/>
            </w:tcBorders>
          </w:tcPr>
          <w:p w14:paraId="00D0F79C" w14:textId="77777777" w:rsidR="000F7773" w:rsidRDefault="000F7773" w:rsidP="00DB0816">
            <w:pPr>
              <w:rPr>
                <w:rFonts w:eastAsiaTheme="minorEastAsia" w:cs="Arial"/>
              </w:rPr>
            </w:pPr>
            <w:r w:rsidRPr="00950C8C">
              <w:rPr>
                <w:rFonts w:ascii="Arial" w:eastAsiaTheme="minorEastAsia" w:cs="Arial"/>
                <w:position w:val="-12"/>
                <w:lang w:eastAsia="es-ES"/>
              </w:rPr>
              <w:object w:dxaOrig="900" w:dyaOrig="360" w14:anchorId="3033C0BA">
                <v:shape id="_x0000_i1182" type="#_x0000_t75" style="width:41.25pt;height:20.25pt" o:ole="">
                  <v:imagedata r:id="rId330" o:title=""/>
                </v:shape>
                <o:OLEObject Type="Embed" ProgID="Equation.DSMT4" ShapeID="_x0000_i1182" DrawAspect="Content" ObjectID="_1706014863" r:id="rId331"/>
              </w:object>
            </w:r>
            <w:r>
              <w:rPr>
                <w:rFonts w:eastAsiaTheme="minorEastAsia" w:cs="Arial"/>
              </w:rPr>
              <w:t xml:space="preserve"> </w:t>
            </w:r>
          </w:p>
        </w:tc>
        <w:tc>
          <w:tcPr>
            <w:tcW w:w="4708" w:type="dxa"/>
            <w:tcBorders>
              <w:top w:val="single" w:sz="4" w:space="0" w:color="auto"/>
              <w:left w:val="single" w:sz="4" w:space="0" w:color="auto"/>
            </w:tcBorders>
          </w:tcPr>
          <w:p w14:paraId="6BB7CE3F" w14:textId="77777777" w:rsidR="000F7773" w:rsidRPr="007704AF" w:rsidRDefault="000F7773" w:rsidP="00DB0816">
            <w:pPr>
              <w:rPr>
                <w:rFonts w:eastAsiaTheme="minorEastAsia" w:cs="Arial"/>
                <w:lang w:val="en-US"/>
              </w:rPr>
            </w:pPr>
            <w:r w:rsidRPr="009353EB">
              <w:rPr>
                <w:rFonts w:ascii="Arial" w:eastAsiaTheme="minorEastAsia" w:cs="Arial"/>
                <w:position w:val="-28"/>
                <w:lang w:eastAsia="es-ES"/>
              </w:rPr>
              <w:object w:dxaOrig="3120" w:dyaOrig="540" w14:anchorId="4C755B70">
                <v:shape id="_x0000_i1183" type="#_x0000_t75" style="width:149.25pt;height:30.75pt" o:ole="">
                  <v:imagedata r:id="rId332" o:title=""/>
                </v:shape>
                <o:OLEObject Type="Embed" ProgID="Equation.DSMT4" ShapeID="_x0000_i1183" DrawAspect="Content" ObjectID="_1706014864" r:id="rId333"/>
              </w:object>
            </w:r>
            <w:r>
              <w:rPr>
                <w:rFonts w:eastAsiaTheme="minorEastAsia" w:cs="Arial"/>
              </w:rPr>
              <w:t xml:space="preserve"> </w:t>
            </w:r>
          </w:p>
        </w:tc>
        <w:tc>
          <w:tcPr>
            <w:tcW w:w="1530" w:type="dxa"/>
            <w:tcBorders>
              <w:top w:val="single" w:sz="4" w:space="0" w:color="auto"/>
            </w:tcBorders>
          </w:tcPr>
          <w:p w14:paraId="05703809" w14:textId="5F0E94B2" w:rsidR="000F7773" w:rsidRDefault="00C95630" w:rsidP="001F394D">
            <w:pPr>
              <w:jc w:val="center"/>
              <w:rPr>
                <w:rFonts w:eastAsiaTheme="minorEastAsia" w:cs="Arial"/>
              </w:rPr>
            </w:pPr>
            <w:r w:rsidRPr="00B62EA9">
              <w:rPr>
                <w:rFonts w:ascii="Arial" w:eastAsiaTheme="minorEastAsia" w:cs="Arial"/>
                <w:position w:val="-6"/>
                <w:lang w:eastAsia="es-ES"/>
              </w:rPr>
              <w:object w:dxaOrig="200" w:dyaOrig="220" w14:anchorId="54F53C13">
                <v:shape id="_x0000_i1184" type="#_x0000_t75" style="width:10.5pt;height:10.5pt" o:ole="">
                  <v:imagedata r:id="rId334" o:title=""/>
                </v:shape>
                <o:OLEObject Type="Embed" ProgID="Equation.DSMT4" ShapeID="_x0000_i1184" DrawAspect="Content" ObjectID="_1706014865" r:id="rId335"/>
              </w:object>
            </w:r>
          </w:p>
        </w:tc>
        <w:tc>
          <w:tcPr>
            <w:tcW w:w="1286" w:type="dxa"/>
            <w:tcBorders>
              <w:top w:val="single" w:sz="4" w:space="0" w:color="auto"/>
            </w:tcBorders>
          </w:tcPr>
          <w:p w14:paraId="3D225490" w14:textId="7310E576" w:rsidR="000F7773" w:rsidRDefault="00E51BB0" w:rsidP="00DB0816">
            <w:pPr>
              <w:rPr>
                <w:rFonts w:eastAsiaTheme="minorEastAsia" w:cs="Arial"/>
              </w:rPr>
            </w:pPr>
            <w:r w:rsidRPr="00E51BB0">
              <w:rPr>
                <w:rFonts w:ascii="Arial" w:eastAsiaTheme="minorEastAsia" w:cs="Arial"/>
                <w:position w:val="-12"/>
                <w:lang w:eastAsia="es-ES"/>
              </w:rPr>
              <w:object w:dxaOrig="480" w:dyaOrig="360" w14:anchorId="2A267EEB">
                <v:shape id="_x0000_i1185" type="#_x0000_t75" style="width:25.5pt;height:20.25pt" o:ole="">
                  <v:imagedata r:id="rId336" o:title=""/>
                </v:shape>
                <o:OLEObject Type="Embed" ProgID="Equation.DSMT4" ShapeID="_x0000_i1185" DrawAspect="Content" ObjectID="_1706014866" r:id="rId337"/>
              </w:object>
            </w:r>
            <w:r>
              <w:rPr>
                <w:rFonts w:ascii="Arial" w:eastAsiaTheme="minorEastAsia" w:cs="Arial"/>
                <w:lang w:eastAsia="es-ES"/>
              </w:rPr>
              <w:t xml:space="preserve"> </w:t>
            </w:r>
          </w:p>
        </w:tc>
      </w:tr>
      <w:tr w:rsidR="000F7773" w14:paraId="47C2ED89" w14:textId="77777777" w:rsidTr="001F394D">
        <w:trPr>
          <w:trHeight w:val="607"/>
          <w:jc w:val="center"/>
        </w:trPr>
        <w:tc>
          <w:tcPr>
            <w:tcW w:w="1502" w:type="dxa"/>
            <w:tcBorders>
              <w:right w:val="single" w:sz="4" w:space="0" w:color="auto"/>
            </w:tcBorders>
          </w:tcPr>
          <w:p w14:paraId="144E5175" w14:textId="77777777" w:rsidR="000F7773" w:rsidRDefault="000F7773" w:rsidP="00DB0816">
            <w:pPr>
              <w:rPr>
                <w:rFonts w:eastAsiaTheme="minorEastAsia" w:cs="Arial"/>
              </w:rPr>
            </w:pPr>
            <w:r w:rsidRPr="00C817E7">
              <w:rPr>
                <w:rFonts w:ascii="Arial" w:eastAsiaTheme="minorEastAsia" w:cs="Arial"/>
                <w:position w:val="-12"/>
                <w:lang w:eastAsia="es-ES"/>
              </w:rPr>
              <w:object w:dxaOrig="1040" w:dyaOrig="360" w14:anchorId="71A0518B">
                <v:shape id="_x0000_i1186" type="#_x0000_t75" style="width:51.75pt;height:20.25pt" o:ole="">
                  <v:imagedata r:id="rId338" o:title=""/>
                </v:shape>
                <o:OLEObject Type="Embed" ProgID="Equation.DSMT4" ShapeID="_x0000_i1186" DrawAspect="Content" ObjectID="_1706014867" r:id="rId339"/>
              </w:object>
            </w:r>
            <w:r>
              <w:rPr>
                <w:rFonts w:eastAsiaTheme="minorEastAsia" w:cs="Arial"/>
              </w:rPr>
              <w:t xml:space="preserve"> </w:t>
            </w:r>
          </w:p>
        </w:tc>
        <w:tc>
          <w:tcPr>
            <w:tcW w:w="4708" w:type="dxa"/>
            <w:tcBorders>
              <w:left w:val="single" w:sz="4" w:space="0" w:color="auto"/>
            </w:tcBorders>
          </w:tcPr>
          <w:p w14:paraId="1B97BF89" w14:textId="184E3A5F" w:rsidR="000F7773" w:rsidRDefault="001F394D" w:rsidP="00DB0816">
            <w:pPr>
              <w:rPr>
                <w:rFonts w:eastAsiaTheme="minorEastAsia" w:cs="Arial"/>
              </w:rPr>
            </w:pPr>
            <w:r w:rsidRPr="00B9602F">
              <w:rPr>
                <w:rFonts w:ascii="Arial" w:eastAsiaTheme="minorEastAsia" w:cs="Arial"/>
                <w:position w:val="-12"/>
                <w:lang w:eastAsia="es-ES"/>
              </w:rPr>
              <w:object w:dxaOrig="5539" w:dyaOrig="360" w14:anchorId="2E6528D3">
                <v:shape id="_x0000_i1187" type="#_x0000_t75" style="width:221.25pt;height:20.25pt" o:ole="">
                  <v:imagedata r:id="rId340" o:title=""/>
                </v:shape>
                <o:OLEObject Type="Embed" ProgID="Equation.DSMT4" ShapeID="_x0000_i1187" DrawAspect="Content" ObjectID="_1706014868" r:id="rId341"/>
              </w:object>
            </w:r>
            <w:r w:rsidR="000F7773">
              <w:rPr>
                <w:rFonts w:eastAsiaTheme="minorEastAsia" w:cs="Arial"/>
              </w:rPr>
              <w:t xml:space="preserve"> </w:t>
            </w:r>
          </w:p>
        </w:tc>
        <w:tc>
          <w:tcPr>
            <w:tcW w:w="1530" w:type="dxa"/>
          </w:tcPr>
          <w:p w14:paraId="279BAFEE" w14:textId="565B6204" w:rsidR="000F7773" w:rsidRDefault="00C95630" w:rsidP="001F394D">
            <w:pPr>
              <w:jc w:val="center"/>
              <w:rPr>
                <w:rFonts w:eastAsiaTheme="minorEastAsia" w:cs="Arial"/>
              </w:rPr>
            </w:pPr>
            <w:r w:rsidRPr="00B62EA9">
              <w:rPr>
                <w:rFonts w:ascii="Arial" w:eastAsiaTheme="minorEastAsia" w:cs="Arial"/>
                <w:position w:val="-6"/>
                <w:lang w:eastAsia="es-ES"/>
              </w:rPr>
              <w:object w:dxaOrig="200" w:dyaOrig="220" w14:anchorId="5DA9CE47">
                <v:shape id="_x0000_i1188" type="#_x0000_t75" style="width:10.5pt;height:10.5pt" o:ole="">
                  <v:imagedata r:id="rId334" o:title=""/>
                </v:shape>
                <o:OLEObject Type="Embed" ProgID="Equation.DSMT4" ShapeID="_x0000_i1188" DrawAspect="Content" ObjectID="_1706014869" r:id="rId342"/>
              </w:object>
            </w:r>
          </w:p>
        </w:tc>
        <w:tc>
          <w:tcPr>
            <w:tcW w:w="1286" w:type="dxa"/>
          </w:tcPr>
          <w:p w14:paraId="1AB90A0A" w14:textId="77777777" w:rsidR="000F7773" w:rsidRDefault="000F7773" w:rsidP="00DB0816">
            <w:pPr>
              <w:rPr>
                <w:rFonts w:eastAsiaTheme="minorEastAsia" w:cs="Arial"/>
              </w:rPr>
            </w:pPr>
            <w:r w:rsidRPr="007E493E">
              <w:rPr>
                <w:rFonts w:ascii="Arial" w:eastAsiaTheme="minorEastAsia" w:cs="Arial"/>
                <w:position w:val="-12"/>
                <w:lang w:eastAsia="es-ES"/>
              </w:rPr>
              <w:object w:dxaOrig="440" w:dyaOrig="360" w14:anchorId="0514D597">
                <v:shape id="_x0000_i1189" type="#_x0000_t75" style="width:20.25pt;height:20.25pt" o:ole="">
                  <v:imagedata r:id="rId343" o:title=""/>
                </v:shape>
                <o:OLEObject Type="Embed" ProgID="Equation.DSMT4" ShapeID="_x0000_i1189" DrawAspect="Content" ObjectID="_1706014870" r:id="rId344"/>
              </w:object>
            </w:r>
            <w:r>
              <w:rPr>
                <w:rFonts w:eastAsiaTheme="minorEastAsia" w:cs="Arial"/>
              </w:rPr>
              <w:t xml:space="preserve"> </w:t>
            </w:r>
          </w:p>
        </w:tc>
      </w:tr>
      <w:tr w:rsidR="000F7773" w14:paraId="0882C32C" w14:textId="77777777" w:rsidTr="001F394D">
        <w:trPr>
          <w:trHeight w:val="452"/>
          <w:jc w:val="center"/>
        </w:trPr>
        <w:tc>
          <w:tcPr>
            <w:tcW w:w="1502" w:type="dxa"/>
            <w:tcBorders>
              <w:right w:val="single" w:sz="4" w:space="0" w:color="auto"/>
            </w:tcBorders>
          </w:tcPr>
          <w:p w14:paraId="1C1F7AB0" w14:textId="77777777" w:rsidR="000F7773" w:rsidRDefault="000F7773" w:rsidP="00DB0816">
            <w:pPr>
              <w:rPr>
                <w:rFonts w:eastAsiaTheme="minorEastAsia" w:cs="Arial"/>
              </w:rPr>
            </w:pPr>
            <w:r w:rsidRPr="00C817E7">
              <w:rPr>
                <w:rFonts w:ascii="Arial" w:eastAsiaTheme="minorEastAsia" w:cs="Arial"/>
                <w:position w:val="-12"/>
                <w:lang w:eastAsia="es-ES"/>
              </w:rPr>
              <w:object w:dxaOrig="1120" w:dyaOrig="360" w14:anchorId="0B52C2D2">
                <v:shape id="_x0000_i1190" type="#_x0000_t75" style="width:56.25pt;height:20.25pt" o:ole="">
                  <v:imagedata r:id="rId345" o:title=""/>
                </v:shape>
                <o:OLEObject Type="Embed" ProgID="Equation.DSMT4" ShapeID="_x0000_i1190" DrawAspect="Content" ObjectID="_1706014871" r:id="rId346"/>
              </w:object>
            </w:r>
            <w:r>
              <w:rPr>
                <w:rFonts w:eastAsiaTheme="minorEastAsia" w:cs="Arial"/>
              </w:rPr>
              <w:t xml:space="preserve"> </w:t>
            </w:r>
          </w:p>
        </w:tc>
        <w:tc>
          <w:tcPr>
            <w:tcW w:w="4708" w:type="dxa"/>
            <w:tcBorders>
              <w:left w:val="single" w:sz="4" w:space="0" w:color="auto"/>
            </w:tcBorders>
          </w:tcPr>
          <w:p w14:paraId="7EB26436" w14:textId="6A4A519B" w:rsidR="000F7773" w:rsidRDefault="00774869" w:rsidP="00DB0816">
            <w:pPr>
              <w:tabs>
                <w:tab w:val="left" w:pos="980"/>
              </w:tabs>
              <w:rPr>
                <w:rFonts w:eastAsiaTheme="minorEastAsia" w:cs="Arial"/>
              </w:rPr>
            </w:pPr>
            <w:r w:rsidRPr="00721896">
              <w:rPr>
                <w:rFonts w:ascii="Arial" w:eastAsiaTheme="minorEastAsia" w:cs="Arial"/>
                <w:position w:val="-28"/>
                <w:lang w:eastAsia="es-ES"/>
              </w:rPr>
              <w:object w:dxaOrig="5020" w:dyaOrig="540" w14:anchorId="0108B847">
                <v:shape id="_x0000_i1191" type="#_x0000_t75" style="width:225.75pt;height:30.75pt" o:ole="">
                  <v:imagedata r:id="rId347" o:title=""/>
                </v:shape>
                <o:OLEObject Type="Embed" ProgID="Equation.DSMT4" ShapeID="_x0000_i1191" DrawAspect="Content" ObjectID="_1706014872" r:id="rId348"/>
              </w:object>
            </w:r>
            <w:r w:rsidR="000F7773">
              <w:rPr>
                <w:rFonts w:eastAsiaTheme="minorEastAsia" w:cs="Arial"/>
              </w:rPr>
              <w:t xml:space="preserve"> </w:t>
            </w:r>
            <w:r w:rsidR="000F7773">
              <w:rPr>
                <w:rFonts w:eastAsiaTheme="minorEastAsia" w:cs="Arial"/>
              </w:rPr>
              <w:tab/>
            </w:r>
          </w:p>
        </w:tc>
        <w:tc>
          <w:tcPr>
            <w:tcW w:w="1530" w:type="dxa"/>
          </w:tcPr>
          <w:p w14:paraId="1CBB6740" w14:textId="5FB68206" w:rsidR="000F7773" w:rsidRDefault="00C95630" w:rsidP="001F394D">
            <w:pPr>
              <w:jc w:val="center"/>
              <w:rPr>
                <w:rFonts w:eastAsiaTheme="minorEastAsia" w:cs="Arial"/>
              </w:rPr>
            </w:pPr>
            <w:r w:rsidRPr="00B62EA9">
              <w:rPr>
                <w:rFonts w:ascii="Arial" w:eastAsiaTheme="minorEastAsia" w:cs="Arial"/>
                <w:position w:val="-6"/>
                <w:lang w:eastAsia="es-ES"/>
              </w:rPr>
              <w:object w:dxaOrig="200" w:dyaOrig="220" w14:anchorId="3A9776D4">
                <v:shape id="_x0000_i1192" type="#_x0000_t75" style="width:10.5pt;height:10.5pt" o:ole="">
                  <v:imagedata r:id="rId334" o:title=""/>
                </v:shape>
                <o:OLEObject Type="Embed" ProgID="Equation.DSMT4" ShapeID="_x0000_i1192" DrawAspect="Content" ObjectID="_1706014873" r:id="rId349"/>
              </w:object>
            </w:r>
          </w:p>
        </w:tc>
        <w:tc>
          <w:tcPr>
            <w:tcW w:w="1286" w:type="dxa"/>
          </w:tcPr>
          <w:p w14:paraId="5C74D100" w14:textId="77777777" w:rsidR="000F7773" w:rsidRDefault="000F7773" w:rsidP="00DB0816">
            <w:pPr>
              <w:rPr>
                <w:rFonts w:eastAsiaTheme="minorEastAsia" w:cs="Arial"/>
              </w:rPr>
            </w:pPr>
            <w:r w:rsidRPr="005456D9">
              <w:rPr>
                <w:rFonts w:ascii="Arial" w:eastAsiaTheme="minorEastAsia" w:cs="Arial"/>
                <w:position w:val="-12"/>
                <w:lang w:eastAsia="es-ES"/>
              </w:rPr>
              <w:object w:dxaOrig="660" w:dyaOrig="360" w14:anchorId="6F2C92C2">
                <v:shape id="_x0000_i1193" type="#_x0000_t75" style="width:30.75pt;height:20.25pt" o:ole="">
                  <v:imagedata r:id="rId350" o:title=""/>
                </v:shape>
                <o:OLEObject Type="Embed" ProgID="Equation.DSMT4" ShapeID="_x0000_i1193" DrawAspect="Content" ObjectID="_1706014874" r:id="rId351"/>
              </w:object>
            </w:r>
            <w:r>
              <w:rPr>
                <w:rFonts w:eastAsiaTheme="minorEastAsia" w:cs="Arial"/>
              </w:rPr>
              <w:t xml:space="preserve"> </w:t>
            </w:r>
          </w:p>
        </w:tc>
      </w:tr>
      <w:tr w:rsidR="000F7773" w14:paraId="2A0336A2" w14:textId="77777777" w:rsidTr="001F394D">
        <w:trPr>
          <w:trHeight w:val="445"/>
          <w:jc w:val="center"/>
        </w:trPr>
        <w:tc>
          <w:tcPr>
            <w:tcW w:w="1502" w:type="dxa"/>
            <w:tcBorders>
              <w:right w:val="single" w:sz="4" w:space="0" w:color="auto"/>
            </w:tcBorders>
          </w:tcPr>
          <w:p w14:paraId="1B861E1E" w14:textId="77777777" w:rsidR="000F7773" w:rsidRDefault="000F7773" w:rsidP="00DB0816">
            <w:pPr>
              <w:rPr>
                <w:rFonts w:eastAsiaTheme="minorEastAsia" w:cs="Arial"/>
              </w:rPr>
            </w:pPr>
            <w:r w:rsidRPr="008E1EF4">
              <w:rPr>
                <w:rFonts w:ascii="Arial" w:eastAsiaTheme="minorEastAsia" w:cs="Arial"/>
                <w:position w:val="-12"/>
                <w:lang w:eastAsia="es-ES"/>
              </w:rPr>
              <w:object w:dxaOrig="940" w:dyaOrig="360" w14:anchorId="1C0705FA">
                <v:shape id="_x0000_i1194" type="#_x0000_t75" style="width:41.25pt;height:20.25pt" o:ole="">
                  <v:imagedata r:id="rId352" o:title=""/>
                </v:shape>
                <o:OLEObject Type="Embed" ProgID="Equation.DSMT4" ShapeID="_x0000_i1194" DrawAspect="Content" ObjectID="_1706014875" r:id="rId353"/>
              </w:object>
            </w:r>
            <w:r>
              <w:rPr>
                <w:rFonts w:eastAsiaTheme="minorEastAsia" w:cs="Arial"/>
              </w:rPr>
              <w:t xml:space="preserve"> </w:t>
            </w:r>
          </w:p>
        </w:tc>
        <w:tc>
          <w:tcPr>
            <w:tcW w:w="4708" w:type="dxa"/>
            <w:tcBorders>
              <w:left w:val="single" w:sz="4" w:space="0" w:color="auto"/>
            </w:tcBorders>
          </w:tcPr>
          <w:p w14:paraId="033E220B" w14:textId="081DC372" w:rsidR="000F7773" w:rsidRDefault="001F394D" w:rsidP="00DB0816">
            <w:pPr>
              <w:rPr>
                <w:rFonts w:eastAsiaTheme="minorEastAsia" w:cs="Arial"/>
              </w:rPr>
            </w:pPr>
            <w:r w:rsidRPr="00D444B4">
              <w:rPr>
                <w:rFonts w:ascii="Arial" w:eastAsiaTheme="minorEastAsia" w:cs="Arial"/>
                <w:position w:val="-16"/>
                <w:lang w:eastAsia="es-ES"/>
              </w:rPr>
              <w:object w:dxaOrig="5700" w:dyaOrig="440" w14:anchorId="547D1811">
                <v:shape id="_x0000_i1195" type="#_x0000_t75" style="width:231.75pt;height:20.25pt" o:ole="">
                  <v:imagedata r:id="rId354" o:title=""/>
                </v:shape>
                <o:OLEObject Type="Embed" ProgID="Equation.DSMT4" ShapeID="_x0000_i1195" DrawAspect="Content" ObjectID="_1706014876" r:id="rId355"/>
              </w:object>
            </w:r>
            <w:r w:rsidR="000F7773">
              <w:rPr>
                <w:rFonts w:eastAsiaTheme="minorEastAsia" w:cs="Arial"/>
              </w:rPr>
              <w:t xml:space="preserve"> </w:t>
            </w:r>
          </w:p>
        </w:tc>
        <w:tc>
          <w:tcPr>
            <w:tcW w:w="1530" w:type="dxa"/>
          </w:tcPr>
          <w:p w14:paraId="01ACBBDE" w14:textId="15B14BC9" w:rsidR="000F7773" w:rsidRDefault="00C95630" w:rsidP="001F394D">
            <w:pPr>
              <w:jc w:val="center"/>
              <w:rPr>
                <w:rFonts w:eastAsiaTheme="minorEastAsia" w:cs="Arial"/>
              </w:rPr>
            </w:pPr>
            <w:r w:rsidRPr="00B62EA9">
              <w:rPr>
                <w:rFonts w:ascii="Arial" w:eastAsiaTheme="minorEastAsia" w:cs="Arial"/>
                <w:position w:val="-6"/>
                <w:lang w:eastAsia="es-ES"/>
              </w:rPr>
              <w:object w:dxaOrig="200" w:dyaOrig="220" w14:anchorId="0C32D8BC">
                <v:shape id="_x0000_i1196" type="#_x0000_t75" style="width:10.5pt;height:10.5pt" o:ole="">
                  <v:imagedata r:id="rId334" o:title=""/>
                </v:shape>
                <o:OLEObject Type="Embed" ProgID="Equation.DSMT4" ShapeID="_x0000_i1196" DrawAspect="Content" ObjectID="_1706014877" r:id="rId356"/>
              </w:object>
            </w:r>
          </w:p>
        </w:tc>
        <w:tc>
          <w:tcPr>
            <w:tcW w:w="1286" w:type="dxa"/>
          </w:tcPr>
          <w:p w14:paraId="5AAFEC25" w14:textId="77777777" w:rsidR="000F7773" w:rsidRDefault="000F7773" w:rsidP="00DB0816">
            <w:pPr>
              <w:tabs>
                <w:tab w:val="center" w:pos="500"/>
                <w:tab w:val="right" w:pos="1000"/>
              </w:tabs>
              <w:rPr>
                <w:rFonts w:eastAsiaTheme="minorEastAsia" w:cs="Arial"/>
              </w:rPr>
            </w:pPr>
            <w:r w:rsidRPr="00EC0B75">
              <w:rPr>
                <w:rFonts w:ascii="Arial" w:eastAsiaTheme="minorEastAsia" w:cs="Arial"/>
                <w:position w:val="-12"/>
                <w:lang w:eastAsia="es-ES"/>
              </w:rPr>
              <w:object w:dxaOrig="660" w:dyaOrig="360" w14:anchorId="54CFCD8F">
                <v:shape id="_x0000_i1197" type="#_x0000_t75" style="width:30.75pt;height:20.25pt" o:ole="">
                  <v:imagedata r:id="rId357" o:title=""/>
                </v:shape>
                <o:OLEObject Type="Embed" ProgID="Equation.DSMT4" ShapeID="_x0000_i1197" DrawAspect="Content" ObjectID="_1706014878" r:id="rId358"/>
              </w:object>
            </w:r>
            <w:r>
              <w:rPr>
                <w:rFonts w:eastAsiaTheme="minorEastAsia" w:cs="Arial"/>
              </w:rPr>
              <w:t xml:space="preserve"> </w:t>
            </w:r>
          </w:p>
        </w:tc>
      </w:tr>
      <w:tr w:rsidR="000F7773" w14:paraId="29B6946F" w14:textId="77777777" w:rsidTr="001F394D">
        <w:trPr>
          <w:trHeight w:val="452"/>
          <w:jc w:val="center"/>
        </w:trPr>
        <w:tc>
          <w:tcPr>
            <w:tcW w:w="1502" w:type="dxa"/>
            <w:tcBorders>
              <w:right w:val="single" w:sz="4" w:space="0" w:color="auto"/>
            </w:tcBorders>
          </w:tcPr>
          <w:p w14:paraId="5853A5F7" w14:textId="77777777" w:rsidR="000F7773" w:rsidRDefault="000F7773" w:rsidP="00DB0816">
            <w:pPr>
              <w:rPr>
                <w:rFonts w:eastAsiaTheme="minorEastAsia" w:cs="Arial"/>
              </w:rPr>
            </w:pPr>
            <w:r w:rsidRPr="008E1EF4">
              <w:rPr>
                <w:rFonts w:ascii="Arial" w:eastAsiaTheme="minorEastAsia" w:cs="Arial"/>
                <w:position w:val="-12"/>
                <w:lang w:eastAsia="es-ES"/>
              </w:rPr>
              <w:object w:dxaOrig="1420" w:dyaOrig="360" w14:anchorId="430DD1F2">
                <v:shape id="_x0000_i1198" type="#_x0000_t75" style="width:1in;height:20.25pt" o:ole="">
                  <v:imagedata r:id="rId359" o:title=""/>
                </v:shape>
                <o:OLEObject Type="Embed" ProgID="Equation.DSMT4" ShapeID="_x0000_i1198" DrawAspect="Content" ObjectID="_1706014879" r:id="rId360"/>
              </w:object>
            </w:r>
          </w:p>
        </w:tc>
        <w:tc>
          <w:tcPr>
            <w:tcW w:w="4708" w:type="dxa"/>
            <w:tcBorders>
              <w:left w:val="single" w:sz="4" w:space="0" w:color="auto"/>
            </w:tcBorders>
          </w:tcPr>
          <w:p w14:paraId="1C12C8A7" w14:textId="3467D220" w:rsidR="000F7773" w:rsidRDefault="001F394D" w:rsidP="00DB0816">
            <w:pPr>
              <w:rPr>
                <w:rFonts w:eastAsiaTheme="minorEastAsia" w:cs="Arial"/>
              </w:rPr>
            </w:pPr>
            <w:r w:rsidRPr="00CC60E8">
              <w:rPr>
                <w:rFonts w:ascii="Arial" w:eastAsiaTheme="minorEastAsia" w:cs="Arial"/>
                <w:position w:val="-20"/>
                <w:lang w:eastAsia="es-ES"/>
              </w:rPr>
              <w:object w:dxaOrig="4920" w:dyaOrig="660" w14:anchorId="043C1971">
                <v:shape id="_x0000_i1199" type="#_x0000_t75" style="width:231.75pt;height:30.75pt" o:ole="">
                  <v:imagedata r:id="rId361" o:title=""/>
                </v:shape>
                <o:OLEObject Type="Embed" ProgID="Equation.DSMT4" ShapeID="_x0000_i1199" DrawAspect="Content" ObjectID="_1706014880" r:id="rId362"/>
              </w:object>
            </w:r>
          </w:p>
        </w:tc>
        <w:tc>
          <w:tcPr>
            <w:tcW w:w="1530" w:type="dxa"/>
          </w:tcPr>
          <w:p w14:paraId="17A872EE" w14:textId="17CBFB34" w:rsidR="000F7773" w:rsidRDefault="00C95630" w:rsidP="001F394D">
            <w:pPr>
              <w:jc w:val="center"/>
              <w:rPr>
                <w:rFonts w:eastAsiaTheme="minorEastAsia" w:cs="Arial"/>
              </w:rPr>
            </w:pPr>
            <w:r w:rsidRPr="00B62EA9">
              <w:rPr>
                <w:rFonts w:ascii="Arial" w:eastAsiaTheme="minorEastAsia" w:cs="Arial"/>
                <w:position w:val="-6"/>
                <w:lang w:eastAsia="es-ES"/>
              </w:rPr>
              <w:object w:dxaOrig="200" w:dyaOrig="220" w14:anchorId="730EBF40">
                <v:shape id="_x0000_i1200" type="#_x0000_t75" style="width:10.5pt;height:10.5pt" o:ole="">
                  <v:imagedata r:id="rId334" o:title=""/>
                </v:shape>
                <o:OLEObject Type="Embed" ProgID="Equation.DSMT4" ShapeID="_x0000_i1200" DrawAspect="Content" ObjectID="_1706014881" r:id="rId363"/>
              </w:object>
            </w:r>
          </w:p>
        </w:tc>
        <w:tc>
          <w:tcPr>
            <w:tcW w:w="1286" w:type="dxa"/>
          </w:tcPr>
          <w:p w14:paraId="344DDA25" w14:textId="77777777" w:rsidR="000F7773" w:rsidRDefault="000F7773" w:rsidP="00DB0816">
            <w:pPr>
              <w:rPr>
                <w:rFonts w:eastAsiaTheme="minorEastAsia" w:cs="Arial"/>
              </w:rPr>
            </w:pPr>
            <w:r w:rsidRPr="00F7624B">
              <w:rPr>
                <w:rFonts w:ascii="Arial" w:eastAsiaTheme="minorEastAsia" w:cs="Arial"/>
                <w:position w:val="-12"/>
                <w:lang w:eastAsia="es-ES"/>
              </w:rPr>
              <w:object w:dxaOrig="499" w:dyaOrig="360" w14:anchorId="35D18DFB">
                <v:shape id="_x0000_i1201" type="#_x0000_t75" style="width:30.75pt;height:20.25pt" o:ole="">
                  <v:imagedata r:id="rId364" o:title=""/>
                </v:shape>
                <o:OLEObject Type="Embed" ProgID="Equation.DSMT4" ShapeID="_x0000_i1201" DrawAspect="Content" ObjectID="_1706014882" r:id="rId365"/>
              </w:object>
            </w:r>
            <w:r>
              <w:rPr>
                <w:rFonts w:eastAsiaTheme="minorEastAsia" w:cs="Arial"/>
              </w:rPr>
              <w:t xml:space="preserve"> </w:t>
            </w:r>
          </w:p>
        </w:tc>
      </w:tr>
      <w:tr w:rsidR="000F7773" w14:paraId="6E40F437" w14:textId="77777777" w:rsidTr="001F394D">
        <w:trPr>
          <w:trHeight w:val="452"/>
          <w:jc w:val="center"/>
        </w:trPr>
        <w:tc>
          <w:tcPr>
            <w:tcW w:w="1502" w:type="dxa"/>
            <w:tcBorders>
              <w:right w:val="single" w:sz="4" w:space="0" w:color="auto"/>
            </w:tcBorders>
          </w:tcPr>
          <w:p w14:paraId="5C693BBE" w14:textId="77777777" w:rsidR="000F7773" w:rsidRDefault="000F7773" w:rsidP="00DB0816">
            <w:pPr>
              <w:rPr>
                <w:rFonts w:eastAsiaTheme="minorEastAsia" w:cs="Arial"/>
              </w:rPr>
            </w:pPr>
            <w:r w:rsidRPr="00155F9E">
              <w:rPr>
                <w:rFonts w:ascii="Arial" w:eastAsiaTheme="minorEastAsia" w:cs="Arial"/>
                <w:position w:val="-12"/>
                <w:lang w:eastAsia="es-ES"/>
              </w:rPr>
              <w:object w:dxaOrig="940" w:dyaOrig="360" w14:anchorId="4340A11D">
                <v:shape id="_x0000_i1202" type="#_x0000_t75" style="width:41.25pt;height:20.25pt" o:ole="">
                  <v:imagedata r:id="rId366" o:title=""/>
                </v:shape>
                <o:OLEObject Type="Embed" ProgID="Equation.DSMT4" ShapeID="_x0000_i1202" DrawAspect="Content" ObjectID="_1706014883" r:id="rId367"/>
              </w:object>
            </w:r>
            <w:r>
              <w:rPr>
                <w:rFonts w:eastAsiaTheme="minorEastAsia" w:cs="Arial"/>
              </w:rPr>
              <w:t xml:space="preserve"> </w:t>
            </w:r>
          </w:p>
        </w:tc>
        <w:tc>
          <w:tcPr>
            <w:tcW w:w="4708" w:type="dxa"/>
            <w:tcBorders>
              <w:left w:val="single" w:sz="4" w:space="0" w:color="auto"/>
            </w:tcBorders>
          </w:tcPr>
          <w:p w14:paraId="4C25C48F" w14:textId="77777777" w:rsidR="000F7773" w:rsidRDefault="000F7773" w:rsidP="00DB0816">
            <w:pPr>
              <w:rPr>
                <w:rFonts w:eastAsiaTheme="minorEastAsia" w:cs="Arial"/>
              </w:rPr>
            </w:pPr>
            <w:r w:rsidRPr="00744807">
              <w:rPr>
                <w:rFonts w:ascii="Arial" w:eastAsiaTheme="minorEastAsia" w:cs="Arial"/>
                <w:position w:val="-32"/>
                <w:lang w:eastAsia="es-ES"/>
              </w:rPr>
              <w:object w:dxaOrig="4200" w:dyaOrig="900" w14:anchorId="2171A197">
                <v:shape id="_x0000_i1203" type="#_x0000_t75" style="width:210.75pt;height:41.25pt" o:ole="">
                  <v:imagedata r:id="rId368" o:title=""/>
                </v:shape>
                <o:OLEObject Type="Embed" ProgID="Equation.DSMT4" ShapeID="_x0000_i1203" DrawAspect="Content" ObjectID="_1706014884" r:id="rId369"/>
              </w:object>
            </w:r>
            <w:r>
              <w:rPr>
                <w:rFonts w:eastAsiaTheme="minorEastAsia" w:cs="Arial"/>
              </w:rPr>
              <w:t xml:space="preserve"> </w:t>
            </w:r>
          </w:p>
        </w:tc>
        <w:tc>
          <w:tcPr>
            <w:tcW w:w="1530" w:type="dxa"/>
          </w:tcPr>
          <w:p w14:paraId="5FF2884D" w14:textId="1AB07259" w:rsidR="000F7773" w:rsidRDefault="00C95630" w:rsidP="001F394D">
            <w:pPr>
              <w:jc w:val="center"/>
              <w:rPr>
                <w:rFonts w:eastAsiaTheme="minorEastAsia" w:cs="Arial"/>
              </w:rPr>
            </w:pPr>
            <w:r w:rsidRPr="00B62EA9">
              <w:rPr>
                <w:rFonts w:ascii="Arial" w:eastAsiaTheme="minorEastAsia" w:cs="Arial"/>
                <w:position w:val="-6"/>
                <w:lang w:eastAsia="es-ES"/>
              </w:rPr>
              <w:object w:dxaOrig="200" w:dyaOrig="220" w14:anchorId="0EDC3F86">
                <v:shape id="_x0000_i1204" type="#_x0000_t75" style="width:10.5pt;height:10.5pt" o:ole="">
                  <v:imagedata r:id="rId334" o:title=""/>
                </v:shape>
                <o:OLEObject Type="Embed" ProgID="Equation.DSMT4" ShapeID="_x0000_i1204" DrawAspect="Content" ObjectID="_1706014885" r:id="rId370"/>
              </w:object>
            </w:r>
          </w:p>
        </w:tc>
        <w:tc>
          <w:tcPr>
            <w:tcW w:w="1286" w:type="dxa"/>
          </w:tcPr>
          <w:p w14:paraId="7663D074" w14:textId="77777777" w:rsidR="000F7773" w:rsidRDefault="000F7773" w:rsidP="00DB0816">
            <w:pPr>
              <w:rPr>
                <w:rFonts w:eastAsiaTheme="minorEastAsia" w:cs="Arial"/>
              </w:rPr>
            </w:pPr>
            <w:r w:rsidRPr="00E11307">
              <w:rPr>
                <w:rFonts w:ascii="Arial" w:eastAsiaTheme="minorEastAsia" w:cs="Arial"/>
                <w:position w:val="-12"/>
                <w:lang w:eastAsia="es-ES"/>
              </w:rPr>
              <w:object w:dxaOrig="680" w:dyaOrig="360" w14:anchorId="7C95035D">
                <v:shape id="_x0000_i1205" type="#_x0000_t75" style="width:36pt;height:20.25pt" o:ole="">
                  <v:imagedata r:id="rId371" o:title=""/>
                </v:shape>
                <o:OLEObject Type="Embed" ProgID="Equation.DSMT4" ShapeID="_x0000_i1205" DrawAspect="Content" ObjectID="_1706014886" r:id="rId372"/>
              </w:object>
            </w:r>
            <w:r>
              <w:rPr>
                <w:rFonts w:eastAsiaTheme="minorEastAsia" w:cs="Arial"/>
              </w:rPr>
              <w:t xml:space="preserve"> </w:t>
            </w:r>
          </w:p>
        </w:tc>
      </w:tr>
      <w:tr w:rsidR="000F7773" w14:paraId="468DC969" w14:textId="77777777" w:rsidTr="001F394D">
        <w:trPr>
          <w:trHeight w:val="452"/>
          <w:jc w:val="center"/>
        </w:trPr>
        <w:tc>
          <w:tcPr>
            <w:tcW w:w="1502" w:type="dxa"/>
            <w:tcBorders>
              <w:right w:val="single" w:sz="4" w:space="0" w:color="auto"/>
            </w:tcBorders>
          </w:tcPr>
          <w:p w14:paraId="4CE5C868" w14:textId="77777777" w:rsidR="000F7773" w:rsidRDefault="000F7773" w:rsidP="00DB0816">
            <w:pPr>
              <w:rPr>
                <w:rFonts w:eastAsiaTheme="minorEastAsia" w:cs="Arial"/>
              </w:rPr>
            </w:pPr>
            <w:r w:rsidRPr="00493FE8">
              <w:rPr>
                <w:rFonts w:ascii="Arial" w:eastAsiaTheme="minorEastAsia" w:cs="Arial"/>
                <w:position w:val="-12"/>
                <w:lang w:eastAsia="es-ES"/>
              </w:rPr>
              <w:object w:dxaOrig="1140" w:dyaOrig="360" w14:anchorId="7BAF032A">
                <v:shape id="_x0000_i1206" type="#_x0000_t75" style="width:56.25pt;height:20.25pt" o:ole="">
                  <v:imagedata r:id="rId373" o:title=""/>
                </v:shape>
                <o:OLEObject Type="Embed" ProgID="Equation.DSMT4" ShapeID="_x0000_i1206" DrawAspect="Content" ObjectID="_1706014887" r:id="rId374"/>
              </w:object>
            </w:r>
            <w:r>
              <w:rPr>
                <w:rFonts w:eastAsiaTheme="minorEastAsia" w:cs="Arial"/>
              </w:rPr>
              <w:t xml:space="preserve"> </w:t>
            </w:r>
          </w:p>
        </w:tc>
        <w:tc>
          <w:tcPr>
            <w:tcW w:w="4708" w:type="dxa"/>
            <w:tcBorders>
              <w:left w:val="single" w:sz="4" w:space="0" w:color="auto"/>
            </w:tcBorders>
          </w:tcPr>
          <w:p w14:paraId="26462350" w14:textId="77777777" w:rsidR="000F7773" w:rsidRDefault="000F7773" w:rsidP="00DB0816">
            <w:pPr>
              <w:rPr>
                <w:rFonts w:eastAsiaTheme="minorEastAsia" w:cs="Arial"/>
              </w:rPr>
            </w:pPr>
            <w:r w:rsidRPr="00A17C01">
              <w:rPr>
                <w:rFonts w:ascii="Arial" w:eastAsiaTheme="minorEastAsia" w:cs="Arial"/>
                <w:position w:val="-12"/>
                <w:lang w:eastAsia="es-ES"/>
              </w:rPr>
              <w:object w:dxaOrig="3240" w:dyaOrig="420" w14:anchorId="0419502E">
                <v:shape id="_x0000_i1207" type="#_x0000_t75" style="width:164.25pt;height:20.25pt" o:ole="">
                  <v:imagedata r:id="rId375" o:title=""/>
                </v:shape>
                <o:OLEObject Type="Embed" ProgID="Equation.DSMT4" ShapeID="_x0000_i1207" DrawAspect="Content" ObjectID="_1706014888" r:id="rId376"/>
              </w:object>
            </w:r>
            <w:r>
              <w:rPr>
                <w:rFonts w:eastAsiaTheme="minorEastAsia" w:cs="Arial"/>
              </w:rPr>
              <w:t xml:space="preserve"> </w:t>
            </w:r>
          </w:p>
        </w:tc>
        <w:tc>
          <w:tcPr>
            <w:tcW w:w="1530" w:type="dxa"/>
          </w:tcPr>
          <w:p w14:paraId="6BC56C42" w14:textId="77777777" w:rsidR="000F7773" w:rsidRDefault="000F7773" w:rsidP="00DB0816">
            <w:pPr>
              <w:rPr>
                <w:rFonts w:eastAsiaTheme="minorEastAsia" w:cs="Arial"/>
              </w:rPr>
            </w:pPr>
            <w:r w:rsidRPr="006A1713">
              <w:rPr>
                <w:rFonts w:ascii="Arial" w:eastAsiaTheme="minorEastAsia" w:cs="Arial"/>
                <w:position w:val="-4"/>
                <w:lang w:eastAsia="es-ES"/>
              </w:rPr>
              <w:object w:dxaOrig="180" w:dyaOrig="279" w14:anchorId="5A25BA2B">
                <v:shape id="_x0000_i1208" type="#_x0000_t75" style="width:5.25pt;height:15.75pt" o:ole="">
                  <v:imagedata r:id="rId377" o:title=""/>
                </v:shape>
                <o:OLEObject Type="Embed" ProgID="Equation.DSMT4" ShapeID="_x0000_i1208" DrawAspect="Content" ObjectID="_1706014889" r:id="rId378"/>
              </w:object>
            </w:r>
            <w:r>
              <w:rPr>
                <w:rFonts w:eastAsiaTheme="minorEastAsia" w:cs="Arial"/>
              </w:rPr>
              <w:t xml:space="preserve"> </w:t>
            </w:r>
          </w:p>
        </w:tc>
        <w:tc>
          <w:tcPr>
            <w:tcW w:w="1286" w:type="dxa"/>
          </w:tcPr>
          <w:p w14:paraId="0FD702A9" w14:textId="77777777" w:rsidR="000F7773" w:rsidRDefault="000F7773" w:rsidP="00DB0816">
            <w:pPr>
              <w:rPr>
                <w:rFonts w:eastAsiaTheme="minorEastAsia" w:cs="Arial"/>
              </w:rPr>
            </w:pPr>
          </w:p>
        </w:tc>
      </w:tr>
      <w:tr w:rsidR="000F7773" w14:paraId="3C5712CA" w14:textId="77777777" w:rsidTr="001F394D">
        <w:trPr>
          <w:trHeight w:val="452"/>
          <w:jc w:val="center"/>
        </w:trPr>
        <w:tc>
          <w:tcPr>
            <w:tcW w:w="1502" w:type="dxa"/>
            <w:tcBorders>
              <w:bottom w:val="single" w:sz="4" w:space="0" w:color="auto"/>
              <w:right w:val="single" w:sz="4" w:space="0" w:color="auto"/>
            </w:tcBorders>
          </w:tcPr>
          <w:p w14:paraId="4874ADF1" w14:textId="77777777" w:rsidR="000F7773" w:rsidRDefault="000F7773" w:rsidP="00DB0816">
            <w:pPr>
              <w:rPr>
                <w:rFonts w:eastAsiaTheme="minorEastAsia" w:cs="Arial"/>
              </w:rPr>
            </w:pPr>
            <w:r w:rsidRPr="00EE50DC">
              <w:rPr>
                <w:rFonts w:ascii="Arial" w:eastAsiaTheme="minorEastAsia" w:cs="Arial"/>
                <w:position w:val="-12"/>
                <w:lang w:eastAsia="es-ES"/>
              </w:rPr>
              <w:object w:dxaOrig="1060" w:dyaOrig="360" w14:anchorId="7463EC11">
                <v:shape id="_x0000_i1209" type="#_x0000_t75" style="width:51.75pt;height:20.25pt" o:ole="">
                  <v:imagedata r:id="rId379" o:title=""/>
                </v:shape>
                <o:OLEObject Type="Embed" ProgID="Equation.DSMT4" ShapeID="_x0000_i1209" DrawAspect="Content" ObjectID="_1706014890" r:id="rId380"/>
              </w:object>
            </w:r>
            <w:r>
              <w:rPr>
                <w:rFonts w:eastAsiaTheme="minorEastAsia" w:cs="Arial"/>
              </w:rPr>
              <w:t xml:space="preserve"> </w:t>
            </w:r>
          </w:p>
        </w:tc>
        <w:tc>
          <w:tcPr>
            <w:tcW w:w="4708" w:type="dxa"/>
            <w:tcBorders>
              <w:left w:val="single" w:sz="4" w:space="0" w:color="auto"/>
              <w:bottom w:val="single" w:sz="4" w:space="0" w:color="auto"/>
            </w:tcBorders>
          </w:tcPr>
          <w:p w14:paraId="3F41C680" w14:textId="77777777" w:rsidR="000F7773" w:rsidRDefault="000F7773" w:rsidP="00DB0816">
            <w:pPr>
              <w:rPr>
                <w:rFonts w:eastAsiaTheme="minorEastAsia" w:cs="Arial"/>
              </w:rPr>
            </w:pPr>
            <w:r w:rsidRPr="006C5CAC">
              <w:rPr>
                <w:rFonts w:ascii="Arial" w:eastAsiaTheme="minorEastAsia" w:cs="Arial"/>
                <w:position w:val="-12"/>
                <w:lang w:eastAsia="es-ES"/>
              </w:rPr>
              <w:object w:dxaOrig="3240" w:dyaOrig="420" w14:anchorId="38645052">
                <v:shape id="_x0000_i1210" type="#_x0000_t75" style="width:164.25pt;height:20.25pt" o:ole="">
                  <v:imagedata r:id="rId381" o:title=""/>
                </v:shape>
                <o:OLEObject Type="Embed" ProgID="Equation.DSMT4" ShapeID="_x0000_i1210" DrawAspect="Content" ObjectID="_1706014891" r:id="rId382"/>
              </w:object>
            </w:r>
            <w:r>
              <w:rPr>
                <w:rFonts w:eastAsiaTheme="minorEastAsia" w:cs="Arial"/>
              </w:rPr>
              <w:t xml:space="preserve"> </w:t>
            </w:r>
          </w:p>
        </w:tc>
        <w:tc>
          <w:tcPr>
            <w:tcW w:w="1530" w:type="dxa"/>
            <w:tcBorders>
              <w:bottom w:val="single" w:sz="4" w:space="0" w:color="auto"/>
            </w:tcBorders>
          </w:tcPr>
          <w:p w14:paraId="5968EF12" w14:textId="77777777" w:rsidR="000F7773" w:rsidRDefault="000F7773" w:rsidP="00DB0816">
            <w:pPr>
              <w:rPr>
                <w:rFonts w:eastAsiaTheme="minorEastAsia" w:cs="Arial"/>
              </w:rPr>
            </w:pPr>
          </w:p>
        </w:tc>
        <w:tc>
          <w:tcPr>
            <w:tcW w:w="1286" w:type="dxa"/>
            <w:tcBorders>
              <w:bottom w:val="single" w:sz="4" w:space="0" w:color="auto"/>
            </w:tcBorders>
          </w:tcPr>
          <w:p w14:paraId="29A865D3" w14:textId="77777777" w:rsidR="000F7773" w:rsidRDefault="000F7773" w:rsidP="00DB0816">
            <w:pPr>
              <w:rPr>
                <w:rFonts w:eastAsiaTheme="minorEastAsia" w:cs="Arial"/>
              </w:rPr>
            </w:pPr>
          </w:p>
        </w:tc>
      </w:tr>
    </w:tbl>
    <w:p w14:paraId="7590D1EE" w14:textId="34A1474A" w:rsidR="000F7773" w:rsidRPr="00700471" w:rsidRDefault="000F7773" w:rsidP="000F7773">
      <w:pPr>
        <w:rPr>
          <w:rFonts w:cs="Arial"/>
          <w:sz w:val="18"/>
        </w:rPr>
      </w:pPr>
      <w:r w:rsidRPr="00220F06">
        <w:rPr>
          <w:rFonts w:cs="Arial"/>
          <w:sz w:val="18"/>
        </w:rPr>
        <w:t xml:space="preserve">Fuente: </w:t>
      </w:r>
      <w:r w:rsidRPr="00220F06">
        <w:rPr>
          <w:rFonts w:cs="Arial"/>
          <w:sz w:val="18"/>
        </w:rPr>
        <w:fldChar w:fldCharType="begin" w:fldLock="1"/>
      </w:r>
      <w:r w:rsidR="00475856">
        <w:rPr>
          <w:rFonts w:cs="Arial"/>
          <w:sz w:val="18"/>
        </w:rPr>
        <w:instrText>ADDIN CSL_CITATION {"citationItems":[{"id":"ITEM-1","itemData":{"author":[{"dropping-particle":"","family":"McDonald","given":"Scott","non-dropping-particle":"","parse-names":false,"suffix":""},{"dropping-particle":"","family":"Thierfelder","given":"Karen","non-dropping-particle":"","parse-names":false,"suffix":""}],"id":"ITEM-1","issue":"January","issued":{"date-parts":[["2017"]]},"number-of-pages":"1-89","title":"A Static Applied General Equilibrium Model: Technical Documentation - STAGE_int Version","type":"report"},"uris":["http://www.mendeley.com/documents/?uuid=83316eb5-e8df-4029-aa83-a2c1fd511a0d"]}],"mendeley":{"formattedCitation":"(McDonald &amp; Thierfelder, 2017)","manualFormatting":"McDonald &amp; Thierfelder (2017)","plainTextFormattedCitation":"(McDonald &amp; Thierfelder, 2017)","previouslyFormattedCitation":"(McDonald &amp; Thierfelder, 2017)"},"properties":{"noteIndex":0},"schema":"https://github.com/citation-style-language/schema/raw/master/csl-citation.json"}</w:instrText>
      </w:r>
      <w:r w:rsidRPr="00220F06">
        <w:rPr>
          <w:rFonts w:cs="Arial"/>
          <w:sz w:val="18"/>
        </w:rPr>
        <w:fldChar w:fldCharType="separate"/>
      </w:r>
      <w:r w:rsidRPr="00220F06">
        <w:rPr>
          <w:rFonts w:cs="Arial"/>
          <w:noProof/>
          <w:sz w:val="18"/>
        </w:rPr>
        <w:t>McDonald &amp; Thierfelder (2017)</w:t>
      </w:r>
      <w:r w:rsidRPr="00220F06">
        <w:rPr>
          <w:rFonts w:cs="Arial"/>
          <w:sz w:val="18"/>
        </w:rPr>
        <w:fldChar w:fldCharType="end"/>
      </w:r>
      <w:r w:rsidRPr="00220F06">
        <w:rPr>
          <w:rFonts w:cs="Arial"/>
          <w:sz w:val="18"/>
        </w:rPr>
        <w:t>.</w:t>
      </w:r>
    </w:p>
    <w:p w14:paraId="5B95B793" w14:textId="73C088F0" w:rsidR="000F7773" w:rsidRPr="00700471" w:rsidRDefault="000F7773" w:rsidP="00700471">
      <w:pPr>
        <w:spacing w:line="240" w:lineRule="auto"/>
        <w:rPr>
          <w:rFonts w:eastAsiaTheme="minorEastAsia" w:cs="Arial"/>
        </w:rPr>
      </w:pPr>
      <w:r>
        <w:rPr>
          <w:rFonts w:eastAsiaTheme="minorEastAsia" w:cs="Arial"/>
        </w:rPr>
        <w:t xml:space="preserve">La segunda etapa de producción corresponde a la formación del valor agregado mediante múltiples factores, donde esto se hace por una función del tipo CES. Las condiciones de primer orden, maximización del beneficio, permite obtener la tasa salarial de los factores como se muestra en la </w:t>
      </w:r>
      <w:r w:rsidR="00104214">
        <w:rPr>
          <w:rFonts w:eastAsiaTheme="minorEastAsia" w:cs="Arial"/>
        </w:rPr>
        <w:fldChar w:fldCharType="begin"/>
      </w:r>
      <w:r w:rsidR="00104214">
        <w:rPr>
          <w:rFonts w:eastAsiaTheme="minorEastAsia" w:cs="Arial"/>
        </w:rPr>
        <w:instrText xml:space="preserve"> REF _Ref524804093 \h  </w:instrText>
      </w:r>
      <w:r w:rsidR="00104214">
        <w:instrText xml:space="preserve">\* lower </w:instrText>
      </w:r>
      <w:r w:rsidR="00104214">
        <w:rPr>
          <w:rFonts w:eastAsiaTheme="minorEastAsia" w:cs="Arial"/>
        </w:rPr>
      </w:r>
      <w:r w:rsidR="00104214">
        <w:rPr>
          <w:rFonts w:eastAsiaTheme="minorEastAsia" w:cs="Arial"/>
        </w:rPr>
        <w:fldChar w:fldCharType="separate"/>
      </w:r>
      <w:r w:rsidR="00A95E32">
        <w:t xml:space="preserve">tabla </w:t>
      </w:r>
      <w:r w:rsidR="00A95E32">
        <w:rPr>
          <w:noProof/>
        </w:rPr>
        <w:t>8</w:t>
      </w:r>
      <w:r w:rsidR="00104214">
        <w:rPr>
          <w:rFonts w:eastAsiaTheme="minorEastAsia" w:cs="Arial"/>
        </w:rPr>
        <w:fldChar w:fldCharType="end"/>
      </w:r>
      <w:r>
        <w:rPr>
          <w:rFonts w:eastAsiaTheme="minorEastAsia" w:cs="Arial"/>
        </w:rPr>
        <w:t>. El factor eficiencia,</w:t>
      </w:r>
      <w:r w:rsidRPr="00453409">
        <w:rPr>
          <w:position w:val="-14"/>
        </w:rPr>
        <w:object w:dxaOrig="1140" w:dyaOrig="380" w14:anchorId="7B6A3546">
          <v:shape id="_x0000_i1211" type="#_x0000_t75" style="width:56.25pt;height:20.25pt" o:ole="">
            <v:imagedata r:id="rId383" o:title=""/>
          </v:shape>
          <o:OLEObject Type="Embed" ProgID="Equation.DSMT4" ShapeID="_x0000_i1211" DrawAspect="Content" ObjectID="_1706014892" r:id="rId384"/>
        </w:object>
      </w:r>
      <w:r>
        <w:t xml:space="preserve">, </w:t>
      </w:r>
      <w:r>
        <w:rPr>
          <w:rFonts w:cs="Arial"/>
        </w:rPr>
        <w:t>se define mediante valores constantes obtenidos en la matriz.</w:t>
      </w:r>
      <w:r>
        <w:rPr>
          <w:rFonts w:eastAsiaTheme="minorEastAsia" w:cs="Arial"/>
        </w:rPr>
        <w:t xml:space="preserve"> </w:t>
      </w:r>
    </w:p>
    <w:p w14:paraId="19B069A8" w14:textId="7A0844A3" w:rsidR="000F7773" w:rsidRDefault="000F7773" w:rsidP="000F7773">
      <w:pPr>
        <w:pStyle w:val="Caption"/>
      </w:pPr>
      <w:bookmarkStart w:id="88" w:name="_Ref524804093"/>
      <w:bookmarkStart w:id="89" w:name="_Toc524946946"/>
      <w:bookmarkStart w:id="90" w:name="_Toc525033950"/>
      <w:bookmarkStart w:id="91" w:name="_Toc526175251"/>
      <w:bookmarkStart w:id="92" w:name="_Toc2853698"/>
      <w:r>
        <w:t xml:space="preserve">Tabla </w:t>
      </w:r>
      <w:r w:rsidR="00F700CF">
        <w:rPr>
          <w:noProof/>
        </w:rPr>
        <w:fldChar w:fldCharType="begin"/>
      </w:r>
      <w:r w:rsidR="00F700CF">
        <w:rPr>
          <w:noProof/>
        </w:rPr>
        <w:instrText xml:space="preserve"> SEQ Tabla \* ARABIC </w:instrText>
      </w:r>
      <w:r w:rsidR="00F700CF">
        <w:rPr>
          <w:noProof/>
        </w:rPr>
        <w:fldChar w:fldCharType="separate"/>
      </w:r>
      <w:r w:rsidR="00A95E32">
        <w:rPr>
          <w:noProof/>
        </w:rPr>
        <w:t>8</w:t>
      </w:r>
      <w:r w:rsidR="00F700CF">
        <w:rPr>
          <w:noProof/>
        </w:rPr>
        <w:fldChar w:fldCharType="end"/>
      </w:r>
      <w:bookmarkEnd w:id="88"/>
      <w:r>
        <w:t xml:space="preserve"> </w:t>
      </w:r>
      <w:r w:rsidR="00B80507">
        <w:br/>
      </w:r>
      <w:r w:rsidRPr="0058738E">
        <w:t>Bloque Producción nivel 2</w:t>
      </w:r>
      <w:bookmarkEnd w:id="89"/>
      <w:bookmarkEnd w:id="90"/>
      <w:bookmarkEnd w:id="91"/>
      <w:bookmarkEnd w:id="92"/>
    </w:p>
    <w:tbl>
      <w:tblPr>
        <w:tblStyle w:val="TableGrid"/>
        <w:tblW w:w="9118"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407"/>
        <w:gridCol w:w="236"/>
        <w:gridCol w:w="4837"/>
        <w:gridCol w:w="715"/>
        <w:gridCol w:w="725"/>
        <w:gridCol w:w="263"/>
        <w:gridCol w:w="935"/>
      </w:tblGrid>
      <w:tr w:rsidR="000F7773" w14:paraId="5CB6C5F2" w14:textId="77777777" w:rsidTr="00504B4C">
        <w:trPr>
          <w:trHeight w:val="452"/>
          <w:jc w:val="center"/>
        </w:trPr>
        <w:tc>
          <w:tcPr>
            <w:tcW w:w="1407" w:type="dxa"/>
            <w:tcBorders>
              <w:bottom w:val="single" w:sz="4" w:space="0" w:color="auto"/>
            </w:tcBorders>
          </w:tcPr>
          <w:p w14:paraId="1FD2110C" w14:textId="77777777" w:rsidR="000F7773" w:rsidRPr="001F394D" w:rsidRDefault="000F7773" w:rsidP="00DB0816">
            <w:pPr>
              <w:rPr>
                <w:rFonts w:ascii="Arial" w:eastAsiaTheme="minorEastAsia" w:cs="Arial"/>
                <w:sz w:val="22"/>
              </w:rPr>
            </w:pPr>
            <w:r w:rsidRPr="001F394D">
              <w:rPr>
                <w:rFonts w:ascii="Arial" w:eastAsiaTheme="minorEastAsia" w:cs="Arial"/>
                <w:sz w:val="22"/>
              </w:rPr>
              <w:t xml:space="preserve">  Nombre</w:t>
            </w:r>
          </w:p>
        </w:tc>
        <w:tc>
          <w:tcPr>
            <w:tcW w:w="236" w:type="dxa"/>
            <w:tcBorders>
              <w:bottom w:val="single" w:sz="4" w:space="0" w:color="auto"/>
              <w:right w:val="single" w:sz="4" w:space="0" w:color="auto"/>
            </w:tcBorders>
          </w:tcPr>
          <w:p w14:paraId="58E4C9FB" w14:textId="77777777" w:rsidR="000F7773" w:rsidRPr="001F394D" w:rsidRDefault="000F7773" w:rsidP="00DB0816">
            <w:pPr>
              <w:rPr>
                <w:rFonts w:ascii="Arial" w:eastAsiaTheme="minorEastAsia" w:cs="Arial"/>
                <w:sz w:val="22"/>
              </w:rPr>
            </w:pPr>
          </w:p>
        </w:tc>
        <w:tc>
          <w:tcPr>
            <w:tcW w:w="4837" w:type="dxa"/>
            <w:tcBorders>
              <w:left w:val="single" w:sz="4" w:space="0" w:color="auto"/>
              <w:bottom w:val="single" w:sz="4" w:space="0" w:color="auto"/>
            </w:tcBorders>
          </w:tcPr>
          <w:p w14:paraId="5C258D1B" w14:textId="77777777" w:rsidR="000F7773" w:rsidRPr="001F394D" w:rsidRDefault="000F7773" w:rsidP="00DB0816">
            <w:pPr>
              <w:rPr>
                <w:rFonts w:ascii="Arial" w:eastAsiaTheme="minorEastAsia" w:cs="Arial"/>
                <w:sz w:val="22"/>
              </w:rPr>
            </w:pPr>
            <w:r w:rsidRPr="001F394D">
              <w:rPr>
                <w:rFonts w:ascii="Arial" w:eastAsiaTheme="minorEastAsia" w:cs="Arial"/>
                <w:sz w:val="22"/>
              </w:rPr>
              <w:t xml:space="preserve">Ecuación </w:t>
            </w:r>
          </w:p>
        </w:tc>
        <w:tc>
          <w:tcPr>
            <w:tcW w:w="1440" w:type="dxa"/>
            <w:gridSpan w:val="2"/>
            <w:tcBorders>
              <w:bottom w:val="single" w:sz="4" w:space="0" w:color="auto"/>
            </w:tcBorders>
          </w:tcPr>
          <w:p w14:paraId="27A3265E" w14:textId="77777777" w:rsidR="000F7773" w:rsidRPr="001F394D" w:rsidRDefault="000F7773" w:rsidP="00DB0816">
            <w:pPr>
              <w:rPr>
                <w:rFonts w:ascii="Arial" w:eastAsiaTheme="minorEastAsia" w:cs="Arial"/>
                <w:sz w:val="22"/>
              </w:rPr>
            </w:pPr>
            <w:r w:rsidRPr="001F394D">
              <w:rPr>
                <w:rFonts w:ascii="Arial" w:eastAsiaTheme="minorEastAsia" w:cs="Arial"/>
                <w:sz w:val="22"/>
              </w:rPr>
              <w:t>Ecuaciones</w:t>
            </w:r>
          </w:p>
        </w:tc>
        <w:tc>
          <w:tcPr>
            <w:tcW w:w="1198" w:type="dxa"/>
            <w:gridSpan w:val="2"/>
            <w:tcBorders>
              <w:bottom w:val="single" w:sz="4" w:space="0" w:color="auto"/>
            </w:tcBorders>
          </w:tcPr>
          <w:p w14:paraId="3903AAA8" w14:textId="77777777" w:rsidR="000F7773" w:rsidRPr="001F394D" w:rsidRDefault="000F7773" w:rsidP="00DB0816">
            <w:pPr>
              <w:rPr>
                <w:rFonts w:ascii="Arial" w:eastAsiaTheme="minorEastAsia" w:cs="Arial"/>
                <w:sz w:val="22"/>
              </w:rPr>
            </w:pPr>
            <w:r w:rsidRPr="001F394D">
              <w:rPr>
                <w:rFonts w:ascii="Arial" w:eastAsiaTheme="minorEastAsia" w:cs="Arial"/>
                <w:sz w:val="22"/>
              </w:rPr>
              <w:t>Variables</w:t>
            </w:r>
          </w:p>
        </w:tc>
      </w:tr>
      <w:tr w:rsidR="000F7773" w14:paraId="15541794" w14:textId="77777777" w:rsidTr="00504B4C">
        <w:trPr>
          <w:trHeight w:val="452"/>
          <w:jc w:val="center"/>
        </w:trPr>
        <w:tc>
          <w:tcPr>
            <w:tcW w:w="1407" w:type="dxa"/>
            <w:tcBorders>
              <w:top w:val="single" w:sz="4" w:space="0" w:color="auto"/>
            </w:tcBorders>
          </w:tcPr>
          <w:p w14:paraId="6AD4C9BA" w14:textId="77777777" w:rsidR="000F7773" w:rsidRDefault="000F7773" w:rsidP="00DB0816">
            <w:pPr>
              <w:rPr>
                <w:rFonts w:eastAsiaTheme="minorEastAsia" w:cs="Arial"/>
              </w:rPr>
            </w:pPr>
            <w:r w:rsidRPr="00AF20DE">
              <w:rPr>
                <w:rFonts w:ascii="Arial" w:eastAsiaTheme="minorEastAsia" w:cs="Arial"/>
                <w:position w:val="-12"/>
                <w:lang w:eastAsia="es-ES"/>
              </w:rPr>
              <w:object w:dxaOrig="1560" w:dyaOrig="360" w14:anchorId="348AB651">
                <v:shape id="_x0000_i1212" type="#_x0000_t75" style="width:77.25pt;height:20.25pt" o:ole="">
                  <v:imagedata r:id="rId385" o:title=""/>
                </v:shape>
                <o:OLEObject Type="Embed" ProgID="Equation.DSMT4" ShapeID="_x0000_i1212" DrawAspect="Content" ObjectID="_1706014893" r:id="rId386"/>
              </w:object>
            </w:r>
            <w:r>
              <w:rPr>
                <w:rFonts w:eastAsiaTheme="minorEastAsia" w:cs="Arial"/>
              </w:rPr>
              <w:t xml:space="preserve"> </w:t>
            </w:r>
          </w:p>
        </w:tc>
        <w:tc>
          <w:tcPr>
            <w:tcW w:w="236" w:type="dxa"/>
            <w:tcBorders>
              <w:top w:val="single" w:sz="4" w:space="0" w:color="auto"/>
              <w:right w:val="single" w:sz="4" w:space="0" w:color="auto"/>
            </w:tcBorders>
          </w:tcPr>
          <w:p w14:paraId="004BC53B" w14:textId="77777777" w:rsidR="000F7773" w:rsidRPr="00404408" w:rsidRDefault="000F7773" w:rsidP="00DB0816">
            <w:pPr>
              <w:rPr>
                <w:rFonts w:eastAsiaTheme="minorEastAsia" w:cs="Arial"/>
              </w:rPr>
            </w:pPr>
          </w:p>
        </w:tc>
        <w:tc>
          <w:tcPr>
            <w:tcW w:w="5552" w:type="dxa"/>
            <w:gridSpan w:val="2"/>
            <w:tcBorders>
              <w:top w:val="single" w:sz="4" w:space="0" w:color="auto"/>
              <w:left w:val="single" w:sz="4" w:space="0" w:color="auto"/>
            </w:tcBorders>
          </w:tcPr>
          <w:p w14:paraId="75DA2832" w14:textId="77777777" w:rsidR="000F7773" w:rsidRDefault="000F7773" w:rsidP="00DB0816">
            <w:pPr>
              <w:rPr>
                <w:rFonts w:eastAsiaTheme="minorEastAsia" w:cs="Arial"/>
              </w:rPr>
            </w:pPr>
            <w:r w:rsidRPr="00404408">
              <w:rPr>
                <w:rFonts w:ascii="Arial" w:eastAsiaTheme="minorEastAsia" w:cs="Arial"/>
                <w:position w:val="-32"/>
                <w:lang w:eastAsia="es-ES"/>
              </w:rPr>
              <w:object w:dxaOrig="4620" w:dyaOrig="900" w14:anchorId="48810CE1">
                <v:shape id="_x0000_i1213" type="#_x0000_t75" style="width:231.75pt;height:41.25pt" o:ole="">
                  <v:imagedata r:id="rId387" o:title=""/>
                </v:shape>
                <o:OLEObject Type="Embed" ProgID="Equation.DSMT4" ShapeID="_x0000_i1213" DrawAspect="Content" ObjectID="_1706014894" r:id="rId388"/>
              </w:object>
            </w:r>
            <w:r>
              <w:rPr>
                <w:rFonts w:eastAsiaTheme="minorEastAsia" w:cs="Arial"/>
              </w:rPr>
              <w:t xml:space="preserve"> </w:t>
            </w:r>
          </w:p>
        </w:tc>
        <w:tc>
          <w:tcPr>
            <w:tcW w:w="988" w:type="dxa"/>
            <w:gridSpan w:val="2"/>
            <w:tcBorders>
              <w:top w:val="single" w:sz="4" w:space="0" w:color="auto"/>
            </w:tcBorders>
          </w:tcPr>
          <w:p w14:paraId="4D44F61C" w14:textId="37A1CC9E" w:rsidR="000F7773" w:rsidRDefault="00C30FF8" w:rsidP="00DB0816">
            <w:pPr>
              <w:rPr>
                <w:rFonts w:eastAsiaTheme="minorEastAsia" w:cs="Arial"/>
              </w:rPr>
            </w:pPr>
            <w:r w:rsidRPr="00B62EA9">
              <w:rPr>
                <w:rFonts w:ascii="Arial" w:eastAsiaTheme="minorEastAsia" w:cs="Arial"/>
                <w:position w:val="-6"/>
                <w:lang w:eastAsia="es-ES"/>
              </w:rPr>
              <w:object w:dxaOrig="200" w:dyaOrig="220" w14:anchorId="7B4343D6">
                <v:shape id="_x0000_i1214" type="#_x0000_t75" style="width:10.5pt;height:10.5pt" o:ole="">
                  <v:imagedata r:id="rId389" o:title=""/>
                </v:shape>
                <o:OLEObject Type="Embed" ProgID="Equation.DSMT4" ShapeID="_x0000_i1214" DrawAspect="Content" ObjectID="_1706014895" r:id="rId390"/>
              </w:object>
            </w:r>
          </w:p>
        </w:tc>
        <w:tc>
          <w:tcPr>
            <w:tcW w:w="935" w:type="dxa"/>
            <w:tcBorders>
              <w:top w:val="single" w:sz="4" w:space="0" w:color="auto"/>
            </w:tcBorders>
          </w:tcPr>
          <w:p w14:paraId="69A26045" w14:textId="77777777" w:rsidR="000F7773" w:rsidRDefault="000F7773" w:rsidP="00DB0816">
            <w:pPr>
              <w:rPr>
                <w:rFonts w:eastAsiaTheme="minorEastAsia" w:cs="Arial"/>
              </w:rPr>
            </w:pPr>
            <w:r w:rsidRPr="002A06E2">
              <w:rPr>
                <w:rFonts w:ascii="Arial" w:eastAsiaTheme="minorEastAsia" w:cs="Arial"/>
                <w:position w:val="-12"/>
                <w:lang w:eastAsia="es-ES"/>
              </w:rPr>
              <w:object w:dxaOrig="600" w:dyaOrig="360" w14:anchorId="0B40BE43">
                <v:shape id="_x0000_i1215" type="#_x0000_t75" style="width:30.75pt;height:20.25pt" o:ole="">
                  <v:imagedata r:id="rId391" o:title=""/>
                </v:shape>
                <o:OLEObject Type="Embed" ProgID="Equation.DSMT4" ShapeID="_x0000_i1215" DrawAspect="Content" ObjectID="_1706014896" r:id="rId392"/>
              </w:object>
            </w:r>
            <w:r>
              <w:rPr>
                <w:rFonts w:eastAsiaTheme="minorEastAsia" w:cs="Arial"/>
              </w:rPr>
              <w:t xml:space="preserve"> </w:t>
            </w:r>
          </w:p>
        </w:tc>
      </w:tr>
      <w:tr w:rsidR="000F7773" w14:paraId="3F832677" w14:textId="77777777" w:rsidTr="00504B4C">
        <w:trPr>
          <w:trHeight w:val="452"/>
          <w:jc w:val="center"/>
        </w:trPr>
        <w:tc>
          <w:tcPr>
            <w:tcW w:w="1407" w:type="dxa"/>
          </w:tcPr>
          <w:p w14:paraId="56193A71" w14:textId="77777777" w:rsidR="000F7773" w:rsidRDefault="000F7773" w:rsidP="00DB0816">
            <w:pPr>
              <w:rPr>
                <w:rFonts w:eastAsiaTheme="minorEastAsia" w:cs="Arial"/>
              </w:rPr>
            </w:pPr>
            <w:r w:rsidRPr="00807C86">
              <w:rPr>
                <w:rFonts w:ascii="Arial" w:eastAsiaTheme="minorEastAsia" w:cs="Arial"/>
                <w:position w:val="-14"/>
                <w:lang w:eastAsia="es-ES"/>
              </w:rPr>
              <w:object w:dxaOrig="1240" w:dyaOrig="380" w14:anchorId="4DCFBCFF">
                <v:shape id="_x0000_i1216" type="#_x0000_t75" style="width:66.75pt;height:20.25pt" o:ole="">
                  <v:imagedata r:id="rId393" o:title=""/>
                </v:shape>
                <o:OLEObject Type="Embed" ProgID="Equation.DSMT4" ShapeID="_x0000_i1216" DrawAspect="Content" ObjectID="_1706014897" r:id="rId394"/>
              </w:object>
            </w:r>
            <w:r>
              <w:rPr>
                <w:rFonts w:eastAsiaTheme="minorEastAsia" w:cs="Arial"/>
              </w:rPr>
              <w:t xml:space="preserve"> </w:t>
            </w:r>
          </w:p>
          <w:p w14:paraId="20E3EB4D" w14:textId="77777777" w:rsidR="000F7773" w:rsidRPr="006F2A98" w:rsidRDefault="000F7773" w:rsidP="00DB0816">
            <w:pPr>
              <w:jc w:val="center"/>
              <w:rPr>
                <w:rFonts w:eastAsiaTheme="minorEastAsia" w:cs="Arial"/>
              </w:rPr>
            </w:pPr>
          </w:p>
        </w:tc>
        <w:tc>
          <w:tcPr>
            <w:tcW w:w="236" w:type="dxa"/>
            <w:tcBorders>
              <w:right w:val="single" w:sz="4" w:space="0" w:color="auto"/>
            </w:tcBorders>
          </w:tcPr>
          <w:p w14:paraId="62C6B22D" w14:textId="77777777" w:rsidR="000F7773" w:rsidRPr="000F7A79" w:rsidRDefault="000F7773" w:rsidP="00DB0816">
            <w:pPr>
              <w:rPr>
                <w:rFonts w:eastAsiaTheme="minorEastAsia" w:cs="Arial"/>
              </w:rPr>
            </w:pPr>
          </w:p>
        </w:tc>
        <w:tc>
          <w:tcPr>
            <w:tcW w:w="5552" w:type="dxa"/>
            <w:gridSpan w:val="2"/>
            <w:tcBorders>
              <w:left w:val="single" w:sz="4" w:space="0" w:color="auto"/>
            </w:tcBorders>
          </w:tcPr>
          <w:p w14:paraId="7BAE53F1" w14:textId="77777777" w:rsidR="000F7773" w:rsidRDefault="000F7773" w:rsidP="00DB0816">
            <w:pPr>
              <w:rPr>
                <w:rFonts w:eastAsiaTheme="minorEastAsia" w:cs="Arial"/>
              </w:rPr>
            </w:pPr>
            <w:r w:rsidRPr="000F7A79">
              <w:rPr>
                <w:rFonts w:ascii="Arial" w:eastAsiaTheme="minorEastAsia" w:cs="Arial"/>
                <w:position w:val="-78"/>
                <w:lang w:eastAsia="es-ES"/>
              </w:rPr>
              <w:object w:dxaOrig="5280" w:dyaOrig="1660" w14:anchorId="3592665E">
                <v:shape id="_x0000_i1217" type="#_x0000_t75" style="width:256.5pt;height:77.25pt" o:ole="">
                  <v:imagedata r:id="rId395" o:title=""/>
                </v:shape>
                <o:OLEObject Type="Embed" ProgID="Equation.DSMT4" ShapeID="_x0000_i1217" DrawAspect="Content" ObjectID="_1706014898" r:id="rId396"/>
              </w:object>
            </w:r>
          </w:p>
        </w:tc>
        <w:tc>
          <w:tcPr>
            <w:tcW w:w="988" w:type="dxa"/>
            <w:gridSpan w:val="2"/>
          </w:tcPr>
          <w:p w14:paraId="69D73E75" w14:textId="77777777" w:rsidR="000F7773" w:rsidRDefault="000F7773" w:rsidP="00DB0816">
            <w:pPr>
              <w:rPr>
                <w:rFonts w:eastAsiaTheme="minorEastAsia" w:cs="Arial"/>
              </w:rPr>
            </w:pPr>
            <w:r w:rsidRPr="00091247">
              <w:rPr>
                <w:rFonts w:ascii="Arial" w:eastAsiaTheme="minorEastAsia" w:cs="Arial"/>
                <w:position w:val="-10"/>
                <w:lang w:eastAsia="es-ES"/>
              </w:rPr>
              <w:object w:dxaOrig="700" w:dyaOrig="320" w14:anchorId="4C6DF4EC">
                <v:shape id="_x0000_i1218" type="#_x0000_t75" style="width:36pt;height:15.75pt" o:ole="">
                  <v:imagedata r:id="rId397" o:title=""/>
                </v:shape>
                <o:OLEObject Type="Embed" ProgID="Equation.DSMT4" ShapeID="_x0000_i1218" DrawAspect="Content" ObjectID="_1706014899" r:id="rId398"/>
              </w:object>
            </w:r>
            <w:r>
              <w:rPr>
                <w:rFonts w:eastAsiaTheme="minorEastAsia" w:cs="Arial"/>
              </w:rPr>
              <w:t xml:space="preserve"> </w:t>
            </w:r>
          </w:p>
        </w:tc>
        <w:tc>
          <w:tcPr>
            <w:tcW w:w="935" w:type="dxa"/>
          </w:tcPr>
          <w:p w14:paraId="0183FCBA" w14:textId="77777777" w:rsidR="000F7773" w:rsidRDefault="000F7773" w:rsidP="00DB0816">
            <w:pPr>
              <w:rPr>
                <w:rFonts w:eastAsiaTheme="minorEastAsia" w:cs="Arial"/>
              </w:rPr>
            </w:pPr>
            <w:r w:rsidRPr="00091247">
              <w:rPr>
                <w:rFonts w:ascii="Arial" w:eastAsiaTheme="minorEastAsia" w:cs="Arial"/>
                <w:position w:val="-14"/>
                <w:lang w:eastAsia="es-ES"/>
              </w:rPr>
              <w:object w:dxaOrig="620" w:dyaOrig="380" w14:anchorId="3159D43B">
                <v:shape id="_x0000_i1219" type="#_x0000_t75" style="width:30.75pt;height:20.25pt" o:ole="">
                  <v:imagedata r:id="rId399" o:title=""/>
                </v:shape>
                <o:OLEObject Type="Embed" ProgID="Equation.DSMT4" ShapeID="_x0000_i1219" DrawAspect="Content" ObjectID="_1706014900" r:id="rId400"/>
              </w:object>
            </w:r>
            <w:r>
              <w:rPr>
                <w:rFonts w:eastAsiaTheme="minorEastAsia" w:cs="Arial"/>
              </w:rPr>
              <w:t xml:space="preserve"> </w:t>
            </w:r>
          </w:p>
        </w:tc>
      </w:tr>
      <w:tr w:rsidR="000F7773" w14:paraId="2940B70A" w14:textId="77777777" w:rsidTr="00504B4C">
        <w:trPr>
          <w:trHeight w:val="452"/>
          <w:jc w:val="center"/>
        </w:trPr>
        <w:tc>
          <w:tcPr>
            <w:tcW w:w="1407" w:type="dxa"/>
          </w:tcPr>
          <w:p w14:paraId="2567743B" w14:textId="77777777" w:rsidR="000F7773" w:rsidRDefault="000F7773" w:rsidP="00DB0816">
            <w:pPr>
              <w:rPr>
                <w:rFonts w:eastAsiaTheme="minorEastAsia" w:cs="Arial"/>
              </w:rPr>
            </w:pPr>
            <w:r w:rsidRPr="00643867">
              <w:rPr>
                <w:rFonts w:ascii="Arial" w:eastAsiaTheme="minorEastAsia" w:cs="Arial"/>
                <w:position w:val="-14"/>
                <w:lang w:eastAsia="es-ES"/>
              </w:rPr>
              <w:object w:dxaOrig="1420" w:dyaOrig="380" w14:anchorId="5E2FB4BF">
                <v:shape id="_x0000_i1220" type="#_x0000_t75" style="width:1in;height:20.25pt" o:ole="">
                  <v:imagedata r:id="rId401" o:title=""/>
                </v:shape>
                <o:OLEObject Type="Embed" ProgID="Equation.DSMT4" ShapeID="_x0000_i1220" DrawAspect="Content" ObjectID="_1706014901" r:id="rId402"/>
              </w:object>
            </w:r>
            <w:r>
              <w:rPr>
                <w:rFonts w:eastAsiaTheme="minorEastAsia" w:cs="Arial"/>
              </w:rPr>
              <w:t xml:space="preserve"> </w:t>
            </w:r>
          </w:p>
        </w:tc>
        <w:tc>
          <w:tcPr>
            <w:tcW w:w="236" w:type="dxa"/>
            <w:tcBorders>
              <w:right w:val="single" w:sz="4" w:space="0" w:color="auto"/>
            </w:tcBorders>
          </w:tcPr>
          <w:p w14:paraId="0CE2C7F0" w14:textId="77777777" w:rsidR="000F7773" w:rsidRPr="00BE5D8B" w:rsidRDefault="000F7773" w:rsidP="00DB0816">
            <w:pPr>
              <w:rPr>
                <w:rFonts w:eastAsiaTheme="minorEastAsia" w:cs="Arial"/>
              </w:rPr>
            </w:pPr>
          </w:p>
        </w:tc>
        <w:tc>
          <w:tcPr>
            <w:tcW w:w="5552" w:type="dxa"/>
            <w:gridSpan w:val="2"/>
            <w:tcBorders>
              <w:left w:val="single" w:sz="4" w:space="0" w:color="auto"/>
            </w:tcBorders>
          </w:tcPr>
          <w:p w14:paraId="731D071E" w14:textId="77777777" w:rsidR="000F7773" w:rsidRPr="00EB714F" w:rsidRDefault="000F7773" w:rsidP="00DB0816">
            <w:pPr>
              <w:rPr>
                <w:rFonts w:eastAsiaTheme="minorEastAsia" w:cs="Arial"/>
                <w:lang w:val="en-US"/>
              </w:rPr>
            </w:pPr>
            <w:r w:rsidRPr="00BE5D8B">
              <w:rPr>
                <w:rFonts w:ascii="Arial" w:eastAsiaTheme="minorEastAsia" w:cs="Arial"/>
                <w:position w:val="-16"/>
                <w:lang w:eastAsia="es-ES"/>
              </w:rPr>
              <w:object w:dxaOrig="7160" w:dyaOrig="440" w14:anchorId="6735F101">
                <v:shape id="_x0000_i1221" type="#_x0000_t75" style="width:5in;height:20.25pt" o:ole="">
                  <v:imagedata r:id="rId403" o:title=""/>
                </v:shape>
                <o:OLEObject Type="Embed" ProgID="Equation.DSMT4" ShapeID="_x0000_i1221" DrawAspect="Content" ObjectID="_1706014902" r:id="rId404"/>
              </w:object>
            </w:r>
            <w:r>
              <w:rPr>
                <w:rFonts w:eastAsiaTheme="minorEastAsia" w:cs="Arial"/>
              </w:rPr>
              <w:t xml:space="preserve"> </w:t>
            </w:r>
          </w:p>
        </w:tc>
        <w:tc>
          <w:tcPr>
            <w:tcW w:w="988" w:type="dxa"/>
            <w:gridSpan w:val="2"/>
          </w:tcPr>
          <w:p w14:paraId="3BA70E4C" w14:textId="77777777" w:rsidR="000F7773" w:rsidRDefault="000F7773" w:rsidP="00DB0816">
            <w:pPr>
              <w:rPr>
                <w:rFonts w:eastAsiaTheme="minorEastAsia" w:cs="Arial"/>
              </w:rPr>
            </w:pPr>
          </w:p>
        </w:tc>
        <w:tc>
          <w:tcPr>
            <w:tcW w:w="935" w:type="dxa"/>
          </w:tcPr>
          <w:p w14:paraId="12DC51F4" w14:textId="77777777" w:rsidR="000F7773" w:rsidRDefault="000F7773" w:rsidP="00DB0816">
            <w:pPr>
              <w:rPr>
                <w:rFonts w:eastAsiaTheme="minorEastAsia" w:cs="Arial"/>
              </w:rPr>
            </w:pPr>
          </w:p>
        </w:tc>
      </w:tr>
      <w:tr w:rsidR="000F7773" w14:paraId="2B0A0061" w14:textId="77777777" w:rsidTr="00504B4C">
        <w:trPr>
          <w:trHeight w:val="452"/>
          <w:jc w:val="center"/>
        </w:trPr>
        <w:tc>
          <w:tcPr>
            <w:tcW w:w="1407" w:type="dxa"/>
          </w:tcPr>
          <w:p w14:paraId="32BAB35B" w14:textId="77777777" w:rsidR="000F7773" w:rsidRDefault="000F7773" w:rsidP="00DB0816">
            <w:pPr>
              <w:rPr>
                <w:rFonts w:eastAsiaTheme="minorEastAsia" w:cs="Arial"/>
              </w:rPr>
            </w:pPr>
            <w:r w:rsidRPr="00D15CB7">
              <w:rPr>
                <w:rFonts w:ascii="Arial" w:eastAsiaTheme="minorEastAsia" w:cs="Arial"/>
                <w:position w:val="-14"/>
                <w:lang w:eastAsia="es-ES"/>
              </w:rPr>
              <w:object w:dxaOrig="1620" w:dyaOrig="380" w14:anchorId="1B6BA99A">
                <v:shape id="_x0000_i1222" type="#_x0000_t75" style="width:77.25pt;height:20.25pt" o:ole="">
                  <v:imagedata r:id="rId405" o:title=""/>
                </v:shape>
                <o:OLEObject Type="Embed" ProgID="Equation.DSMT4" ShapeID="_x0000_i1222" DrawAspect="Content" ObjectID="_1706014903" r:id="rId406"/>
              </w:object>
            </w:r>
            <w:r>
              <w:rPr>
                <w:rFonts w:eastAsiaTheme="minorEastAsia" w:cs="Arial"/>
              </w:rPr>
              <w:t xml:space="preserve"> </w:t>
            </w:r>
          </w:p>
        </w:tc>
        <w:tc>
          <w:tcPr>
            <w:tcW w:w="236" w:type="dxa"/>
            <w:tcBorders>
              <w:right w:val="single" w:sz="4" w:space="0" w:color="auto"/>
            </w:tcBorders>
          </w:tcPr>
          <w:p w14:paraId="3F7F70CB" w14:textId="77777777" w:rsidR="000F7773" w:rsidRPr="00EF239E" w:rsidRDefault="000F7773" w:rsidP="00DB0816">
            <w:pPr>
              <w:rPr>
                <w:rFonts w:eastAsiaTheme="minorEastAsia" w:cs="Arial"/>
              </w:rPr>
            </w:pPr>
          </w:p>
        </w:tc>
        <w:tc>
          <w:tcPr>
            <w:tcW w:w="5552" w:type="dxa"/>
            <w:gridSpan w:val="2"/>
            <w:tcBorders>
              <w:left w:val="single" w:sz="4" w:space="0" w:color="auto"/>
            </w:tcBorders>
          </w:tcPr>
          <w:p w14:paraId="1716E135" w14:textId="77777777" w:rsidR="000F7773" w:rsidRDefault="000F7773" w:rsidP="00DB0816">
            <w:pPr>
              <w:rPr>
                <w:rFonts w:eastAsiaTheme="minorEastAsia" w:cs="Arial"/>
              </w:rPr>
            </w:pPr>
            <w:r w:rsidRPr="00EF239E">
              <w:rPr>
                <w:rFonts w:ascii="Arial" w:eastAsiaTheme="minorEastAsia" w:cs="Arial"/>
                <w:position w:val="-38"/>
                <w:lang w:eastAsia="es-ES"/>
              </w:rPr>
              <w:object w:dxaOrig="4040" w:dyaOrig="1020" w14:anchorId="0C56448D">
                <v:shape id="_x0000_i1223" type="#_x0000_t75" style="width:200.25pt;height:51.75pt" o:ole="">
                  <v:imagedata r:id="rId407" o:title=""/>
                </v:shape>
                <o:OLEObject Type="Embed" ProgID="Equation.DSMT4" ShapeID="_x0000_i1223" DrawAspect="Content" ObjectID="_1706014904" r:id="rId408"/>
              </w:object>
            </w:r>
            <w:r>
              <w:rPr>
                <w:rFonts w:eastAsiaTheme="minorEastAsia" w:cs="Arial"/>
              </w:rPr>
              <w:t xml:space="preserve"> </w:t>
            </w:r>
          </w:p>
        </w:tc>
        <w:tc>
          <w:tcPr>
            <w:tcW w:w="988" w:type="dxa"/>
            <w:gridSpan w:val="2"/>
          </w:tcPr>
          <w:p w14:paraId="63CA7057" w14:textId="77777777" w:rsidR="000F7773" w:rsidRDefault="000F7773" w:rsidP="00DB0816">
            <w:pPr>
              <w:rPr>
                <w:rFonts w:eastAsiaTheme="minorEastAsia" w:cs="Arial"/>
              </w:rPr>
            </w:pPr>
          </w:p>
        </w:tc>
        <w:tc>
          <w:tcPr>
            <w:tcW w:w="935" w:type="dxa"/>
          </w:tcPr>
          <w:p w14:paraId="68449B62" w14:textId="77777777" w:rsidR="000F7773" w:rsidRDefault="000F7773" w:rsidP="00DB0816">
            <w:pPr>
              <w:rPr>
                <w:rFonts w:eastAsiaTheme="minorEastAsia" w:cs="Arial"/>
              </w:rPr>
            </w:pPr>
          </w:p>
        </w:tc>
      </w:tr>
      <w:tr w:rsidR="000F7773" w14:paraId="208E0D9C" w14:textId="77777777" w:rsidTr="00504B4C">
        <w:trPr>
          <w:trHeight w:val="452"/>
          <w:jc w:val="center"/>
        </w:trPr>
        <w:tc>
          <w:tcPr>
            <w:tcW w:w="1407" w:type="dxa"/>
          </w:tcPr>
          <w:p w14:paraId="39BD53CB" w14:textId="77777777" w:rsidR="000F7773" w:rsidRDefault="000F7773" w:rsidP="00DB0816">
            <w:pPr>
              <w:rPr>
                <w:rFonts w:eastAsiaTheme="minorEastAsia" w:cs="Arial"/>
              </w:rPr>
            </w:pPr>
            <w:r w:rsidRPr="00506685">
              <w:rPr>
                <w:rFonts w:ascii="Arial" w:eastAsiaTheme="minorEastAsia" w:cs="Arial"/>
                <w:position w:val="-14"/>
                <w:lang w:eastAsia="es-ES"/>
              </w:rPr>
              <w:object w:dxaOrig="1240" w:dyaOrig="380" w14:anchorId="64909343">
                <v:shape id="_x0000_i1224" type="#_x0000_t75" style="width:66.75pt;height:20.25pt" o:ole="">
                  <v:imagedata r:id="rId409" o:title=""/>
                </v:shape>
                <o:OLEObject Type="Embed" ProgID="Equation.DSMT4" ShapeID="_x0000_i1224" DrawAspect="Content" ObjectID="_1706014905" r:id="rId410"/>
              </w:object>
            </w:r>
            <w:r>
              <w:rPr>
                <w:rFonts w:eastAsiaTheme="minorEastAsia" w:cs="Arial"/>
              </w:rPr>
              <w:t xml:space="preserve"> </w:t>
            </w:r>
            <w:r w:rsidRPr="00E7381D">
              <w:rPr>
                <w:rFonts w:ascii="Arial" w:eastAsiaTheme="minorEastAsia" w:cs="Arial"/>
                <w:position w:val="-4"/>
                <w:lang w:eastAsia="es-ES"/>
              </w:rPr>
              <w:object w:dxaOrig="180" w:dyaOrig="279" w14:anchorId="196E5A78">
                <v:shape id="_x0000_i1225" type="#_x0000_t75" style="width:5.25pt;height:15.75pt" o:ole="">
                  <v:imagedata r:id="rId377" o:title=""/>
                </v:shape>
                <o:OLEObject Type="Embed" ProgID="Equation.DSMT4" ShapeID="_x0000_i1225" DrawAspect="Content" ObjectID="_1706014906" r:id="rId411"/>
              </w:object>
            </w:r>
            <w:r>
              <w:rPr>
                <w:rFonts w:eastAsiaTheme="minorEastAsia" w:cs="Arial"/>
              </w:rPr>
              <w:t xml:space="preserve"> </w:t>
            </w:r>
          </w:p>
        </w:tc>
        <w:tc>
          <w:tcPr>
            <w:tcW w:w="236" w:type="dxa"/>
            <w:tcBorders>
              <w:right w:val="single" w:sz="4" w:space="0" w:color="auto"/>
            </w:tcBorders>
          </w:tcPr>
          <w:p w14:paraId="2F446252" w14:textId="77777777" w:rsidR="000F7773" w:rsidRPr="000F37C2" w:rsidRDefault="000F7773" w:rsidP="00DB0816">
            <w:pPr>
              <w:rPr>
                <w:rFonts w:eastAsiaTheme="minorEastAsia" w:cs="Arial"/>
              </w:rPr>
            </w:pPr>
          </w:p>
        </w:tc>
        <w:tc>
          <w:tcPr>
            <w:tcW w:w="5552" w:type="dxa"/>
            <w:gridSpan w:val="2"/>
            <w:tcBorders>
              <w:left w:val="single" w:sz="4" w:space="0" w:color="auto"/>
            </w:tcBorders>
          </w:tcPr>
          <w:p w14:paraId="6D7CB9E1" w14:textId="77777777" w:rsidR="000F7773" w:rsidRDefault="000F7773" w:rsidP="00DB0816">
            <w:pPr>
              <w:rPr>
                <w:rFonts w:eastAsiaTheme="minorEastAsia" w:cs="Arial"/>
              </w:rPr>
            </w:pPr>
            <w:r w:rsidRPr="000F37C2">
              <w:rPr>
                <w:rFonts w:ascii="Arial" w:eastAsiaTheme="minorEastAsia" w:cs="Arial"/>
                <w:position w:val="-60"/>
                <w:lang w:eastAsia="es-ES"/>
              </w:rPr>
              <w:object w:dxaOrig="5040" w:dyaOrig="1320" w14:anchorId="39915B00">
                <v:shape id="_x0000_i1226" type="#_x0000_t75" style="width:252pt;height:66.75pt" o:ole="">
                  <v:imagedata r:id="rId412" o:title=""/>
                </v:shape>
                <o:OLEObject Type="Embed" ProgID="Equation.DSMT4" ShapeID="_x0000_i1226" DrawAspect="Content" ObjectID="_1706014907" r:id="rId413"/>
              </w:object>
            </w:r>
          </w:p>
        </w:tc>
        <w:tc>
          <w:tcPr>
            <w:tcW w:w="988" w:type="dxa"/>
            <w:gridSpan w:val="2"/>
          </w:tcPr>
          <w:p w14:paraId="64F3E1A0" w14:textId="77777777" w:rsidR="000F7773" w:rsidRDefault="000F7773" w:rsidP="00DB0816">
            <w:pPr>
              <w:rPr>
                <w:rFonts w:eastAsiaTheme="minorEastAsia" w:cs="Arial"/>
              </w:rPr>
            </w:pPr>
          </w:p>
        </w:tc>
        <w:tc>
          <w:tcPr>
            <w:tcW w:w="935" w:type="dxa"/>
          </w:tcPr>
          <w:p w14:paraId="7B239EBF" w14:textId="77777777" w:rsidR="000F7773" w:rsidRDefault="000F7773" w:rsidP="00DB0816">
            <w:pPr>
              <w:rPr>
                <w:rFonts w:eastAsiaTheme="minorEastAsia" w:cs="Arial"/>
              </w:rPr>
            </w:pPr>
          </w:p>
        </w:tc>
      </w:tr>
      <w:tr w:rsidR="000F7773" w14:paraId="6A6E8438" w14:textId="77777777" w:rsidTr="00774869">
        <w:trPr>
          <w:trHeight w:val="452"/>
          <w:jc w:val="center"/>
        </w:trPr>
        <w:tc>
          <w:tcPr>
            <w:tcW w:w="1407" w:type="dxa"/>
          </w:tcPr>
          <w:p w14:paraId="04ACD5D8" w14:textId="77777777" w:rsidR="000F7773" w:rsidRDefault="000F7773" w:rsidP="00DB0816">
            <w:pPr>
              <w:rPr>
                <w:rFonts w:eastAsiaTheme="minorEastAsia" w:cs="Arial"/>
              </w:rPr>
            </w:pPr>
            <w:r w:rsidRPr="00E35745">
              <w:rPr>
                <w:rFonts w:ascii="Arial" w:eastAsiaTheme="minorEastAsia" w:cs="Arial"/>
                <w:position w:val="-12"/>
                <w:lang w:eastAsia="es-ES"/>
              </w:rPr>
              <w:object w:dxaOrig="1160" w:dyaOrig="360" w14:anchorId="185CEBB0">
                <v:shape id="_x0000_i1227" type="#_x0000_t75" style="width:56.25pt;height:20.25pt" o:ole="">
                  <v:imagedata r:id="rId414" o:title=""/>
                </v:shape>
                <o:OLEObject Type="Embed" ProgID="Equation.DSMT4" ShapeID="_x0000_i1227" DrawAspect="Content" ObjectID="_1706014908" r:id="rId415"/>
              </w:object>
            </w:r>
            <w:r>
              <w:rPr>
                <w:rFonts w:eastAsiaTheme="minorEastAsia" w:cs="Arial"/>
              </w:rPr>
              <w:t xml:space="preserve"> </w:t>
            </w:r>
          </w:p>
        </w:tc>
        <w:tc>
          <w:tcPr>
            <w:tcW w:w="236" w:type="dxa"/>
            <w:tcBorders>
              <w:right w:val="single" w:sz="4" w:space="0" w:color="auto"/>
            </w:tcBorders>
          </w:tcPr>
          <w:p w14:paraId="75946D79" w14:textId="77777777" w:rsidR="000F7773" w:rsidRPr="00FF0824" w:rsidRDefault="000F7773" w:rsidP="00DB0816">
            <w:pPr>
              <w:rPr>
                <w:rFonts w:eastAsiaTheme="minorEastAsia" w:cs="Arial"/>
              </w:rPr>
            </w:pPr>
          </w:p>
        </w:tc>
        <w:tc>
          <w:tcPr>
            <w:tcW w:w="5552" w:type="dxa"/>
            <w:gridSpan w:val="2"/>
            <w:tcBorders>
              <w:left w:val="single" w:sz="4" w:space="0" w:color="auto"/>
            </w:tcBorders>
          </w:tcPr>
          <w:p w14:paraId="5A38A907" w14:textId="77777777" w:rsidR="000F7773" w:rsidRDefault="000F7773" w:rsidP="00DB0816">
            <w:pPr>
              <w:rPr>
                <w:rFonts w:eastAsiaTheme="minorEastAsia" w:cs="Arial"/>
              </w:rPr>
            </w:pPr>
            <w:r w:rsidRPr="00FF0824">
              <w:rPr>
                <w:rFonts w:ascii="Arial" w:eastAsiaTheme="minorEastAsia" w:cs="Arial"/>
                <w:position w:val="-28"/>
                <w:lang w:eastAsia="es-ES"/>
              </w:rPr>
              <w:object w:dxaOrig="3140" w:dyaOrig="540" w14:anchorId="3FCA8CDD">
                <v:shape id="_x0000_i1228" type="#_x0000_t75" style="width:159.75pt;height:30.75pt" o:ole="">
                  <v:imagedata r:id="rId416" o:title=""/>
                </v:shape>
                <o:OLEObject Type="Embed" ProgID="Equation.DSMT4" ShapeID="_x0000_i1228" DrawAspect="Content" ObjectID="_1706014909" r:id="rId417"/>
              </w:object>
            </w:r>
            <w:r>
              <w:rPr>
                <w:rFonts w:eastAsiaTheme="minorEastAsia" w:cs="Arial"/>
              </w:rPr>
              <w:t xml:space="preserve"> </w:t>
            </w:r>
          </w:p>
        </w:tc>
        <w:tc>
          <w:tcPr>
            <w:tcW w:w="988" w:type="dxa"/>
            <w:gridSpan w:val="2"/>
          </w:tcPr>
          <w:p w14:paraId="4AB944F0" w14:textId="346B2D66" w:rsidR="000F7773" w:rsidRDefault="00C30FF8" w:rsidP="00DB0816">
            <w:pPr>
              <w:rPr>
                <w:rFonts w:eastAsiaTheme="minorEastAsia" w:cs="Arial"/>
              </w:rPr>
            </w:pPr>
            <w:r w:rsidRPr="00B62EA9">
              <w:rPr>
                <w:rFonts w:ascii="Arial" w:eastAsiaTheme="minorEastAsia" w:cs="Arial"/>
                <w:position w:val="-6"/>
                <w:lang w:eastAsia="es-ES"/>
              </w:rPr>
              <w:object w:dxaOrig="180" w:dyaOrig="220" w14:anchorId="642D2ED9">
                <v:shape id="_x0000_i1229" type="#_x0000_t75" style="width:10.5pt;height:10.5pt" o:ole="">
                  <v:imagedata r:id="rId418" o:title=""/>
                </v:shape>
                <o:OLEObject Type="Embed" ProgID="Equation.DSMT4" ShapeID="_x0000_i1229" DrawAspect="Content" ObjectID="_1706014910" r:id="rId419"/>
              </w:object>
            </w:r>
          </w:p>
        </w:tc>
        <w:tc>
          <w:tcPr>
            <w:tcW w:w="935" w:type="dxa"/>
          </w:tcPr>
          <w:p w14:paraId="40968B65" w14:textId="77777777" w:rsidR="000F7773" w:rsidRDefault="000F7773" w:rsidP="00DB0816">
            <w:pPr>
              <w:rPr>
                <w:rFonts w:eastAsiaTheme="minorEastAsia" w:cs="Arial"/>
              </w:rPr>
            </w:pPr>
            <w:r w:rsidRPr="00CD71AE">
              <w:rPr>
                <w:rFonts w:ascii="Arial" w:eastAsiaTheme="minorEastAsia" w:cs="Arial"/>
                <w:position w:val="-12"/>
                <w:lang w:eastAsia="es-ES"/>
              </w:rPr>
              <w:object w:dxaOrig="840" w:dyaOrig="360" w14:anchorId="606EA781">
                <v:shape id="_x0000_i1230" type="#_x0000_t75" style="width:41.25pt;height:20.25pt" o:ole="">
                  <v:imagedata r:id="rId420" o:title=""/>
                </v:shape>
                <o:OLEObject Type="Embed" ProgID="Equation.DSMT4" ShapeID="_x0000_i1230" DrawAspect="Content" ObjectID="_1706014911" r:id="rId421"/>
              </w:object>
            </w:r>
            <w:r>
              <w:rPr>
                <w:rFonts w:eastAsiaTheme="minorEastAsia" w:cs="Arial"/>
              </w:rPr>
              <w:t xml:space="preserve"> </w:t>
            </w:r>
          </w:p>
        </w:tc>
      </w:tr>
      <w:tr w:rsidR="00774869" w14:paraId="660B34FC" w14:textId="77777777" w:rsidTr="00504B4C">
        <w:trPr>
          <w:trHeight w:val="452"/>
          <w:jc w:val="center"/>
        </w:trPr>
        <w:tc>
          <w:tcPr>
            <w:tcW w:w="1407" w:type="dxa"/>
            <w:tcBorders>
              <w:bottom w:val="single" w:sz="4" w:space="0" w:color="auto"/>
            </w:tcBorders>
          </w:tcPr>
          <w:p w14:paraId="72960EC7" w14:textId="34FD645A" w:rsidR="00774869" w:rsidRPr="00E35745" w:rsidRDefault="00774869" w:rsidP="00DB0816">
            <w:pPr>
              <w:rPr>
                <w:rFonts w:eastAsiaTheme="minorEastAsia" w:cs="Arial"/>
              </w:rPr>
            </w:pPr>
            <w:r w:rsidRPr="00E35745">
              <w:rPr>
                <w:rFonts w:ascii="Arial" w:eastAsiaTheme="minorEastAsia" w:cs="Arial"/>
                <w:position w:val="-12"/>
                <w:lang w:eastAsia="es-ES"/>
              </w:rPr>
              <w:object w:dxaOrig="1200" w:dyaOrig="360" w14:anchorId="1E95268A">
                <v:shape id="_x0000_i1231" type="#_x0000_t75" style="width:58.5pt;height:20.25pt" o:ole="">
                  <v:imagedata r:id="rId422" o:title=""/>
                </v:shape>
                <o:OLEObject Type="Embed" ProgID="Equation.DSMT4" ShapeID="_x0000_i1231" DrawAspect="Content" ObjectID="_1706014912" r:id="rId423"/>
              </w:object>
            </w:r>
          </w:p>
        </w:tc>
        <w:tc>
          <w:tcPr>
            <w:tcW w:w="236" w:type="dxa"/>
            <w:tcBorders>
              <w:bottom w:val="single" w:sz="4" w:space="0" w:color="auto"/>
              <w:right w:val="single" w:sz="4" w:space="0" w:color="auto"/>
            </w:tcBorders>
          </w:tcPr>
          <w:p w14:paraId="01C1D192" w14:textId="77777777" w:rsidR="00774869" w:rsidRPr="00FF0824" w:rsidRDefault="00774869" w:rsidP="00DB0816">
            <w:pPr>
              <w:rPr>
                <w:rFonts w:eastAsiaTheme="minorEastAsia" w:cs="Arial"/>
              </w:rPr>
            </w:pPr>
          </w:p>
        </w:tc>
        <w:tc>
          <w:tcPr>
            <w:tcW w:w="5552" w:type="dxa"/>
            <w:gridSpan w:val="2"/>
            <w:tcBorders>
              <w:left w:val="single" w:sz="4" w:space="0" w:color="auto"/>
              <w:bottom w:val="single" w:sz="4" w:space="0" w:color="auto"/>
            </w:tcBorders>
          </w:tcPr>
          <w:p w14:paraId="03918976" w14:textId="2589083A" w:rsidR="00774869" w:rsidRPr="00FF0824" w:rsidRDefault="00774869" w:rsidP="00DB0816">
            <w:pPr>
              <w:rPr>
                <w:rFonts w:eastAsiaTheme="minorEastAsia" w:cs="Arial"/>
              </w:rPr>
            </w:pPr>
            <w:r w:rsidRPr="00FF0824">
              <w:rPr>
                <w:rFonts w:ascii="Arial" w:eastAsiaTheme="minorEastAsia" w:cs="Arial"/>
                <w:position w:val="-28"/>
                <w:lang w:eastAsia="es-ES"/>
              </w:rPr>
              <w:object w:dxaOrig="3760" w:dyaOrig="540" w14:anchorId="6C7E2E10">
                <v:shape id="_x0000_i1232" type="#_x0000_t75" style="width:191.25pt;height:30.75pt" o:ole="">
                  <v:imagedata r:id="rId424" o:title=""/>
                </v:shape>
                <o:OLEObject Type="Embed" ProgID="Equation.DSMT4" ShapeID="_x0000_i1232" DrawAspect="Content" ObjectID="_1706014913" r:id="rId425"/>
              </w:object>
            </w:r>
          </w:p>
        </w:tc>
        <w:tc>
          <w:tcPr>
            <w:tcW w:w="988" w:type="dxa"/>
            <w:gridSpan w:val="2"/>
            <w:tcBorders>
              <w:bottom w:val="single" w:sz="4" w:space="0" w:color="auto"/>
            </w:tcBorders>
          </w:tcPr>
          <w:p w14:paraId="015328EC" w14:textId="472E9CF7" w:rsidR="00774869" w:rsidRPr="00B62EA9" w:rsidRDefault="00774869" w:rsidP="00DB0816">
            <w:pPr>
              <w:rPr>
                <w:rFonts w:eastAsiaTheme="minorEastAsia" w:cs="Arial"/>
              </w:rPr>
            </w:pPr>
            <w:r w:rsidRPr="00B62EA9">
              <w:rPr>
                <w:rFonts w:ascii="Arial" w:eastAsiaTheme="minorEastAsia" w:cs="Arial"/>
                <w:position w:val="-6"/>
                <w:lang w:eastAsia="es-ES"/>
              </w:rPr>
              <w:object w:dxaOrig="200" w:dyaOrig="220" w14:anchorId="02BB0E55">
                <v:shape id="_x0000_i1233" type="#_x0000_t75" style="width:12pt;height:10.5pt" o:ole="">
                  <v:imagedata r:id="rId426" o:title=""/>
                </v:shape>
                <o:OLEObject Type="Embed" ProgID="Equation.DSMT4" ShapeID="_x0000_i1233" DrawAspect="Content" ObjectID="_1706014914" r:id="rId427"/>
              </w:object>
            </w:r>
          </w:p>
        </w:tc>
        <w:tc>
          <w:tcPr>
            <w:tcW w:w="935" w:type="dxa"/>
            <w:tcBorders>
              <w:bottom w:val="single" w:sz="4" w:space="0" w:color="auto"/>
            </w:tcBorders>
          </w:tcPr>
          <w:p w14:paraId="6E55A0EA" w14:textId="780891FF" w:rsidR="00774869" w:rsidRPr="00CD71AE" w:rsidRDefault="00774869" w:rsidP="00DB0816">
            <w:pPr>
              <w:rPr>
                <w:rFonts w:eastAsiaTheme="minorEastAsia" w:cs="Arial"/>
              </w:rPr>
            </w:pPr>
            <w:r w:rsidRPr="00774869">
              <w:rPr>
                <w:rFonts w:ascii="Arial" w:eastAsia="Times New Roman" w:cs="Times New Roman"/>
                <w:position w:val="-12"/>
                <w:lang w:eastAsia="es-ES"/>
              </w:rPr>
              <w:object w:dxaOrig="1020" w:dyaOrig="360" w14:anchorId="27CDA3BF">
                <v:shape id="_x0000_i1234" type="#_x0000_t75" style="width:42.75pt;height:18pt" o:ole="">
                  <v:imagedata r:id="rId428" o:title=""/>
                </v:shape>
                <o:OLEObject Type="Embed" ProgID="Equation.DSMT4" ShapeID="_x0000_i1234" DrawAspect="Content" ObjectID="_1706014915" r:id="rId429"/>
              </w:object>
            </w:r>
            <w:r>
              <w:rPr>
                <w:rFonts w:eastAsiaTheme="minorEastAsia" w:cs="Arial"/>
              </w:rPr>
              <w:t xml:space="preserve"> </w:t>
            </w:r>
          </w:p>
        </w:tc>
      </w:tr>
    </w:tbl>
    <w:p w14:paraId="4226EDF9" w14:textId="360753EA" w:rsidR="000F7773" w:rsidRPr="00700471" w:rsidRDefault="000F7773" w:rsidP="000F7773">
      <w:pPr>
        <w:rPr>
          <w:rFonts w:cs="Arial"/>
          <w:sz w:val="18"/>
        </w:rPr>
      </w:pPr>
      <w:r w:rsidRPr="00220F06">
        <w:rPr>
          <w:rFonts w:cs="Arial"/>
          <w:sz w:val="18"/>
        </w:rPr>
        <w:t xml:space="preserve">Fuente: </w:t>
      </w:r>
      <w:r w:rsidRPr="00220F06">
        <w:rPr>
          <w:rFonts w:cs="Arial"/>
          <w:sz w:val="18"/>
        </w:rPr>
        <w:fldChar w:fldCharType="begin" w:fldLock="1"/>
      </w:r>
      <w:r w:rsidR="00475856">
        <w:rPr>
          <w:rFonts w:cs="Arial"/>
          <w:sz w:val="18"/>
        </w:rPr>
        <w:instrText>ADDIN CSL_CITATION {"citationItems":[{"id":"ITEM-1","itemData":{"author":[{"dropping-particle":"","family":"McDonald","given":"Scott","non-dropping-particle":"","parse-names":false,"suffix":""},{"dropping-particle":"","family":"Thierfelder","given":"Karen","non-dropping-particle":"","parse-names":false,"suffix":""}],"id":"ITEM-1","issue":"January","issued":{"date-parts":[["2017"]]},"number-of-pages":"1-89","title":"A Static Applied General Equilibrium Model: Technical Documentation - STAGE_int Version","type":"report"},"uris":["http://www.mendeley.com/documents/?uuid=83316eb5-e8df-4029-aa83-a2c1fd511a0d"]}],"mendeley":{"formattedCitation":"(McDonald &amp; Thierfelder, 2017)","manualFormatting":"McDonald &amp; Thierfelder (2017)","plainTextFormattedCitation":"(McDonald &amp; Thierfelder, 2017)","previouslyFormattedCitation":"(McDonald &amp; Thierfelder, 2017)"},"properties":{"noteIndex":0},"schema":"https://github.com/citation-style-language/schema/raw/master/csl-citation.json"}</w:instrText>
      </w:r>
      <w:r w:rsidRPr="00220F06">
        <w:rPr>
          <w:rFonts w:cs="Arial"/>
          <w:sz w:val="18"/>
        </w:rPr>
        <w:fldChar w:fldCharType="separate"/>
      </w:r>
      <w:r w:rsidRPr="00220F06">
        <w:rPr>
          <w:rFonts w:cs="Arial"/>
          <w:noProof/>
          <w:sz w:val="18"/>
        </w:rPr>
        <w:t>McDonald &amp; Thierfelder (2017)</w:t>
      </w:r>
      <w:r w:rsidRPr="00220F06">
        <w:rPr>
          <w:rFonts w:cs="Arial"/>
          <w:sz w:val="18"/>
        </w:rPr>
        <w:fldChar w:fldCharType="end"/>
      </w:r>
      <w:r w:rsidR="009936CA">
        <w:rPr>
          <w:rFonts w:cs="Arial"/>
          <w:sz w:val="18"/>
        </w:rPr>
        <w:t>, con modificaciones</w:t>
      </w:r>
      <w:r w:rsidRPr="00220F06">
        <w:rPr>
          <w:rFonts w:cs="Arial"/>
          <w:sz w:val="18"/>
        </w:rPr>
        <w:t>.</w:t>
      </w:r>
    </w:p>
    <w:p w14:paraId="7127CDCE" w14:textId="542D5201" w:rsidR="00FC7F86" w:rsidRDefault="000F7773" w:rsidP="00FB4C93">
      <w:pPr>
        <w:spacing w:line="240" w:lineRule="auto"/>
        <w:rPr>
          <w:rFonts w:eastAsiaTheme="minorEastAsia" w:cs="Arial"/>
        </w:rPr>
      </w:pPr>
      <w:r>
        <w:rPr>
          <w:rFonts w:eastAsiaTheme="minorEastAsia" w:cs="Arial"/>
        </w:rPr>
        <w:lastRenderedPageBreak/>
        <w:t xml:space="preserve">Finalmente, en el bloque de producción, la etapa tres es similar al bloque </w:t>
      </w:r>
      <w:r w:rsidR="00104214">
        <w:rPr>
          <w:rFonts w:eastAsiaTheme="minorEastAsia" w:cs="Arial"/>
        </w:rPr>
        <w:t xml:space="preserve">de producción </w:t>
      </w:r>
      <w:r>
        <w:rPr>
          <w:rFonts w:eastAsiaTheme="minorEastAsia" w:cs="Arial"/>
        </w:rPr>
        <w:t xml:space="preserve">2, pero se define la agregación del factor trabajo y su combinación con los demás factores. La relación que se mostró en las </w:t>
      </w:r>
      <w:r w:rsidR="00104214">
        <w:rPr>
          <w:rFonts w:eastAsiaTheme="minorEastAsia" w:cs="Arial"/>
        </w:rPr>
        <w:fldChar w:fldCharType="begin"/>
      </w:r>
      <w:r w:rsidR="00104214">
        <w:rPr>
          <w:rFonts w:eastAsiaTheme="minorEastAsia" w:cs="Arial"/>
        </w:rPr>
        <w:instrText xml:space="preserve"> REF _Ref524804205 \h </w:instrText>
      </w:r>
      <w:r w:rsidR="00104214">
        <w:instrText>\* lower</w:instrText>
      </w:r>
      <w:r w:rsidR="00104214">
        <w:rPr>
          <w:rFonts w:eastAsiaTheme="minorEastAsia" w:cs="Arial"/>
        </w:rPr>
        <w:instrText xml:space="preserve"> </w:instrText>
      </w:r>
      <w:r w:rsidR="00104214">
        <w:rPr>
          <w:rFonts w:eastAsiaTheme="minorEastAsia" w:cs="Arial"/>
        </w:rPr>
      </w:r>
      <w:r w:rsidR="00104214">
        <w:rPr>
          <w:rFonts w:eastAsiaTheme="minorEastAsia" w:cs="Arial"/>
        </w:rPr>
        <w:fldChar w:fldCharType="separate"/>
      </w:r>
      <w:r w:rsidR="00A95E32">
        <w:t xml:space="preserve">figura </w:t>
      </w:r>
      <w:r w:rsidR="00A95E32">
        <w:rPr>
          <w:noProof/>
        </w:rPr>
        <w:t>8</w:t>
      </w:r>
      <w:r w:rsidR="00104214">
        <w:rPr>
          <w:rFonts w:eastAsiaTheme="minorEastAsia" w:cs="Arial"/>
        </w:rPr>
        <w:fldChar w:fldCharType="end"/>
      </w:r>
      <w:r>
        <w:rPr>
          <w:rFonts w:eastAsiaTheme="minorEastAsia" w:cs="Arial"/>
        </w:rPr>
        <w:t xml:space="preserve"> sobre la composición de los bienes y precios se muestra en forma de ecuaciones en la </w:t>
      </w:r>
      <w:r w:rsidR="00104214">
        <w:rPr>
          <w:rFonts w:eastAsiaTheme="minorEastAsia" w:cs="Arial"/>
        </w:rPr>
        <w:fldChar w:fldCharType="begin"/>
      </w:r>
      <w:r w:rsidR="00104214">
        <w:rPr>
          <w:rFonts w:eastAsiaTheme="minorEastAsia" w:cs="Arial"/>
        </w:rPr>
        <w:instrText xml:space="preserve"> REF _Ref525023448 \h </w:instrText>
      </w:r>
      <w:r w:rsidR="00104214">
        <w:instrText>\* lower</w:instrText>
      </w:r>
      <w:r w:rsidR="00104214">
        <w:rPr>
          <w:rFonts w:eastAsiaTheme="minorEastAsia" w:cs="Arial"/>
        </w:rPr>
        <w:instrText xml:space="preserve"> </w:instrText>
      </w:r>
      <w:r w:rsidR="00104214">
        <w:rPr>
          <w:rFonts w:eastAsiaTheme="minorEastAsia" w:cs="Arial"/>
        </w:rPr>
      </w:r>
      <w:r w:rsidR="00104214">
        <w:rPr>
          <w:rFonts w:eastAsiaTheme="minorEastAsia" w:cs="Arial"/>
        </w:rPr>
        <w:fldChar w:fldCharType="separate"/>
      </w:r>
      <w:r w:rsidR="00A95E32">
        <w:t xml:space="preserve">tabla </w:t>
      </w:r>
      <w:r w:rsidR="00A95E32">
        <w:rPr>
          <w:noProof/>
        </w:rPr>
        <w:t>9</w:t>
      </w:r>
      <w:r w:rsidR="00104214">
        <w:rPr>
          <w:rFonts w:eastAsiaTheme="minorEastAsia" w:cs="Arial"/>
        </w:rPr>
        <w:fldChar w:fldCharType="end"/>
      </w:r>
      <w:r>
        <w:rPr>
          <w:rFonts w:eastAsiaTheme="minorEastAsia" w:cs="Arial"/>
        </w:rPr>
        <w:t>.</w:t>
      </w:r>
    </w:p>
    <w:p w14:paraId="5522830F" w14:textId="32E4662E" w:rsidR="000F7773" w:rsidRPr="002177DD" w:rsidRDefault="000F7773" w:rsidP="000F7773">
      <w:pPr>
        <w:pStyle w:val="Caption"/>
      </w:pPr>
      <w:bookmarkStart w:id="93" w:name="_Ref525023448"/>
      <w:bookmarkStart w:id="94" w:name="_Toc524946947"/>
      <w:bookmarkStart w:id="95" w:name="_Toc525033951"/>
      <w:bookmarkStart w:id="96" w:name="_Toc526175252"/>
      <w:bookmarkStart w:id="97" w:name="_Toc2853699"/>
      <w:r>
        <w:t xml:space="preserve">Tabla </w:t>
      </w:r>
      <w:r w:rsidR="00F700CF">
        <w:rPr>
          <w:noProof/>
        </w:rPr>
        <w:fldChar w:fldCharType="begin"/>
      </w:r>
      <w:r w:rsidR="00F700CF">
        <w:rPr>
          <w:noProof/>
        </w:rPr>
        <w:instrText xml:space="preserve"> SEQ Tabla \* ARABIC </w:instrText>
      </w:r>
      <w:r w:rsidR="00F700CF">
        <w:rPr>
          <w:noProof/>
        </w:rPr>
        <w:fldChar w:fldCharType="separate"/>
      </w:r>
      <w:r w:rsidR="00A95E32">
        <w:rPr>
          <w:noProof/>
        </w:rPr>
        <w:t>9</w:t>
      </w:r>
      <w:r w:rsidR="00F700CF">
        <w:rPr>
          <w:noProof/>
        </w:rPr>
        <w:fldChar w:fldCharType="end"/>
      </w:r>
      <w:bookmarkEnd w:id="93"/>
      <w:r>
        <w:t xml:space="preserve"> </w:t>
      </w:r>
      <w:r>
        <w:br/>
      </w:r>
      <w:r w:rsidRPr="00E81F1E">
        <w:t>Bloque de bienes</w:t>
      </w:r>
      <w:bookmarkEnd w:id="94"/>
      <w:bookmarkEnd w:id="95"/>
      <w:bookmarkEnd w:id="96"/>
      <w:bookmarkEnd w:id="97"/>
    </w:p>
    <w:tbl>
      <w:tblPr>
        <w:tblStyle w:val="TableGrid"/>
        <w:tblW w:w="9026"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080"/>
        <w:gridCol w:w="5130"/>
        <w:gridCol w:w="713"/>
        <w:gridCol w:w="727"/>
        <w:gridCol w:w="1376"/>
      </w:tblGrid>
      <w:tr w:rsidR="00A77D30" w14:paraId="447C1111" w14:textId="77777777" w:rsidTr="00504B4C">
        <w:trPr>
          <w:trHeight w:val="481"/>
          <w:jc w:val="center"/>
        </w:trPr>
        <w:tc>
          <w:tcPr>
            <w:tcW w:w="1080" w:type="dxa"/>
            <w:tcBorders>
              <w:bottom w:val="single" w:sz="4" w:space="0" w:color="auto"/>
              <w:right w:val="single" w:sz="4" w:space="0" w:color="auto"/>
            </w:tcBorders>
          </w:tcPr>
          <w:p w14:paraId="280AAA98" w14:textId="77777777" w:rsidR="000F7773" w:rsidRPr="00504B4C" w:rsidRDefault="000F7773" w:rsidP="00DB0816">
            <w:pPr>
              <w:rPr>
                <w:rFonts w:ascii="Arial" w:eastAsiaTheme="minorEastAsia" w:cs="Arial"/>
                <w:sz w:val="22"/>
              </w:rPr>
            </w:pPr>
            <w:r w:rsidRPr="00504B4C">
              <w:rPr>
                <w:rFonts w:ascii="Arial" w:eastAsiaTheme="minorEastAsia" w:cs="Arial"/>
                <w:sz w:val="22"/>
              </w:rPr>
              <w:t>Nombre</w:t>
            </w:r>
          </w:p>
        </w:tc>
        <w:tc>
          <w:tcPr>
            <w:tcW w:w="5130" w:type="dxa"/>
            <w:tcBorders>
              <w:left w:val="single" w:sz="4" w:space="0" w:color="auto"/>
              <w:bottom w:val="single" w:sz="4" w:space="0" w:color="auto"/>
            </w:tcBorders>
          </w:tcPr>
          <w:p w14:paraId="3C3F6262" w14:textId="77777777" w:rsidR="000F7773" w:rsidRPr="00504B4C" w:rsidRDefault="000F7773" w:rsidP="00DB0816">
            <w:pPr>
              <w:rPr>
                <w:rFonts w:ascii="Arial" w:eastAsiaTheme="minorEastAsia" w:cs="Arial"/>
                <w:sz w:val="22"/>
              </w:rPr>
            </w:pPr>
            <w:r w:rsidRPr="00504B4C">
              <w:rPr>
                <w:rFonts w:ascii="Arial" w:eastAsiaTheme="minorEastAsia" w:cs="Arial"/>
                <w:sz w:val="22"/>
              </w:rPr>
              <w:t>Ecuación</w:t>
            </w:r>
          </w:p>
        </w:tc>
        <w:tc>
          <w:tcPr>
            <w:tcW w:w="1440" w:type="dxa"/>
            <w:gridSpan w:val="2"/>
            <w:tcBorders>
              <w:bottom w:val="single" w:sz="4" w:space="0" w:color="auto"/>
            </w:tcBorders>
          </w:tcPr>
          <w:p w14:paraId="66AE2948" w14:textId="77777777" w:rsidR="000F7773" w:rsidRPr="00504B4C" w:rsidRDefault="000F7773" w:rsidP="00DB0816">
            <w:pPr>
              <w:rPr>
                <w:rFonts w:ascii="Arial" w:eastAsiaTheme="minorEastAsia" w:cs="Arial"/>
                <w:sz w:val="22"/>
              </w:rPr>
            </w:pPr>
            <w:r w:rsidRPr="00504B4C">
              <w:rPr>
                <w:rFonts w:ascii="Arial" w:eastAsiaTheme="minorEastAsia" w:cs="Arial"/>
                <w:sz w:val="22"/>
              </w:rPr>
              <w:t>Ecuaciones</w:t>
            </w:r>
          </w:p>
        </w:tc>
        <w:tc>
          <w:tcPr>
            <w:tcW w:w="1376" w:type="dxa"/>
            <w:tcBorders>
              <w:bottom w:val="single" w:sz="4" w:space="0" w:color="auto"/>
            </w:tcBorders>
          </w:tcPr>
          <w:p w14:paraId="4272ADA3" w14:textId="77777777" w:rsidR="000F7773" w:rsidRPr="00504B4C" w:rsidRDefault="000F7773" w:rsidP="00DB0816">
            <w:pPr>
              <w:rPr>
                <w:rFonts w:ascii="Arial" w:eastAsiaTheme="minorEastAsia" w:cs="Arial"/>
                <w:sz w:val="22"/>
              </w:rPr>
            </w:pPr>
            <w:r w:rsidRPr="00504B4C">
              <w:rPr>
                <w:rFonts w:ascii="Arial" w:eastAsiaTheme="minorEastAsia" w:cs="Arial"/>
                <w:sz w:val="22"/>
              </w:rPr>
              <w:t>Variables</w:t>
            </w:r>
          </w:p>
        </w:tc>
      </w:tr>
      <w:tr w:rsidR="00A77D30" w14:paraId="336FA4AE" w14:textId="77777777" w:rsidTr="00504B4C">
        <w:trPr>
          <w:trHeight w:val="481"/>
          <w:jc w:val="center"/>
        </w:trPr>
        <w:tc>
          <w:tcPr>
            <w:tcW w:w="1080" w:type="dxa"/>
            <w:tcBorders>
              <w:top w:val="single" w:sz="4" w:space="0" w:color="auto"/>
              <w:right w:val="single" w:sz="4" w:space="0" w:color="auto"/>
            </w:tcBorders>
          </w:tcPr>
          <w:p w14:paraId="66A7A49F" w14:textId="05ADE27C" w:rsidR="000F7773" w:rsidRDefault="00A77D30" w:rsidP="00DB0816">
            <w:pPr>
              <w:rPr>
                <w:rFonts w:eastAsiaTheme="minorEastAsia" w:cs="Arial"/>
              </w:rPr>
            </w:pPr>
            <w:r w:rsidRPr="00CF109F">
              <w:rPr>
                <w:rFonts w:ascii="Arial" w:eastAsiaTheme="minorEastAsia" w:cs="Arial"/>
                <w:position w:val="-12"/>
                <w:lang w:eastAsia="es-ES"/>
              </w:rPr>
              <w:object w:dxaOrig="859" w:dyaOrig="360" w14:anchorId="3A14D71A">
                <v:shape id="_x0000_i1235" type="#_x0000_t75" style="width:36pt;height:20.25pt" o:ole="">
                  <v:imagedata r:id="rId430" o:title=""/>
                </v:shape>
                <o:OLEObject Type="Embed" ProgID="Equation.DSMT4" ShapeID="_x0000_i1235" DrawAspect="Content" ObjectID="_1706014916" r:id="rId431"/>
              </w:object>
            </w:r>
          </w:p>
        </w:tc>
        <w:tc>
          <w:tcPr>
            <w:tcW w:w="5843" w:type="dxa"/>
            <w:gridSpan w:val="2"/>
            <w:tcBorders>
              <w:top w:val="single" w:sz="4" w:space="0" w:color="auto"/>
              <w:left w:val="single" w:sz="4" w:space="0" w:color="auto"/>
            </w:tcBorders>
          </w:tcPr>
          <w:p w14:paraId="486353BC" w14:textId="4C8FCE53" w:rsidR="000F7773" w:rsidRDefault="00504B4C" w:rsidP="00DB0816">
            <w:pPr>
              <w:rPr>
                <w:rFonts w:eastAsiaTheme="minorEastAsia" w:cs="Arial"/>
              </w:rPr>
            </w:pPr>
            <w:r w:rsidRPr="002E6F88">
              <w:rPr>
                <w:rFonts w:ascii="Arial" w:eastAsiaTheme="minorEastAsia" w:cs="Arial"/>
                <w:position w:val="-36"/>
                <w:lang w:eastAsia="es-ES"/>
              </w:rPr>
              <w:object w:dxaOrig="5580" w:dyaOrig="980" w14:anchorId="3EAD567E">
                <v:shape id="_x0000_i1236" type="#_x0000_t75" style="width:262.5pt;height:51.75pt" o:ole="">
                  <v:imagedata r:id="rId432" o:title=""/>
                </v:shape>
                <o:OLEObject Type="Embed" ProgID="Equation.DSMT4" ShapeID="_x0000_i1236" DrawAspect="Content" ObjectID="_1706014917" r:id="rId433"/>
              </w:object>
            </w:r>
            <w:r w:rsidR="000F7773">
              <w:rPr>
                <w:rFonts w:eastAsiaTheme="minorEastAsia" w:cs="Arial"/>
              </w:rPr>
              <w:t xml:space="preserve"> </w:t>
            </w:r>
          </w:p>
        </w:tc>
        <w:tc>
          <w:tcPr>
            <w:tcW w:w="727" w:type="dxa"/>
            <w:tcBorders>
              <w:top w:val="single" w:sz="4" w:space="0" w:color="auto"/>
            </w:tcBorders>
          </w:tcPr>
          <w:p w14:paraId="25902352" w14:textId="7F7B2AEA" w:rsidR="000F7773" w:rsidRDefault="00204B6B" w:rsidP="00DB0816">
            <w:pPr>
              <w:rPr>
                <w:rFonts w:eastAsiaTheme="minorEastAsia" w:cs="Arial"/>
              </w:rPr>
            </w:pPr>
            <w:r w:rsidRPr="00B62EA9">
              <w:rPr>
                <w:rFonts w:ascii="Arial" w:eastAsiaTheme="minorEastAsia" w:cs="Arial"/>
                <w:position w:val="-6"/>
                <w:lang w:eastAsia="es-ES"/>
              </w:rPr>
              <w:object w:dxaOrig="180" w:dyaOrig="220" w14:anchorId="0459AE2A">
                <v:shape id="_x0000_i1237" type="#_x0000_t75" style="width:10.5pt;height:10.5pt" o:ole="">
                  <v:imagedata r:id="rId418" o:title=""/>
                </v:shape>
                <o:OLEObject Type="Embed" ProgID="Equation.DSMT4" ShapeID="_x0000_i1237" DrawAspect="Content" ObjectID="_1706014918" r:id="rId434"/>
              </w:object>
            </w:r>
          </w:p>
        </w:tc>
        <w:tc>
          <w:tcPr>
            <w:tcW w:w="1376" w:type="dxa"/>
            <w:tcBorders>
              <w:top w:val="single" w:sz="4" w:space="0" w:color="auto"/>
            </w:tcBorders>
          </w:tcPr>
          <w:p w14:paraId="25A7DA55" w14:textId="77777777" w:rsidR="000F7773" w:rsidRDefault="000F7773" w:rsidP="00DB0816">
            <w:pPr>
              <w:rPr>
                <w:rFonts w:eastAsiaTheme="minorEastAsia" w:cs="Arial"/>
              </w:rPr>
            </w:pPr>
            <w:r w:rsidRPr="0096368F">
              <w:rPr>
                <w:rFonts w:ascii="Arial" w:eastAsiaTheme="minorEastAsia" w:cs="Arial"/>
                <w:position w:val="-12"/>
                <w:lang w:eastAsia="es-ES"/>
              </w:rPr>
              <w:object w:dxaOrig="620" w:dyaOrig="360" w14:anchorId="043D4B20">
                <v:shape id="_x0000_i1238" type="#_x0000_t75" style="width:30.75pt;height:20.25pt" o:ole="">
                  <v:imagedata r:id="rId435" o:title=""/>
                </v:shape>
                <o:OLEObject Type="Embed" ProgID="Equation.DSMT4" ShapeID="_x0000_i1238" DrawAspect="Content" ObjectID="_1706014919" r:id="rId436"/>
              </w:object>
            </w:r>
            <w:r>
              <w:rPr>
                <w:rFonts w:eastAsiaTheme="minorEastAsia" w:cs="Arial"/>
              </w:rPr>
              <w:t xml:space="preserve"> </w:t>
            </w:r>
          </w:p>
        </w:tc>
      </w:tr>
      <w:tr w:rsidR="00A77D30" w14:paraId="302C315A" w14:textId="77777777" w:rsidTr="00504B4C">
        <w:trPr>
          <w:trHeight w:val="481"/>
          <w:jc w:val="center"/>
        </w:trPr>
        <w:tc>
          <w:tcPr>
            <w:tcW w:w="1080" w:type="dxa"/>
            <w:tcBorders>
              <w:right w:val="single" w:sz="4" w:space="0" w:color="auto"/>
            </w:tcBorders>
          </w:tcPr>
          <w:p w14:paraId="5D0D6AB8" w14:textId="77777777" w:rsidR="000F7773" w:rsidRDefault="000F7773" w:rsidP="00DB0816">
            <w:pPr>
              <w:rPr>
                <w:rFonts w:eastAsiaTheme="minorEastAsia" w:cs="Arial"/>
              </w:rPr>
            </w:pPr>
          </w:p>
        </w:tc>
        <w:tc>
          <w:tcPr>
            <w:tcW w:w="5843" w:type="dxa"/>
            <w:gridSpan w:val="2"/>
            <w:tcBorders>
              <w:left w:val="single" w:sz="4" w:space="0" w:color="auto"/>
            </w:tcBorders>
          </w:tcPr>
          <w:p w14:paraId="66C407EE" w14:textId="77777777" w:rsidR="000F7773" w:rsidRDefault="000F7773" w:rsidP="00DB0816">
            <w:pPr>
              <w:rPr>
                <w:rFonts w:eastAsiaTheme="minorEastAsia" w:cs="Arial"/>
              </w:rPr>
            </w:pPr>
            <w:r w:rsidRPr="00C41250">
              <w:rPr>
                <w:rFonts w:ascii="Arial" w:eastAsiaTheme="minorEastAsia" w:cs="Arial"/>
                <w:position w:val="-28"/>
                <w:lang w:eastAsia="es-ES"/>
              </w:rPr>
              <w:object w:dxaOrig="3760" w:dyaOrig="660" w14:anchorId="3E77B7F5">
                <v:shape id="_x0000_i1239" type="#_x0000_t75" style="width:185.25pt;height:30.75pt" o:ole="">
                  <v:imagedata r:id="rId437" o:title=""/>
                </v:shape>
                <o:OLEObject Type="Embed" ProgID="Equation.DSMT4" ShapeID="_x0000_i1239" DrawAspect="Content" ObjectID="_1706014920" r:id="rId438"/>
              </w:object>
            </w:r>
            <w:r>
              <w:rPr>
                <w:rFonts w:eastAsiaTheme="minorEastAsia" w:cs="Arial"/>
              </w:rPr>
              <w:t xml:space="preserve"> </w:t>
            </w:r>
          </w:p>
        </w:tc>
        <w:tc>
          <w:tcPr>
            <w:tcW w:w="727" w:type="dxa"/>
          </w:tcPr>
          <w:p w14:paraId="097135AB" w14:textId="77777777" w:rsidR="000F7773" w:rsidRDefault="000F7773" w:rsidP="00DB0816">
            <w:pPr>
              <w:rPr>
                <w:rFonts w:eastAsiaTheme="minorEastAsia" w:cs="Arial"/>
              </w:rPr>
            </w:pPr>
          </w:p>
        </w:tc>
        <w:tc>
          <w:tcPr>
            <w:tcW w:w="1376" w:type="dxa"/>
          </w:tcPr>
          <w:p w14:paraId="57248C6E" w14:textId="77777777" w:rsidR="000F7773" w:rsidRDefault="000F7773" w:rsidP="00DB0816">
            <w:pPr>
              <w:rPr>
                <w:rFonts w:eastAsiaTheme="minorEastAsia" w:cs="Arial"/>
              </w:rPr>
            </w:pPr>
          </w:p>
        </w:tc>
      </w:tr>
      <w:tr w:rsidR="00A77D30" w14:paraId="219EF457" w14:textId="77777777" w:rsidTr="00504B4C">
        <w:trPr>
          <w:trHeight w:val="481"/>
          <w:jc w:val="center"/>
        </w:trPr>
        <w:tc>
          <w:tcPr>
            <w:tcW w:w="1080" w:type="dxa"/>
            <w:tcBorders>
              <w:right w:val="single" w:sz="4" w:space="0" w:color="auto"/>
            </w:tcBorders>
          </w:tcPr>
          <w:p w14:paraId="2A6E17EC" w14:textId="0CA88AB3" w:rsidR="000F7773" w:rsidRDefault="00A77D30" w:rsidP="00DB0816">
            <w:pPr>
              <w:rPr>
                <w:rFonts w:eastAsiaTheme="minorEastAsia" w:cs="Arial"/>
              </w:rPr>
            </w:pPr>
            <w:r w:rsidRPr="001F394D">
              <w:rPr>
                <w:rFonts w:ascii="Arial" w:eastAsiaTheme="minorEastAsia" w:cs="Arial"/>
                <w:position w:val="-12"/>
                <w:lang w:eastAsia="es-ES"/>
              </w:rPr>
              <w:object w:dxaOrig="1180" w:dyaOrig="360" w14:anchorId="11D907BA">
                <v:shape id="_x0000_i1240" type="#_x0000_t75" style="width:36pt;height:20.25pt" o:ole="">
                  <v:imagedata r:id="rId439" o:title=""/>
                </v:shape>
                <o:OLEObject Type="Embed" ProgID="Equation.DSMT4" ShapeID="_x0000_i1240" DrawAspect="Content" ObjectID="_1706014921" r:id="rId440"/>
              </w:object>
            </w:r>
            <w:r w:rsidR="000F7773">
              <w:rPr>
                <w:rFonts w:eastAsiaTheme="minorEastAsia" w:cs="Arial"/>
              </w:rPr>
              <w:t xml:space="preserve"> </w:t>
            </w:r>
          </w:p>
        </w:tc>
        <w:tc>
          <w:tcPr>
            <w:tcW w:w="5843" w:type="dxa"/>
            <w:gridSpan w:val="2"/>
            <w:tcBorders>
              <w:left w:val="single" w:sz="4" w:space="0" w:color="auto"/>
            </w:tcBorders>
          </w:tcPr>
          <w:p w14:paraId="5C98847C" w14:textId="77777777" w:rsidR="000F7773" w:rsidRDefault="000F7773" w:rsidP="00DB0816">
            <w:pPr>
              <w:rPr>
                <w:rFonts w:eastAsiaTheme="minorEastAsia" w:cs="Arial"/>
              </w:rPr>
            </w:pPr>
            <w:r w:rsidRPr="001D31A5">
              <w:rPr>
                <w:rFonts w:ascii="Arial" w:eastAsiaTheme="minorEastAsia" w:cs="Arial"/>
                <w:position w:val="-72"/>
                <w:lang w:eastAsia="es-ES"/>
              </w:rPr>
              <w:object w:dxaOrig="5140" w:dyaOrig="1560" w14:anchorId="4E0A1641">
                <v:shape id="_x0000_i1241" type="#_x0000_t75" style="width:257.25pt;height:77.25pt" o:ole="">
                  <v:imagedata r:id="rId441" o:title=""/>
                </v:shape>
                <o:OLEObject Type="Embed" ProgID="Equation.DSMT4" ShapeID="_x0000_i1241" DrawAspect="Content" ObjectID="_1706014922" r:id="rId442"/>
              </w:object>
            </w:r>
            <w:r>
              <w:rPr>
                <w:rFonts w:eastAsiaTheme="minorEastAsia" w:cs="Arial"/>
              </w:rPr>
              <w:t xml:space="preserve"> </w:t>
            </w:r>
          </w:p>
          <w:p w14:paraId="621F7B63" w14:textId="77777777" w:rsidR="000F7773" w:rsidRDefault="000F7773" w:rsidP="00DB0816">
            <w:pPr>
              <w:rPr>
                <w:rFonts w:eastAsiaTheme="minorEastAsia" w:cs="Arial"/>
              </w:rPr>
            </w:pPr>
            <w:r w:rsidRPr="002E57C6">
              <w:rPr>
                <w:rFonts w:ascii="Arial" w:eastAsiaTheme="minorEastAsia" w:cs="Arial"/>
                <w:position w:val="-14"/>
                <w:lang w:eastAsia="es-ES"/>
              </w:rPr>
              <w:object w:dxaOrig="2620" w:dyaOrig="440" w14:anchorId="7404917A">
                <v:shape id="_x0000_i1242" type="#_x0000_t75" style="width:128.25pt;height:20.25pt" o:ole="">
                  <v:imagedata r:id="rId443" o:title=""/>
                </v:shape>
                <o:OLEObject Type="Embed" ProgID="Equation.DSMT4" ShapeID="_x0000_i1242" DrawAspect="Content" ObjectID="_1706014923" r:id="rId444"/>
              </w:object>
            </w:r>
            <w:r>
              <w:rPr>
                <w:rFonts w:eastAsiaTheme="minorEastAsia" w:cs="Arial"/>
              </w:rPr>
              <w:t xml:space="preserve"> </w:t>
            </w:r>
          </w:p>
        </w:tc>
        <w:tc>
          <w:tcPr>
            <w:tcW w:w="727" w:type="dxa"/>
          </w:tcPr>
          <w:p w14:paraId="6CCD65D8" w14:textId="77777777" w:rsidR="000F7773" w:rsidRDefault="000F7773" w:rsidP="00DB0816">
            <w:pPr>
              <w:rPr>
                <w:rFonts w:eastAsiaTheme="minorEastAsia" w:cs="Arial"/>
              </w:rPr>
            </w:pPr>
            <w:r w:rsidRPr="0096368F">
              <w:rPr>
                <w:rFonts w:ascii="Arial" w:eastAsiaTheme="minorEastAsia" w:cs="Arial"/>
                <w:position w:val="-10"/>
                <w:lang w:eastAsia="es-ES"/>
              </w:rPr>
              <w:object w:dxaOrig="639" w:dyaOrig="320" w14:anchorId="6E4DFBAA">
                <v:shape id="_x0000_i1243" type="#_x0000_t75" style="width:30.75pt;height:15.75pt" o:ole="">
                  <v:imagedata r:id="rId445" o:title=""/>
                </v:shape>
                <o:OLEObject Type="Embed" ProgID="Equation.DSMT4" ShapeID="_x0000_i1243" DrawAspect="Content" ObjectID="_1706014924" r:id="rId446"/>
              </w:object>
            </w:r>
            <w:r>
              <w:rPr>
                <w:rFonts w:eastAsiaTheme="minorEastAsia" w:cs="Arial"/>
              </w:rPr>
              <w:t xml:space="preserve"> </w:t>
            </w:r>
          </w:p>
        </w:tc>
        <w:tc>
          <w:tcPr>
            <w:tcW w:w="1376" w:type="dxa"/>
          </w:tcPr>
          <w:p w14:paraId="1EC90A5A" w14:textId="77777777" w:rsidR="000F7773" w:rsidRDefault="000F7773" w:rsidP="00DB0816">
            <w:pPr>
              <w:rPr>
                <w:rFonts w:eastAsiaTheme="minorEastAsia" w:cs="Arial"/>
              </w:rPr>
            </w:pPr>
            <w:r w:rsidRPr="003A67EA">
              <w:rPr>
                <w:rFonts w:ascii="Arial" w:eastAsiaTheme="minorEastAsia" w:cs="Arial"/>
                <w:position w:val="-14"/>
                <w:lang w:eastAsia="es-ES"/>
              </w:rPr>
              <w:object w:dxaOrig="880" w:dyaOrig="380" w14:anchorId="40BC9CD2">
                <v:shape id="_x0000_i1244" type="#_x0000_t75" style="width:41.25pt;height:20.25pt" o:ole="">
                  <v:imagedata r:id="rId447" o:title=""/>
                </v:shape>
                <o:OLEObject Type="Embed" ProgID="Equation.DSMT4" ShapeID="_x0000_i1244" DrawAspect="Content" ObjectID="_1706014925" r:id="rId448"/>
              </w:object>
            </w:r>
            <w:r>
              <w:rPr>
                <w:rFonts w:eastAsiaTheme="minorEastAsia" w:cs="Arial"/>
              </w:rPr>
              <w:t xml:space="preserve"> </w:t>
            </w:r>
          </w:p>
        </w:tc>
      </w:tr>
      <w:tr w:rsidR="00A77D30" w14:paraId="1BCC0514" w14:textId="77777777" w:rsidTr="00504B4C">
        <w:trPr>
          <w:trHeight w:val="481"/>
          <w:jc w:val="center"/>
        </w:trPr>
        <w:tc>
          <w:tcPr>
            <w:tcW w:w="1080" w:type="dxa"/>
            <w:tcBorders>
              <w:bottom w:val="single" w:sz="4" w:space="0" w:color="auto"/>
              <w:right w:val="single" w:sz="4" w:space="0" w:color="auto"/>
            </w:tcBorders>
          </w:tcPr>
          <w:p w14:paraId="6A1078AE" w14:textId="6AD4185C" w:rsidR="000F7773" w:rsidRDefault="00A77D30" w:rsidP="00DB0816">
            <w:pPr>
              <w:rPr>
                <w:rFonts w:eastAsiaTheme="minorEastAsia" w:cs="Arial"/>
              </w:rPr>
            </w:pPr>
            <w:r w:rsidRPr="001F394D">
              <w:rPr>
                <w:rFonts w:ascii="Arial" w:eastAsiaTheme="minorEastAsia" w:cs="Arial"/>
                <w:position w:val="-12"/>
                <w:lang w:eastAsia="es-ES"/>
              </w:rPr>
              <w:object w:dxaOrig="1060" w:dyaOrig="360" w14:anchorId="1ED90C11">
                <v:shape id="_x0000_i1245" type="#_x0000_t75" style="width:36pt;height:20.25pt" o:ole="">
                  <v:imagedata r:id="rId449" o:title=""/>
                </v:shape>
                <o:OLEObject Type="Embed" ProgID="Equation.DSMT4" ShapeID="_x0000_i1245" DrawAspect="Content" ObjectID="_1706014926" r:id="rId450"/>
              </w:object>
            </w:r>
            <w:r w:rsidR="000F7773">
              <w:rPr>
                <w:rFonts w:eastAsiaTheme="minorEastAsia" w:cs="Arial"/>
              </w:rPr>
              <w:t xml:space="preserve"> </w:t>
            </w:r>
          </w:p>
        </w:tc>
        <w:tc>
          <w:tcPr>
            <w:tcW w:w="5843" w:type="dxa"/>
            <w:gridSpan w:val="2"/>
            <w:tcBorders>
              <w:left w:val="single" w:sz="4" w:space="0" w:color="auto"/>
              <w:bottom w:val="single" w:sz="4" w:space="0" w:color="auto"/>
            </w:tcBorders>
          </w:tcPr>
          <w:p w14:paraId="14F2AB91" w14:textId="26058CB5" w:rsidR="000F7773" w:rsidRDefault="00504B4C" w:rsidP="00DB0816">
            <w:pPr>
              <w:rPr>
                <w:rFonts w:eastAsiaTheme="minorEastAsia" w:cs="Arial"/>
              </w:rPr>
            </w:pPr>
            <w:r w:rsidRPr="00BB4706">
              <w:rPr>
                <w:rFonts w:ascii="Arial" w:eastAsiaTheme="minorEastAsia" w:cs="Arial"/>
                <w:position w:val="-38"/>
                <w:lang w:eastAsia="es-ES"/>
              </w:rPr>
              <w:object w:dxaOrig="7220" w:dyaOrig="1060" w14:anchorId="07B0B19C">
                <v:shape id="_x0000_i1246" type="#_x0000_t75" style="width:271.5pt;height:51.75pt" o:ole="">
                  <v:imagedata r:id="rId451" o:title=""/>
                </v:shape>
                <o:OLEObject Type="Embed" ProgID="Equation.DSMT4" ShapeID="_x0000_i1246" DrawAspect="Content" ObjectID="_1706014927" r:id="rId452"/>
              </w:object>
            </w:r>
            <w:r w:rsidR="000F7773">
              <w:rPr>
                <w:rFonts w:eastAsiaTheme="minorEastAsia" w:cs="Arial"/>
              </w:rPr>
              <w:t xml:space="preserve"> </w:t>
            </w:r>
          </w:p>
        </w:tc>
        <w:tc>
          <w:tcPr>
            <w:tcW w:w="727" w:type="dxa"/>
            <w:tcBorders>
              <w:bottom w:val="single" w:sz="4" w:space="0" w:color="auto"/>
            </w:tcBorders>
          </w:tcPr>
          <w:p w14:paraId="3CAC92EC" w14:textId="77777777" w:rsidR="000F7773" w:rsidRDefault="000F7773" w:rsidP="00DB0816">
            <w:pPr>
              <w:rPr>
                <w:rFonts w:eastAsiaTheme="minorEastAsia" w:cs="Arial"/>
              </w:rPr>
            </w:pPr>
            <w:r w:rsidRPr="00895A7D">
              <w:rPr>
                <w:rFonts w:ascii="Arial" w:eastAsiaTheme="minorEastAsia" w:cs="Arial"/>
                <w:position w:val="-10"/>
                <w:lang w:eastAsia="es-ES"/>
              </w:rPr>
              <w:object w:dxaOrig="639" w:dyaOrig="320" w14:anchorId="209A6173">
                <v:shape id="_x0000_i1247" type="#_x0000_t75" style="width:30.75pt;height:15.75pt" o:ole="">
                  <v:imagedata r:id="rId453" o:title=""/>
                </v:shape>
                <o:OLEObject Type="Embed" ProgID="Equation.DSMT4" ShapeID="_x0000_i1247" DrawAspect="Content" ObjectID="_1706014928" r:id="rId454"/>
              </w:object>
            </w:r>
            <w:r>
              <w:rPr>
                <w:rFonts w:eastAsiaTheme="minorEastAsia" w:cs="Arial"/>
              </w:rPr>
              <w:t xml:space="preserve"> </w:t>
            </w:r>
          </w:p>
        </w:tc>
        <w:tc>
          <w:tcPr>
            <w:tcW w:w="1376" w:type="dxa"/>
            <w:tcBorders>
              <w:bottom w:val="single" w:sz="4" w:space="0" w:color="auto"/>
            </w:tcBorders>
          </w:tcPr>
          <w:p w14:paraId="438D38E2" w14:textId="77777777" w:rsidR="000F7773" w:rsidRDefault="000F7773" w:rsidP="00DB0816">
            <w:pPr>
              <w:rPr>
                <w:rFonts w:eastAsiaTheme="minorEastAsia" w:cs="Arial"/>
              </w:rPr>
            </w:pPr>
            <w:r w:rsidRPr="00390E63">
              <w:rPr>
                <w:rFonts w:ascii="Arial" w:eastAsiaTheme="minorEastAsia" w:cs="Arial"/>
                <w:position w:val="-14"/>
                <w:lang w:eastAsia="es-ES"/>
              </w:rPr>
              <w:object w:dxaOrig="880" w:dyaOrig="380" w14:anchorId="5D993FF5">
                <v:shape id="_x0000_i1248" type="#_x0000_t75" style="width:41.25pt;height:20.25pt" o:ole="">
                  <v:imagedata r:id="rId455" o:title=""/>
                </v:shape>
                <o:OLEObject Type="Embed" ProgID="Equation.DSMT4" ShapeID="_x0000_i1248" DrawAspect="Content" ObjectID="_1706014929" r:id="rId456"/>
              </w:object>
            </w:r>
            <w:r>
              <w:rPr>
                <w:rFonts w:eastAsiaTheme="minorEastAsia" w:cs="Arial"/>
              </w:rPr>
              <w:t xml:space="preserve"> </w:t>
            </w:r>
          </w:p>
        </w:tc>
      </w:tr>
    </w:tbl>
    <w:p w14:paraId="74BF03F3" w14:textId="2A9C81FA" w:rsidR="000F7773" w:rsidRDefault="000F7773" w:rsidP="000F7773">
      <w:pPr>
        <w:rPr>
          <w:rFonts w:cs="Arial"/>
          <w:sz w:val="18"/>
        </w:rPr>
      </w:pPr>
      <w:r w:rsidRPr="00220F06">
        <w:rPr>
          <w:rFonts w:cs="Arial"/>
          <w:sz w:val="18"/>
        </w:rPr>
        <w:t xml:space="preserve">Fuente: </w:t>
      </w:r>
      <w:r w:rsidRPr="00220F06">
        <w:rPr>
          <w:rFonts w:cs="Arial"/>
          <w:sz w:val="18"/>
        </w:rPr>
        <w:fldChar w:fldCharType="begin" w:fldLock="1"/>
      </w:r>
      <w:r w:rsidR="00475856">
        <w:rPr>
          <w:rFonts w:cs="Arial"/>
          <w:sz w:val="18"/>
        </w:rPr>
        <w:instrText>ADDIN CSL_CITATION {"citationItems":[{"id":"ITEM-1","itemData":{"author":[{"dropping-particle":"","family":"McDonald","given":"Scott","non-dropping-particle":"","parse-names":false,"suffix":""},{"dropping-particle":"","family":"Thierfelder","given":"Karen","non-dropping-particle":"","parse-names":false,"suffix":""}],"id":"ITEM-1","issue":"January","issued":{"date-parts":[["2017"]]},"number-of-pages":"1-89","title":"A Static Applied General Equilibrium Model: Technical Documentation - STAGE_int Version","type":"report"},"uris":["http://www.mendeley.com/documents/?uuid=83316eb5-e8df-4029-aa83-a2c1fd511a0d"]}],"mendeley":{"formattedCitation":"(McDonald &amp; Thierfelder, 2017)","manualFormatting":"McDonald &amp; Thierfelder (2017)","plainTextFormattedCitation":"(McDonald &amp; Thierfelder, 2017)","previouslyFormattedCitation":"(McDonald &amp; Thierfelder, 2017)"},"properties":{"noteIndex":0},"schema":"https://github.com/citation-style-language/schema/raw/master/csl-citation.json"}</w:instrText>
      </w:r>
      <w:r w:rsidRPr="00220F06">
        <w:rPr>
          <w:rFonts w:cs="Arial"/>
          <w:sz w:val="18"/>
        </w:rPr>
        <w:fldChar w:fldCharType="separate"/>
      </w:r>
      <w:r w:rsidRPr="00220F06">
        <w:rPr>
          <w:rFonts w:cs="Arial"/>
          <w:noProof/>
          <w:sz w:val="18"/>
        </w:rPr>
        <w:t>McDonald &amp; Thierfelder (2017)</w:t>
      </w:r>
      <w:r w:rsidRPr="00220F06">
        <w:rPr>
          <w:rFonts w:cs="Arial"/>
          <w:sz w:val="18"/>
        </w:rPr>
        <w:fldChar w:fldCharType="end"/>
      </w:r>
      <w:r w:rsidRPr="00220F06">
        <w:rPr>
          <w:rFonts w:cs="Arial"/>
          <w:sz w:val="18"/>
        </w:rPr>
        <w:t>.</w:t>
      </w:r>
    </w:p>
    <w:p w14:paraId="39DD4D06" w14:textId="299CC369" w:rsidR="000F7773" w:rsidRPr="00A541CE" w:rsidRDefault="000F7773" w:rsidP="00FB4C93">
      <w:pPr>
        <w:spacing w:line="240" w:lineRule="auto"/>
        <w:rPr>
          <w:rFonts w:cs="Arial"/>
        </w:rPr>
      </w:pPr>
      <w:r>
        <w:rPr>
          <w:rFonts w:cs="Arial"/>
        </w:rPr>
        <w:t>Los factores se especifican en la</w:t>
      </w:r>
      <w:r w:rsidR="00104214">
        <w:rPr>
          <w:rFonts w:cs="Arial"/>
        </w:rPr>
        <w:t xml:space="preserve"> </w:t>
      </w:r>
      <w:r w:rsidR="00104214">
        <w:rPr>
          <w:rFonts w:cs="Arial"/>
        </w:rPr>
        <w:fldChar w:fldCharType="begin"/>
      </w:r>
      <w:r w:rsidR="00104214">
        <w:rPr>
          <w:rFonts w:cs="Arial"/>
        </w:rPr>
        <w:instrText xml:space="preserve"> REF _Ref524876061 \h</w:instrText>
      </w:r>
      <w:r w:rsidR="00104214">
        <w:rPr>
          <w:rFonts w:eastAsiaTheme="minorEastAsia" w:cs="Arial"/>
        </w:rPr>
        <w:instrText xml:space="preserve"> </w:instrText>
      </w:r>
      <w:r w:rsidR="00104214">
        <w:instrText>\* lower</w:instrText>
      </w:r>
      <w:r w:rsidR="00104214">
        <w:rPr>
          <w:rFonts w:cs="Arial"/>
        </w:rPr>
        <w:instrText xml:space="preserve"> </w:instrText>
      </w:r>
      <w:r w:rsidR="00104214">
        <w:rPr>
          <w:rFonts w:cs="Arial"/>
        </w:rPr>
      </w:r>
      <w:r w:rsidR="00104214">
        <w:rPr>
          <w:rFonts w:cs="Arial"/>
        </w:rPr>
        <w:fldChar w:fldCharType="separate"/>
      </w:r>
      <w:r w:rsidR="00A95E32">
        <w:t xml:space="preserve">tabla </w:t>
      </w:r>
      <w:r w:rsidR="00A95E32">
        <w:rPr>
          <w:noProof/>
        </w:rPr>
        <w:t>10</w:t>
      </w:r>
      <w:r w:rsidR="00104214">
        <w:rPr>
          <w:rFonts w:cs="Arial"/>
        </w:rPr>
        <w:fldChar w:fldCharType="end"/>
      </w:r>
      <w:r>
        <w:rPr>
          <w:rFonts w:cs="Arial"/>
        </w:rPr>
        <w:t>, como se consigue ver en la primera ecuación, el ingreso de los factores depende de pagos de actividades locales y pagos que se realizan en el extranjero. Posteriormente se descuenta la depreciación y el impuesto a los factores. La participación de los factores hacia las instituciones se hace endógenamente mediante</w:t>
      </w:r>
      <w:r w:rsidRPr="00AC7D27">
        <w:rPr>
          <w:position w:val="-14"/>
        </w:rPr>
        <w:object w:dxaOrig="840" w:dyaOrig="380" w14:anchorId="5B378945">
          <v:shape id="_x0000_i1249" type="#_x0000_t75" style="width:41.25pt;height:20.25pt" o:ole="">
            <v:imagedata r:id="rId457" o:title=""/>
          </v:shape>
          <o:OLEObject Type="Embed" ProgID="Equation.DSMT4" ShapeID="_x0000_i1249" DrawAspect="Content" ObjectID="_1706014930" r:id="rId458"/>
        </w:object>
      </w:r>
      <w:r>
        <w:rPr>
          <w:rFonts w:cs="Arial"/>
        </w:rPr>
        <w:t xml:space="preserve">y los ingresos de cada institución es la multiplicación de esta participación. </w:t>
      </w:r>
    </w:p>
    <w:p w14:paraId="79E0AD8D" w14:textId="50F6F700" w:rsidR="000F7773" w:rsidRPr="00D05295" w:rsidRDefault="000F7773" w:rsidP="000F7773">
      <w:pPr>
        <w:pStyle w:val="Caption"/>
        <w:keepNext/>
      </w:pPr>
      <w:bookmarkStart w:id="98" w:name="_Ref524876061"/>
      <w:bookmarkStart w:id="99" w:name="_Ref524876054"/>
      <w:bookmarkStart w:id="100" w:name="_Toc524946948"/>
      <w:bookmarkStart w:id="101" w:name="_Toc525033952"/>
      <w:bookmarkStart w:id="102" w:name="_Toc526175253"/>
      <w:bookmarkStart w:id="103" w:name="_Toc2853700"/>
      <w:r>
        <w:t xml:space="preserve">Tabla </w:t>
      </w:r>
      <w:r w:rsidR="00F700CF">
        <w:rPr>
          <w:noProof/>
        </w:rPr>
        <w:fldChar w:fldCharType="begin"/>
      </w:r>
      <w:r w:rsidR="00F700CF">
        <w:rPr>
          <w:noProof/>
        </w:rPr>
        <w:instrText xml:space="preserve"> SEQ Tabla \* ARABIC </w:instrText>
      </w:r>
      <w:r w:rsidR="00F700CF">
        <w:rPr>
          <w:noProof/>
        </w:rPr>
        <w:fldChar w:fldCharType="separate"/>
      </w:r>
      <w:r w:rsidR="00A95E32">
        <w:rPr>
          <w:noProof/>
        </w:rPr>
        <w:t>10</w:t>
      </w:r>
      <w:r w:rsidR="00F700CF">
        <w:rPr>
          <w:noProof/>
        </w:rPr>
        <w:fldChar w:fldCharType="end"/>
      </w:r>
      <w:bookmarkEnd w:id="98"/>
      <w:r>
        <w:t xml:space="preserve"> </w:t>
      </w:r>
      <w:r>
        <w:br/>
      </w:r>
      <w:r w:rsidRPr="00DD3484">
        <w:t>Bloque de factores</w:t>
      </w:r>
      <w:bookmarkEnd w:id="99"/>
      <w:bookmarkEnd w:id="100"/>
      <w:bookmarkEnd w:id="101"/>
      <w:bookmarkEnd w:id="102"/>
      <w:bookmarkEnd w:id="103"/>
    </w:p>
    <w:tbl>
      <w:tblPr>
        <w:tblStyle w:val="TableGrid"/>
        <w:tblW w:w="9168"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371"/>
        <w:gridCol w:w="5241"/>
        <w:gridCol w:w="20"/>
        <w:gridCol w:w="1381"/>
        <w:gridCol w:w="1155"/>
      </w:tblGrid>
      <w:tr w:rsidR="000F7773" w14:paraId="7EDB3E26" w14:textId="77777777" w:rsidTr="00A77D30">
        <w:trPr>
          <w:trHeight w:val="607"/>
          <w:jc w:val="center"/>
        </w:trPr>
        <w:tc>
          <w:tcPr>
            <w:tcW w:w="1371" w:type="dxa"/>
            <w:tcBorders>
              <w:bottom w:val="single" w:sz="4" w:space="0" w:color="auto"/>
              <w:right w:val="single" w:sz="4" w:space="0" w:color="auto"/>
            </w:tcBorders>
          </w:tcPr>
          <w:p w14:paraId="3B6EFA47" w14:textId="77777777" w:rsidR="000F7773" w:rsidRPr="00A77D30" w:rsidRDefault="000F7773" w:rsidP="00DB0816">
            <w:pPr>
              <w:rPr>
                <w:rFonts w:ascii="Arial" w:eastAsiaTheme="minorEastAsia" w:cs="Arial"/>
                <w:sz w:val="22"/>
              </w:rPr>
            </w:pPr>
            <w:r w:rsidRPr="00A77D30">
              <w:rPr>
                <w:rFonts w:ascii="Arial" w:eastAsiaTheme="minorEastAsia" w:cs="Arial"/>
                <w:sz w:val="22"/>
              </w:rPr>
              <w:t>Nombre</w:t>
            </w:r>
          </w:p>
        </w:tc>
        <w:tc>
          <w:tcPr>
            <w:tcW w:w="5241" w:type="dxa"/>
            <w:tcBorders>
              <w:left w:val="single" w:sz="4" w:space="0" w:color="auto"/>
              <w:bottom w:val="single" w:sz="4" w:space="0" w:color="auto"/>
            </w:tcBorders>
          </w:tcPr>
          <w:p w14:paraId="2B84399B" w14:textId="77777777" w:rsidR="000F7773" w:rsidRPr="00A77D30" w:rsidRDefault="000F7773" w:rsidP="00DB0816">
            <w:pPr>
              <w:rPr>
                <w:rFonts w:ascii="Arial" w:eastAsiaTheme="minorEastAsia" w:cs="Arial"/>
                <w:sz w:val="22"/>
              </w:rPr>
            </w:pPr>
            <w:r w:rsidRPr="00A77D30">
              <w:rPr>
                <w:rFonts w:ascii="Arial" w:eastAsiaTheme="minorEastAsia" w:cs="Arial"/>
                <w:sz w:val="22"/>
              </w:rPr>
              <w:t xml:space="preserve">Ecuación </w:t>
            </w:r>
          </w:p>
        </w:tc>
        <w:tc>
          <w:tcPr>
            <w:tcW w:w="1401" w:type="dxa"/>
            <w:gridSpan w:val="2"/>
            <w:tcBorders>
              <w:bottom w:val="single" w:sz="4" w:space="0" w:color="auto"/>
            </w:tcBorders>
          </w:tcPr>
          <w:p w14:paraId="0AA2B18C" w14:textId="77777777" w:rsidR="000F7773" w:rsidRPr="00A77D30" w:rsidRDefault="000F7773" w:rsidP="00DB0816">
            <w:pPr>
              <w:rPr>
                <w:rFonts w:ascii="Arial" w:eastAsiaTheme="minorEastAsia" w:cs="Arial"/>
                <w:sz w:val="22"/>
              </w:rPr>
            </w:pPr>
            <w:r w:rsidRPr="00A77D30">
              <w:rPr>
                <w:rFonts w:ascii="Arial" w:eastAsiaTheme="minorEastAsia" w:cs="Arial"/>
                <w:sz w:val="22"/>
              </w:rPr>
              <w:t>Ecuaciones</w:t>
            </w:r>
          </w:p>
        </w:tc>
        <w:tc>
          <w:tcPr>
            <w:tcW w:w="1155" w:type="dxa"/>
            <w:tcBorders>
              <w:bottom w:val="single" w:sz="4" w:space="0" w:color="auto"/>
            </w:tcBorders>
          </w:tcPr>
          <w:p w14:paraId="1E821137" w14:textId="77777777" w:rsidR="000F7773" w:rsidRPr="00A77D30" w:rsidRDefault="000F7773" w:rsidP="00DB0816">
            <w:pPr>
              <w:rPr>
                <w:rFonts w:ascii="Arial" w:eastAsiaTheme="minorEastAsia" w:cs="Arial"/>
                <w:sz w:val="22"/>
              </w:rPr>
            </w:pPr>
            <w:r w:rsidRPr="00A77D30">
              <w:rPr>
                <w:rFonts w:ascii="Arial" w:eastAsiaTheme="minorEastAsia" w:cs="Arial"/>
                <w:sz w:val="22"/>
              </w:rPr>
              <w:t>Variables</w:t>
            </w:r>
          </w:p>
        </w:tc>
      </w:tr>
      <w:tr w:rsidR="000F7773" w14:paraId="455FF0F3" w14:textId="77777777" w:rsidTr="00A77D30">
        <w:trPr>
          <w:trHeight w:val="540"/>
          <w:jc w:val="center"/>
        </w:trPr>
        <w:tc>
          <w:tcPr>
            <w:tcW w:w="1371" w:type="dxa"/>
            <w:tcBorders>
              <w:top w:val="single" w:sz="4" w:space="0" w:color="auto"/>
              <w:right w:val="single" w:sz="4" w:space="0" w:color="auto"/>
            </w:tcBorders>
          </w:tcPr>
          <w:p w14:paraId="3BEC2979" w14:textId="77777777" w:rsidR="000F7773" w:rsidRDefault="000F7773" w:rsidP="00DB0816">
            <w:pPr>
              <w:rPr>
                <w:rFonts w:eastAsiaTheme="minorEastAsia" w:cs="Arial"/>
              </w:rPr>
            </w:pPr>
            <w:r w:rsidRPr="008667F7">
              <w:rPr>
                <w:rFonts w:ascii="Arial" w:eastAsiaTheme="minorEastAsia" w:cs="Arial"/>
                <w:position w:val="-14"/>
                <w:lang w:eastAsia="es-ES"/>
              </w:rPr>
              <w:object w:dxaOrig="740" w:dyaOrig="380" w14:anchorId="7C9A1226">
                <v:shape id="_x0000_i1250" type="#_x0000_t75" style="width:36pt;height:20.25pt" o:ole="">
                  <v:imagedata r:id="rId459" o:title=""/>
                </v:shape>
                <o:OLEObject Type="Embed" ProgID="Equation.DSMT4" ShapeID="_x0000_i1250" DrawAspect="Content" ObjectID="_1706014931" r:id="rId460"/>
              </w:object>
            </w:r>
            <w:r>
              <w:rPr>
                <w:rFonts w:eastAsiaTheme="minorEastAsia" w:cs="Arial"/>
              </w:rPr>
              <w:t xml:space="preserve"> </w:t>
            </w:r>
          </w:p>
        </w:tc>
        <w:tc>
          <w:tcPr>
            <w:tcW w:w="5261" w:type="dxa"/>
            <w:gridSpan w:val="2"/>
            <w:tcBorders>
              <w:top w:val="single" w:sz="4" w:space="0" w:color="auto"/>
              <w:left w:val="single" w:sz="4" w:space="0" w:color="auto"/>
            </w:tcBorders>
          </w:tcPr>
          <w:p w14:paraId="6DFFCF8F" w14:textId="77777777" w:rsidR="000F7773" w:rsidRPr="007704AF" w:rsidRDefault="000F7773" w:rsidP="00DB0816">
            <w:pPr>
              <w:rPr>
                <w:rFonts w:eastAsiaTheme="minorEastAsia" w:cs="Arial"/>
                <w:lang w:val="en-US"/>
              </w:rPr>
            </w:pPr>
            <w:r w:rsidRPr="00696ABF">
              <w:rPr>
                <w:rFonts w:ascii="Arial" w:eastAsiaTheme="minorEastAsia" w:cs="Arial"/>
                <w:position w:val="-30"/>
                <w:lang w:eastAsia="es-ES"/>
              </w:rPr>
              <w:object w:dxaOrig="5340" w:dyaOrig="720" w14:anchorId="3DB74633">
                <v:shape id="_x0000_i1251" type="#_x0000_t75" style="width:252pt;height:36pt" o:ole="">
                  <v:imagedata r:id="rId461" o:title=""/>
                </v:shape>
                <o:OLEObject Type="Embed" ProgID="Equation.DSMT4" ShapeID="_x0000_i1251" DrawAspect="Content" ObjectID="_1706014932" r:id="rId462"/>
              </w:object>
            </w:r>
            <w:r>
              <w:rPr>
                <w:rFonts w:eastAsiaTheme="minorEastAsia" w:cs="Arial"/>
              </w:rPr>
              <w:t xml:space="preserve"> </w:t>
            </w:r>
          </w:p>
        </w:tc>
        <w:tc>
          <w:tcPr>
            <w:tcW w:w="1381" w:type="dxa"/>
            <w:tcBorders>
              <w:top w:val="single" w:sz="4" w:space="0" w:color="auto"/>
            </w:tcBorders>
          </w:tcPr>
          <w:p w14:paraId="09CAA188" w14:textId="215B4A97" w:rsidR="000F7773" w:rsidRDefault="00204B6B" w:rsidP="00DB0816">
            <w:pPr>
              <w:rPr>
                <w:rFonts w:eastAsiaTheme="minorEastAsia" w:cs="Arial"/>
              </w:rPr>
            </w:pPr>
            <w:r w:rsidRPr="00204B6B">
              <w:rPr>
                <w:rFonts w:ascii="Arial" w:eastAsiaTheme="minorEastAsia" w:cs="Arial"/>
                <w:position w:val="-10"/>
                <w:lang w:eastAsia="es-ES"/>
              </w:rPr>
              <w:object w:dxaOrig="240" w:dyaOrig="320" w14:anchorId="7A994BB2">
                <v:shape id="_x0000_i1252" type="#_x0000_t75" style="width:10.5pt;height:15.75pt" o:ole="">
                  <v:imagedata r:id="rId463" o:title=""/>
                </v:shape>
                <o:OLEObject Type="Embed" ProgID="Equation.DSMT4" ShapeID="_x0000_i1252" DrawAspect="Content" ObjectID="_1706014933" r:id="rId464"/>
              </w:object>
            </w:r>
          </w:p>
        </w:tc>
        <w:tc>
          <w:tcPr>
            <w:tcW w:w="1155" w:type="dxa"/>
            <w:tcBorders>
              <w:top w:val="single" w:sz="4" w:space="0" w:color="auto"/>
            </w:tcBorders>
          </w:tcPr>
          <w:p w14:paraId="3DA38632" w14:textId="77777777" w:rsidR="000F7773" w:rsidRDefault="000F7773" w:rsidP="00DB0816">
            <w:pPr>
              <w:rPr>
                <w:rFonts w:eastAsiaTheme="minorEastAsia" w:cs="Arial"/>
              </w:rPr>
            </w:pPr>
            <w:r w:rsidRPr="00FA296B">
              <w:rPr>
                <w:rFonts w:ascii="Arial" w:eastAsiaTheme="minorEastAsia" w:cs="Arial"/>
                <w:position w:val="-14"/>
                <w:lang w:eastAsia="es-ES"/>
              </w:rPr>
              <w:object w:dxaOrig="420" w:dyaOrig="380" w14:anchorId="76E94571">
                <v:shape id="_x0000_i1253" type="#_x0000_t75" style="width:20.25pt;height:20.25pt" o:ole="">
                  <v:imagedata r:id="rId465" o:title=""/>
                </v:shape>
                <o:OLEObject Type="Embed" ProgID="Equation.DSMT4" ShapeID="_x0000_i1253" DrawAspect="Content" ObjectID="_1706014934" r:id="rId466"/>
              </w:object>
            </w:r>
            <w:r>
              <w:rPr>
                <w:rFonts w:eastAsiaTheme="minorEastAsia" w:cs="Arial"/>
              </w:rPr>
              <w:t xml:space="preserve"> </w:t>
            </w:r>
          </w:p>
        </w:tc>
      </w:tr>
      <w:tr w:rsidR="000F7773" w14:paraId="7918CF38" w14:textId="77777777" w:rsidTr="00A77D30">
        <w:trPr>
          <w:trHeight w:val="674"/>
          <w:jc w:val="center"/>
        </w:trPr>
        <w:tc>
          <w:tcPr>
            <w:tcW w:w="1371" w:type="dxa"/>
            <w:tcBorders>
              <w:right w:val="single" w:sz="4" w:space="0" w:color="auto"/>
            </w:tcBorders>
          </w:tcPr>
          <w:p w14:paraId="0CAB6A61" w14:textId="77777777" w:rsidR="000F7773" w:rsidRDefault="000F7773" w:rsidP="00DB0816">
            <w:pPr>
              <w:rPr>
                <w:rFonts w:eastAsiaTheme="minorEastAsia" w:cs="Arial"/>
              </w:rPr>
            </w:pPr>
            <w:r w:rsidRPr="00B03109">
              <w:rPr>
                <w:rFonts w:ascii="Arial" w:eastAsiaTheme="minorEastAsia" w:cs="Arial"/>
                <w:position w:val="-14"/>
                <w:lang w:eastAsia="es-ES"/>
              </w:rPr>
              <w:object w:dxaOrig="1260" w:dyaOrig="380" w14:anchorId="6E19FD1B">
                <v:shape id="_x0000_i1254" type="#_x0000_t75" style="width:66.75pt;height:20.25pt" o:ole="">
                  <v:imagedata r:id="rId467" o:title=""/>
                </v:shape>
                <o:OLEObject Type="Embed" ProgID="Equation.DSMT4" ShapeID="_x0000_i1254" DrawAspect="Content" ObjectID="_1706014935" r:id="rId468"/>
              </w:object>
            </w:r>
            <w:r>
              <w:rPr>
                <w:rFonts w:eastAsiaTheme="minorEastAsia" w:cs="Arial"/>
              </w:rPr>
              <w:t xml:space="preserve"> </w:t>
            </w:r>
          </w:p>
        </w:tc>
        <w:tc>
          <w:tcPr>
            <w:tcW w:w="5261" w:type="dxa"/>
            <w:gridSpan w:val="2"/>
            <w:tcBorders>
              <w:left w:val="single" w:sz="4" w:space="0" w:color="auto"/>
            </w:tcBorders>
          </w:tcPr>
          <w:p w14:paraId="271CC562" w14:textId="77777777" w:rsidR="000F7773" w:rsidRDefault="000F7773" w:rsidP="00DB0816">
            <w:pPr>
              <w:rPr>
                <w:rFonts w:eastAsiaTheme="minorEastAsia" w:cs="Arial"/>
              </w:rPr>
            </w:pPr>
            <w:r w:rsidRPr="00D50290">
              <w:rPr>
                <w:rFonts w:ascii="Arial" w:eastAsiaTheme="minorEastAsia" w:cs="Arial"/>
                <w:position w:val="-14"/>
                <w:lang w:eastAsia="es-ES"/>
              </w:rPr>
              <w:object w:dxaOrig="4220" w:dyaOrig="380" w14:anchorId="760FD4CA">
                <v:shape id="_x0000_i1255" type="#_x0000_t75" style="width:210.75pt;height:20.25pt" o:ole="">
                  <v:imagedata r:id="rId469" o:title=""/>
                </v:shape>
                <o:OLEObject Type="Embed" ProgID="Equation.DSMT4" ShapeID="_x0000_i1255" DrawAspect="Content" ObjectID="_1706014936" r:id="rId470"/>
              </w:object>
            </w:r>
            <w:r>
              <w:rPr>
                <w:rFonts w:eastAsiaTheme="minorEastAsia" w:cs="Arial"/>
              </w:rPr>
              <w:t xml:space="preserve"> </w:t>
            </w:r>
          </w:p>
        </w:tc>
        <w:tc>
          <w:tcPr>
            <w:tcW w:w="1381" w:type="dxa"/>
          </w:tcPr>
          <w:p w14:paraId="15CD18A5" w14:textId="536E1BF6" w:rsidR="000F7773" w:rsidRDefault="00204B6B" w:rsidP="00DB0816">
            <w:pPr>
              <w:rPr>
                <w:rFonts w:eastAsiaTheme="minorEastAsia" w:cs="Arial"/>
              </w:rPr>
            </w:pPr>
            <w:r w:rsidRPr="00AD3683">
              <w:rPr>
                <w:rFonts w:ascii="Arial" w:eastAsiaTheme="minorEastAsia" w:cs="Arial"/>
                <w:position w:val="-10"/>
                <w:lang w:eastAsia="es-ES"/>
              </w:rPr>
              <w:object w:dxaOrig="240" w:dyaOrig="320" w14:anchorId="194C1B2A">
                <v:shape id="_x0000_i1256" type="#_x0000_t75" style="width:10.5pt;height:15.75pt" o:ole="">
                  <v:imagedata r:id="rId471" o:title=""/>
                </v:shape>
                <o:OLEObject Type="Embed" ProgID="Equation.DSMT4" ShapeID="_x0000_i1256" DrawAspect="Content" ObjectID="_1706014937" r:id="rId472"/>
              </w:object>
            </w:r>
          </w:p>
        </w:tc>
        <w:tc>
          <w:tcPr>
            <w:tcW w:w="1155" w:type="dxa"/>
          </w:tcPr>
          <w:p w14:paraId="783735D3" w14:textId="77777777" w:rsidR="000F7773" w:rsidRDefault="000F7773" w:rsidP="00DB0816">
            <w:pPr>
              <w:rPr>
                <w:rFonts w:eastAsiaTheme="minorEastAsia" w:cs="Arial"/>
              </w:rPr>
            </w:pPr>
            <w:r w:rsidRPr="0036011E">
              <w:rPr>
                <w:rFonts w:ascii="Arial" w:eastAsiaTheme="minorEastAsia" w:cs="Arial"/>
                <w:position w:val="-14"/>
                <w:lang w:eastAsia="es-ES"/>
              </w:rPr>
              <w:object w:dxaOrig="920" w:dyaOrig="380" w14:anchorId="72392630">
                <v:shape id="_x0000_i1257" type="#_x0000_t75" style="width:41.25pt;height:20.25pt" o:ole="">
                  <v:imagedata r:id="rId473" o:title=""/>
                </v:shape>
                <o:OLEObject Type="Embed" ProgID="Equation.DSMT4" ShapeID="_x0000_i1257" DrawAspect="Content" ObjectID="_1706014938" r:id="rId474"/>
              </w:object>
            </w:r>
            <w:r>
              <w:rPr>
                <w:rFonts w:eastAsiaTheme="minorEastAsia" w:cs="Arial"/>
              </w:rPr>
              <w:t xml:space="preserve"> </w:t>
            </w:r>
          </w:p>
        </w:tc>
      </w:tr>
      <w:tr w:rsidR="000F7773" w14:paraId="40E1292B" w14:textId="77777777" w:rsidTr="00A77D30">
        <w:trPr>
          <w:trHeight w:val="501"/>
          <w:jc w:val="center"/>
        </w:trPr>
        <w:tc>
          <w:tcPr>
            <w:tcW w:w="1371" w:type="dxa"/>
            <w:tcBorders>
              <w:right w:val="single" w:sz="4" w:space="0" w:color="auto"/>
            </w:tcBorders>
          </w:tcPr>
          <w:p w14:paraId="47D28304" w14:textId="77777777" w:rsidR="000F7773" w:rsidRDefault="000F7773" w:rsidP="00DB0816">
            <w:pPr>
              <w:rPr>
                <w:rFonts w:eastAsiaTheme="minorEastAsia" w:cs="Arial"/>
              </w:rPr>
            </w:pPr>
          </w:p>
        </w:tc>
        <w:tc>
          <w:tcPr>
            <w:tcW w:w="5261" w:type="dxa"/>
            <w:gridSpan w:val="2"/>
            <w:tcBorders>
              <w:left w:val="single" w:sz="4" w:space="0" w:color="auto"/>
            </w:tcBorders>
          </w:tcPr>
          <w:p w14:paraId="71F90B0A" w14:textId="77777777" w:rsidR="000F7773" w:rsidRDefault="000F7773" w:rsidP="00DB0816">
            <w:pPr>
              <w:tabs>
                <w:tab w:val="left" w:pos="980"/>
              </w:tabs>
              <w:rPr>
                <w:rFonts w:eastAsiaTheme="minorEastAsia" w:cs="Arial"/>
              </w:rPr>
            </w:pPr>
            <w:r w:rsidRPr="005D0E38">
              <w:rPr>
                <w:rFonts w:ascii="Arial" w:eastAsiaTheme="minorEastAsia" w:cs="Arial"/>
                <w:position w:val="-46"/>
                <w:lang w:eastAsia="es-ES"/>
              </w:rPr>
              <w:object w:dxaOrig="2520" w:dyaOrig="880" w14:anchorId="157AEF3C">
                <v:shape id="_x0000_i1258" type="#_x0000_t75" style="width:128.25pt;height:41.25pt" o:ole="">
                  <v:imagedata r:id="rId475" o:title=""/>
                </v:shape>
                <o:OLEObject Type="Embed" ProgID="Equation.DSMT4" ShapeID="_x0000_i1258" DrawAspect="Content" ObjectID="_1706014939" r:id="rId476"/>
              </w:object>
            </w:r>
            <w:r>
              <w:rPr>
                <w:rFonts w:eastAsiaTheme="minorEastAsia" w:cs="Arial"/>
              </w:rPr>
              <w:t xml:space="preserve"> </w:t>
            </w:r>
            <w:r>
              <w:rPr>
                <w:rFonts w:eastAsiaTheme="minorEastAsia" w:cs="Arial"/>
              </w:rPr>
              <w:tab/>
            </w:r>
          </w:p>
        </w:tc>
        <w:tc>
          <w:tcPr>
            <w:tcW w:w="1381" w:type="dxa"/>
          </w:tcPr>
          <w:p w14:paraId="7A296F9F" w14:textId="45A79D86" w:rsidR="000F7773" w:rsidRDefault="000F7773" w:rsidP="00DB0816">
            <w:pPr>
              <w:rPr>
                <w:rFonts w:eastAsiaTheme="minorEastAsia" w:cs="Arial"/>
              </w:rPr>
            </w:pPr>
          </w:p>
        </w:tc>
        <w:tc>
          <w:tcPr>
            <w:tcW w:w="1155" w:type="dxa"/>
          </w:tcPr>
          <w:p w14:paraId="22AC23AB" w14:textId="0A5C03BA" w:rsidR="000F7773" w:rsidRDefault="000F7773" w:rsidP="00DB0816">
            <w:pPr>
              <w:rPr>
                <w:rFonts w:eastAsiaTheme="minorEastAsia" w:cs="Arial"/>
              </w:rPr>
            </w:pPr>
          </w:p>
        </w:tc>
      </w:tr>
      <w:tr w:rsidR="000F7773" w14:paraId="2173C27B" w14:textId="77777777" w:rsidTr="00A77D30">
        <w:trPr>
          <w:trHeight w:val="501"/>
          <w:jc w:val="center"/>
        </w:trPr>
        <w:tc>
          <w:tcPr>
            <w:tcW w:w="1371" w:type="dxa"/>
            <w:tcBorders>
              <w:bottom w:val="single" w:sz="4" w:space="0" w:color="auto"/>
              <w:right w:val="single" w:sz="4" w:space="0" w:color="auto"/>
            </w:tcBorders>
          </w:tcPr>
          <w:p w14:paraId="18F52C7E" w14:textId="77777777" w:rsidR="000F7773" w:rsidRDefault="000F7773" w:rsidP="00DB0816">
            <w:pPr>
              <w:rPr>
                <w:rFonts w:eastAsiaTheme="minorEastAsia" w:cs="Arial"/>
              </w:rPr>
            </w:pPr>
          </w:p>
        </w:tc>
        <w:tc>
          <w:tcPr>
            <w:tcW w:w="5261" w:type="dxa"/>
            <w:gridSpan w:val="2"/>
            <w:tcBorders>
              <w:left w:val="single" w:sz="4" w:space="0" w:color="auto"/>
              <w:bottom w:val="single" w:sz="4" w:space="0" w:color="auto"/>
            </w:tcBorders>
          </w:tcPr>
          <w:p w14:paraId="10B89766" w14:textId="77777777" w:rsidR="000F7773" w:rsidRDefault="000F7773" w:rsidP="00DB0816">
            <w:pPr>
              <w:rPr>
                <w:rFonts w:eastAsiaTheme="minorEastAsia" w:cs="Arial"/>
              </w:rPr>
            </w:pPr>
            <w:r w:rsidRPr="00E243C5">
              <w:rPr>
                <w:rFonts w:ascii="Arial" w:eastAsiaTheme="minorEastAsia" w:cs="Arial"/>
                <w:position w:val="-14"/>
                <w:lang w:eastAsia="es-ES"/>
              </w:rPr>
              <w:object w:dxaOrig="3800" w:dyaOrig="380" w14:anchorId="6B2FBD65">
                <v:shape id="_x0000_i1259" type="#_x0000_t75" style="width:185.25pt;height:20.25pt" o:ole="">
                  <v:imagedata r:id="rId477" o:title=""/>
                </v:shape>
                <o:OLEObject Type="Embed" ProgID="Equation.DSMT4" ShapeID="_x0000_i1259" DrawAspect="Content" ObjectID="_1706014940" r:id="rId478"/>
              </w:object>
            </w:r>
            <w:r>
              <w:rPr>
                <w:rFonts w:eastAsiaTheme="minorEastAsia" w:cs="Arial"/>
              </w:rPr>
              <w:t xml:space="preserve"> </w:t>
            </w:r>
          </w:p>
        </w:tc>
        <w:tc>
          <w:tcPr>
            <w:tcW w:w="1381" w:type="dxa"/>
            <w:tcBorders>
              <w:bottom w:val="single" w:sz="4" w:space="0" w:color="auto"/>
            </w:tcBorders>
          </w:tcPr>
          <w:p w14:paraId="1494CB52" w14:textId="77777777" w:rsidR="000F7773" w:rsidRDefault="000F7773" w:rsidP="00DB0816">
            <w:pPr>
              <w:rPr>
                <w:rFonts w:eastAsiaTheme="minorEastAsia" w:cs="Arial"/>
              </w:rPr>
            </w:pPr>
          </w:p>
        </w:tc>
        <w:tc>
          <w:tcPr>
            <w:tcW w:w="1155" w:type="dxa"/>
            <w:tcBorders>
              <w:bottom w:val="single" w:sz="4" w:space="0" w:color="auto"/>
            </w:tcBorders>
          </w:tcPr>
          <w:p w14:paraId="2B48C329" w14:textId="77777777" w:rsidR="000F7773" w:rsidRDefault="000F7773" w:rsidP="00DB0816">
            <w:pPr>
              <w:rPr>
                <w:rFonts w:eastAsiaTheme="minorEastAsia" w:cs="Arial"/>
              </w:rPr>
            </w:pPr>
          </w:p>
        </w:tc>
      </w:tr>
    </w:tbl>
    <w:p w14:paraId="0D26DB96" w14:textId="6CA87B02" w:rsidR="000F7773" w:rsidRPr="00700471" w:rsidRDefault="000F7773" w:rsidP="000F7773">
      <w:pPr>
        <w:rPr>
          <w:rFonts w:cs="Arial"/>
          <w:sz w:val="18"/>
        </w:rPr>
      </w:pPr>
      <w:r w:rsidRPr="00220F06">
        <w:rPr>
          <w:rFonts w:cs="Arial"/>
          <w:sz w:val="18"/>
        </w:rPr>
        <w:lastRenderedPageBreak/>
        <w:t xml:space="preserve">Fuente: </w:t>
      </w:r>
      <w:r w:rsidRPr="00220F06">
        <w:rPr>
          <w:rFonts w:cs="Arial"/>
          <w:sz w:val="18"/>
        </w:rPr>
        <w:fldChar w:fldCharType="begin" w:fldLock="1"/>
      </w:r>
      <w:r w:rsidR="00475856">
        <w:rPr>
          <w:rFonts w:cs="Arial"/>
          <w:sz w:val="18"/>
        </w:rPr>
        <w:instrText>ADDIN CSL_CITATION {"citationItems":[{"id":"ITEM-1","itemData":{"author":[{"dropping-particle":"","family":"McDonald","given":"Scott","non-dropping-particle":"","parse-names":false,"suffix":""},{"dropping-particle":"","family":"Thierfelder","given":"Karen","non-dropping-particle":"","parse-names":false,"suffix":""}],"id":"ITEM-1","issue":"January","issued":{"date-parts":[["2017"]]},"number-of-pages":"1-89","title":"A Static Applied General Equilibrium Model: Technical Documentation - STAGE_int Version","type":"report"},"uris":["http://www.mendeley.com/documents/?uuid=83316eb5-e8df-4029-aa83-a2c1fd511a0d"]}],"mendeley":{"formattedCitation":"(McDonald &amp; Thierfelder, 2017)","manualFormatting":"McDonald &amp; Thierfelder (2017)","plainTextFormattedCitation":"(McDonald &amp; Thierfelder, 2017)","previouslyFormattedCitation":"(McDonald &amp; Thierfelder, 2017)"},"properties":{"noteIndex":0},"schema":"https://github.com/citation-style-language/schema/raw/master/csl-citation.json"}</w:instrText>
      </w:r>
      <w:r w:rsidRPr="00220F06">
        <w:rPr>
          <w:rFonts w:cs="Arial"/>
          <w:sz w:val="18"/>
        </w:rPr>
        <w:fldChar w:fldCharType="separate"/>
      </w:r>
      <w:r w:rsidRPr="00220F06">
        <w:rPr>
          <w:rFonts w:cs="Arial"/>
          <w:noProof/>
          <w:sz w:val="18"/>
        </w:rPr>
        <w:t>McDonald &amp; Thierfelder (2017)</w:t>
      </w:r>
      <w:r w:rsidRPr="00220F06">
        <w:rPr>
          <w:rFonts w:cs="Arial"/>
          <w:sz w:val="18"/>
        </w:rPr>
        <w:fldChar w:fldCharType="end"/>
      </w:r>
      <w:r w:rsidRPr="00220F06">
        <w:rPr>
          <w:rFonts w:cs="Arial"/>
          <w:sz w:val="18"/>
        </w:rPr>
        <w:t>.</w:t>
      </w:r>
    </w:p>
    <w:p w14:paraId="18EC3B5A" w14:textId="17721FB2" w:rsidR="000F7773" w:rsidRDefault="000F7773" w:rsidP="00FB4C93">
      <w:pPr>
        <w:spacing w:line="240" w:lineRule="auto"/>
        <w:rPr>
          <w:rFonts w:eastAsiaTheme="minorEastAsia" w:cs="Arial"/>
        </w:rPr>
      </w:pPr>
      <w:r>
        <w:rPr>
          <w:rFonts w:eastAsiaTheme="minorEastAsia" w:cs="Arial"/>
        </w:rPr>
        <w:t>El comportamiento de los hogares puede observarse en la</w:t>
      </w:r>
      <w:r w:rsidR="00104214">
        <w:rPr>
          <w:rFonts w:eastAsiaTheme="minorEastAsia" w:cs="Arial"/>
        </w:rPr>
        <w:t xml:space="preserve"> </w:t>
      </w:r>
      <w:r w:rsidR="00104214">
        <w:rPr>
          <w:rFonts w:eastAsiaTheme="minorEastAsia" w:cs="Arial"/>
        </w:rPr>
        <w:fldChar w:fldCharType="begin"/>
      </w:r>
      <w:r w:rsidR="00104214">
        <w:rPr>
          <w:rFonts w:eastAsiaTheme="minorEastAsia" w:cs="Arial"/>
        </w:rPr>
        <w:instrText xml:space="preserve"> REF _Ref524876244 \h </w:instrText>
      </w:r>
      <w:r w:rsidR="00104214">
        <w:instrText>\* lower</w:instrText>
      </w:r>
      <w:r w:rsidR="00104214">
        <w:rPr>
          <w:rFonts w:eastAsiaTheme="minorEastAsia" w:cs="Arial"/>
        </w:rPr>
        <w:instrText xml:space="preserve"> </w:instrText>
      </w:r>
      <w:r w:rsidR="00104214">
        <w:rPr>
          <w:rFonts w:eastAsiaTheme="minorEastAsia" w:cs="Arial"/>
        </w:rPr>
      </w:r>
      <w:r w:rsidR="00104214">
        <w:rPr>
          <w:rFonts w:eastAsiaTheme="minorEastAsia" w:cs="Arial"/>
        </w:rPr>
        <w:fldChar w:fldCharType="separate"/>
      </w:r>
      <w:r w:rsidR="00A95E32">
        <w:t xml:space="preserve">tabla </w:t>
      </w:r>
      <w:r w:rsidR="00A95E32">
        <w:rPr>
          <w:noProof/>
        </w:rPr>
        <w:t>11</w:t>
      </w:r>
      <w:r w:rsidR="00104214">
        <w:rPr>
          <w:rFonts w:eastAsiaTheme="minorEastAsia" w:cs="Arial"/>
        </w:rPr>
        <w:fldChar w:fldCharType="end"/>
      </w:r>
      <w:r>
        <w:rPr>
          <w:rFonts w:eastAsiaTheme="minorEastAsia" w:cs="Arial"/>
        </w:rPr>
        <w:t xml:space="preserve">, los cuales reciben su ingreso por: alquiler y venta de factores,  </w:t>
      </w:r>
      <m:oMath>
        <m:sSub>
          <m:sSubPr>
            <m:ctrlPr>
              <w:rPr>
                <w:rFonts w:ascii="Cambria Math" w:eastAsiaTheme="minorEastAsia" w:hAnsi="Cambria Math" w:cs="Arial"/>
                <w:i/>
              </w:rPr>
            </m:ctrlPr>
          </m:sSubPr>
          <m:e>
            <m:r>
              <w:rPr>
                <w:rFonts w:ascii="Cambria Math" w:eastAsiaTheme="minorEastAsia" w:hAnsi="Cambria Math" w:cs="Arial"/>
              </w:rPr>
              <m:t>hovash</m:t>
            </m:r>
          </m:e>
          <m:sub>
            <m:r>
              <w:rPr>
                <w:rFonts w:ascii="Cambria Math" w:eastAsiaTheme="minorEastAsia" w:hAnsi="Cambria Math" w:cs="Arial"/>
              </w:rPr>
              <m:t>h,f</m:t>
            </m:r>
          </m:sub>
        </m:sSub>
      </m:oMath>
      <w:r>
        <w:rPr>
          <w:rFonts w:eastAsiaTheme="minorEastAsia" w:cs="Arial"/>
        </w:rPr>
        <w:t xml:space="preserve">, transferencias entre hogares, </w:t>
      </w:r>
      <m:oMath>
        <m:sSub>
          <m:sSubPr>
            <m:ctrlPr>
              <w:rPr>
                <w:rFonts w:ascii="Cambria Math" w:eastAsiaTheme="minorEastAsia" w:hAnsi="Cambria Math" w:cs="Arial"/>
                <w:i/>
              </w:rPr>
            </m:ctrlPr>
          </m:sSubPr>
          <m:e>
            <m:r>
              <w:rPr>
                <w:rFonts w:ascii="Cambria Math" w:eastAsiaTheme="minorEastAsia" w:hAnsi="Cambria Math" w:cs="Arial"/>
              </w:rPr>
              <m:t>HOHO</m:t>
            </m:r>
          </m:e>
          <m:sub>
            <m:r>
              <w:rPr>
                <w:rFonts w:ascii="Cambria Math" w:eastAsiaTheme="minorEastAsia" w:hAnsi="Cambria Math" w:cs="Arial"/>
              </w:rPr>
              <m:t>h,h</m:t>
            </m:r>
          </m:sub>
        </m:sSub>
      </m:oMath>
      <w:r>
        <w:rPr>
          <w:rFonts w:eastAsiaTheme="minorEastAsia" w:cs="Arial"/>
        </w:rPr>
        <w:t xml:space="preserve">, transferencias por empresas, </w:t>
      </w:r>
      <m:oMath>
        <m:sSub>
          <m:sSubPr>
            <m:ctrlPr>
              <w:rPr>
                <w:rFonts w:ascii="Cambria Math" w:eastAsiaTheme="minorEastAsia" w:hAnsi="Cambria Math" w:cs="Arial"/>
                <w:i/>
              </w:rPr>
            </m:ctrlPr>
          </m:sSubPr>
          <m:e>
            <m:r>
              <w:rPr>
                <w:rFonts w:ascii="Cambria Math" w:eastAsiaTheme="minorEastAsia" w:hAnsi="Cambria Math" w:cs="Arial"/>
              </w:rPr>
              <m:t>HOENT</m:t>
            </m:r>
          </m:e>
          <m:sub>
            <m:r>
              <w:rPr>
                <w:rFonts w:ascii="Cambria Math" w:eastAsiaTheme="minorEastAsia" w:hAnsi="Cambria Math" w:cs="Arial"/>
              </w:rPr>
              <m:t>h,e</m:t>
            </m:r>
          </m:sub>
        </m:sSub>
      </m:oMath>
      <w:r>
        <w:rPr>
          <w:rFonts w:eastAsiaTheme="minorEastAsia" w:cs="Arial"/>
        </w:rPr>
        <w:t xml:space="preserve">, gobierno, </w:t>
      </w:r>
      <m:oMath>
        <m:sSub>
          <m:sSubPr>
            <m:ctrlPr>
              <w:rPr>
                <w:rFonts w:ascii="Cambria Math" w:eastAsiaTheme="minorEastAsia" w:hAnsi="Cambria Math" w:cs="Arial"/>
                <w:i/>
              </w:rPr>
            </m:ctrlPr>
          </m:sSubPr>
          <m:e>
            <m:r>
              <w:rPr>
                <w:rFonts w:ascii="Cambria Math" w:eastAsiaTheme="minorEastAsia" w:hAnsi="Cambria Math" w:cs="Arial"/>
              </w:rPr>
              <m:t>hogovconst</m:t>
            </m:r>
          </m:e>
          <m:sub>
            <m:r>
              <w:rPr>
                <w:rFonts w:ascii="Cambria Math" w:eastAsiaTheme="minorEastAsia" w:hAnsi="Cambria Math" w:cs="Arial"/>
              </w:rPr>
              <m:t>h</m:t>
            </m:r>
          </m:sub>
        </m:sSub>
      </m:oMath>
      <w:r>
        <w:rPr>
          <w:rFonts w:eastAsiaTheme="minorEastAsia" w:cs="Arial"/>
        </w:rPr>
        <w:t xml:space="preserve">, y remesas del resto del mundo, </w:t>
      </w:r>
      <m:oMath>
        <m:sSub>
          <m:sSubPr>
            <m:ctrlPr>
              <w:rPr>
                <w:rFonts w:ascii="Cambria Math" w:eastAsiaTheme="minorEastAsia" w:hAnsi="Cambria Math" w:cs="Arial"/>
                <w:i/>
              </w:rPr>
            </m:ctrlPr>
          </m:sSubPr>
          <m:e>
            <m:r>
              <w:rPr>
                <w:rFonts w:ascii="Cambria Math" w:eastAsiaTheme="minorEastAsia" w:hAnsi="Cambria Math" w:cs="Arial"/>
              </w:rPr>
              <m:t>howor</m:t>
            </m:r>
          </m:e>
          <m:sub>
            <m:r>
              <w:rPr>
                <w:rFonts w:ascii="Cambria Math" w:eastAsiaTheme="minorEastAsia" w:hAnsi="Cambria Math" w:cs="Arial"/>
              </w:rPr>
              <m:t>h</m:t>
            </m:r>
          </m:sub>
        </m:sSub>
      </m:oMath>
      <w:r>
        <w:rPr>
          <w:rFonts w:eastAsiaTheme="minorEastAsia" w:cs="Arial"/>
        </w:rPr>
        <w:t xml:space="preserve">, siendo determinadas en moneda extranjera. El gasto de los hogares consiste en pago de impuesto de renta, </w:t>
      </w:r>
      <m:oMath>
        <m:sSub>
          <m:sSubPr>
            <m:ctrlPr>
              <w:rPr>
                <w:rFonts w:ascii="Cambria Math" w:eastAsiaTheme="minorEastAsia" w:hAnsi="Cambria Math" w:cs="Arial"/>
                <w:i/>
              </w:rPr>
            </m:ctrlPr>
          </m:sSubPr>
          <m:e>
            <m:r>
              <w:rPr>
                <w:rFonts w:ascii="Cambria Math" w:eastAsiaTheme="minorEastAsia" w:hAnsi="Cambria Math" w:cs="Arial"/>
              </w:rPr>
              <m:t>TY</m:t>
            </m:r>
          </m:e>
          <m:sub>
            <m:r>
              <w:rPr>
                <w:rFonts w:ascii="Cambria Math" w:eastAsiaTheme="minorEastAsia" w:hAnsi="Cambria Math" w:cs="Arial"/>
              </w:rPr>
              <m:t>h</m:t>
            </m:r>
          </m:sub>
        </m:sSub>
        <m:r>
          <w:rPr>
            <w:rFonts w:ascii="Cambria Math" w:eastAsiaTheme="minorEastAsia" w:hAnsi="Cambria Math" w:cs="Arial"/>
          </w:rPr>
          <m:t>,</m:t>
        </m:r>
      </m:oMath>
      <w:r>
        <w:rPr>
          <w:rFonts w:eastAsiaTheme="minorEastAsia" w:cs="Arial"/>
        </w:rPr>
        <w:t xml:space="preserve"> después de reducir el ahorro, siendo la tasa de ahorro </w:t>
      </w:r>
      <m:oMath>
        <m:sSub>
          <m:sSubPr>
            <m:ctrlPr>
              <w:rPr>
                <w:rFonts w:ascii="Cambria Math" w:eastAsiaTheme="minorEastAsia" w:hAnsi="Cambria Math" w:cs="Arial"/>
                <w:i/>
              </w:rPr>
            </m:ctrlPr>
          </m:sSubPr>
          <m:e>
            <m:r>
              <w:rPr>
                <w:rFonts w:ascii="Cambria Math" w:eastAsiaTheme="minorEastAsia" w:hAnsi="Cambria Math" w:cs="Arial"/>
              </w:rPr>
              <m:t>SHH</m:t>
            </m:r>
          </m:e>
          <m:sub>
            <m:r>
              <w:rPr>
                <w:rFonts w:ascii="Cambria Math" w:eastAsiaTheme="minorEastAsia" w:hAnsi="Cambria Math" w:cs="Arial"/>
              </w:rPr>
              <m:t>h</m:t>
            </m:r>
          </m:sub>
        </m:sSub>
      </m:oMath>
      <w:r>
        <w:rPr>
          <w:rFonts w:eastAsiaTheme="minorEastAsia" w:cs="Arial"/>
        </w:rPr>
        <w:t>. El ingreso residual de los hogares es dividido entre transferencias de los hogares y gasto en consumo, siendo este último determinado mediante la función de utilidad del tipo Stone-Gary en la ecuación</w:t>
      </w:r>
      <w:r w:rsidRPr="009B744D">
        <w:rPr>
          <w:position w:val="-12"/>
        </w:rPr>
        <w:object w:dxaOrig="960" w:dyaOrig="360" w14:anchorId="2181C1C8">
          <v:shape id="_x0000_i1260" type="#_x0000_t75" style="width:41.25pt;height:20.25pt" o:ole="">
            <v:imagedata r:id="rId479" o:title=""/>
          </v:shape>
          <o:OLEObject Type="Embed" ProgID="Equation.DSMT4" ShapeID="_x0000_i1260" DrawAspect="Content" ObjectID="_1706014941" r:id="rId480"/>
        </w:object>
      </w:r>
      <w:r>
        <w:rPr>
          <w:rFonts w:eastAsiaTheme="minorEastAsia" w:cs="Arial"/>
        </w:rPr>
        <w:t>.</w:t>
      </w:r>
    </w:p>
    <w:p w14:paraId="39ADB919" w14:textId="4EBBF3A6" w:rsidR="000F7773" w:rsidRPr="00B9345A" w:rsidRDefault="000F7773" w:rsidP="000F7773">
      <w:pPr>
        <w:pStyle w:val="Caption"/>
        <w:rPr>
          <w:b w:val="0"/>
        </w:rPr>
      </w:pPr>
      <w:bookmarkStart w:id="104" w:name="_Ref524876244"/>
      <w:bookmarkStart w:id="105" w:name="_Toc524946949"/>
      <w:bookmarkStart w:id="106" w:name="_Toc525033953"/>
      <w:bookmarkStart w:id="107" w:name="_Toc526175254"/>
      <w:bookmarkStart w:id="108" w:name="_Toc2853701"/>
      <w:r>
        <w:t xml:space="preserve">Tabla </w:t>
      </w:r>
      <w:r w:rsidR="00F700CF">
        <w:rPr>
          <w:noProof/>
        </w:rPr>
        <w:fldChar w:fldCharType="begin"/>
      </w:r>
      <w:r w:rsidR="00F700CF">
        <w:rPr>
          <w:noProof/>
        </w:rPr>
        <w:instrText xml:space="preserve"> SEQ Tabla \* ARABIC </w:instrText>
      </w:r>
      <w:r w:rsidR="00F700CF">
        <w:rPr>
          <w:noProof/>
        </w:rPr>
        <w:fldChar w:fldCharType="separate"/>
      </w:r>
      <w:r w:rsidR="00A95E32">
        <w:rPr>
          <w:noProof/>
        </w:rPr>
        <w:t>11</w:t>
      </w:r>
      <w:r w:rsidR="00F700CF">
        <w:rPr>
          <w:noProof/>
        </w:rPr>
        <w:fldChar w:fldCharType="end"/>
      </w:r>
      <w:bookmarkEnd w:id="104"/>
      <w:r>
        <w:t xml:space="preserve"> </w:t>
      </w:r>
      <w:r>
        <w:br/>
      </w:r>
      <w:r w:rsidRPr="007A164F">
        <w:t xml:space="preserve">Bloque de </w:t>
      </w:r>
      <w:bookmarkEnd w:id="105"/>
      <w:r w:rsidR="00874689">
        <w:t>hogares</w:t>
      </w:r>
      <w:bookmarkEnd w:id="106"/>
      <w:bookmarkEnd w:id="107"/>
      <w:bookmarkEnd w:id="108"/>
    </w:p>
    <w:tbl>
      <w:tblPr>
        <w:tblStyle w:val="TableGrid"/>
        <w:tblW w:w="9026"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350"/>
        <w:gridCol w:w="5040"/>
        <w:gridCol w:w="180"/>
        <w:gridCol w:w="1260"/>
        <w:gridCol w:w="137"/>
        <w:gridCol w:w="1059"/>
      </w:tblGrid>
      <w:tr w:rsidR="000F7773" w:rsidRPr="00504B4C" w14:paraId="7A20CE1B" w14:textId="77777777" w:rsidTr="00504B4C">
        <w:trPr>
          <w:trHeight w:val="510"/>
          <w:jc w:val="center"/>
        </w:trPr>
        <w:tc>
          <w:tcPr>
            <w:tcW w:w="1350" w:type="dxa"/>
            <w:tcBorders>
              <w:bottom w:val="single" w:sz="4" w:space="0" w:color="auto"/>
              <w:right w:val="single" w:sz="4" w:space="0" w:color="auto"/>
            </w:tcBorders>
          </w:tcPr>
          <w:p w14:paraId="58A2BFE9" w14:textId="77777777" w:rsidR="000F7773" w:rsidRPr="00504B4C" w:rsidRDefault="000F7773" w:rsidP="00DB0816">
            <w:pPr>
              <w:rPr>
                <w:rFonts w:ascii="Arial" w:eastAsiaTheme="minorEastAsia" w:cs="Arial"/>
                <w:sz w:val="22"/>
              </w:rPr>
            </w:pPr>
            <w:r w:rsidRPr="00504B4C">
              <w:rPr>
                <w:rFonts w:ascii="Arial" w:eastAsiaTheme="minorEastAsia" w:cs="Arial"/>
                <w:sz w:val="22"/>
              </w:rPr>
              <w:t xml:space="preserve"> Nombre</w:t>
            </w:r>
          </w:p>
        </w:tc>
        <w:tc>
          <w:tcPr>
            <w:tcW w:w="5040" w:type="dxa"/>
            <w:tcBorders>
              <w:left w:val="single" w:sz="4" w:space="0" w:color="auto"/>
              <w:bottom w:val="single" w:sz="4" w:space="0" w:color="auto"/>
            </w:tcBorders>
          </w:tcPr>
          <w:p w14:paraId="76A92096" w14:textId="77777777" w:rsidR="000F7773" w:rsidRPr="00504B4C" w:rsidRDefault="000F7773" w:rsidP="00DB0816">
            <w:pPr>
              <w:rPr>
                <w:rFonts w:ascii="Arial" w:eastAsiaTheme="minorEastAsia" w:cs="Arial"/>
                <w:sz w:val="22"/>
              </w:rPr>
            </w:pPr>
            <w:r w:rsidRPr="00504B4C">
              <w:rPr>
                <w:rFonts w:ascii="Arial" w:eastAsiaTheme="minorEastAsia" w:cs="Arial"/>
                <w:sz w:val="22"/>
              </w:rPr>
              <w:t xml:space="preserve">Ecuación </w:t>
            </w:r>
          </w:p>
        </w:tc>
        <w:tc>
          <w:tcPr>
            <w:tcW w:w="1440" w:type="dxa"/>
            <w:gridSpan w:val="2"/>
            <w:tcBorders>
              <w:bottom w:val="single" w:sz="4" w:space="0" w:color="auto"/>
            </w:tcBorders>
          </w:tcPr>
          <w:p w14:paraId="51541D9E" w14:textId="1E50E479" w:rsidR="000F7773" w:rsidRPr="00504B4C" w:rsidRDefault="000F7773" w:rsidP="00DB0816">
            <w:pPr>
              <w:rPr>
                <w:rFonts w:ascii="Arial" w:eastAsiaTheme="minorEastAsia" w:cs="Arial"/>
                <w:sz w:val="22"/>
              </w:rPr>
            </w:pPr>
            <w:r w:rsidRPr="00504B4C">
              <w:rPr>
                <w:rFonts w:ascii="Arial" w:eastAsiaTheme="minorEastAsia" w:cs="Arial"/>
                <w:sz w:val="22"/>
              </w:rPr>
              <w:t>Ecuacione</w:t>
            </w:r>
            <w:r w:rsidR="00504B4C" w:rsidRPr="00504B4C">
              <w:rPr>
                <w:rFonts w:ascii="Arial" w:eastAsiaTheme="minorEastAsia" w:cs="Arial"/>
                <w:sz w:val="22"/>
              </w:rPr>
              <w:t>s</w:t>
            </w:r>
          </w:p>
        </w:tc>
        <w:tc>
          <w:tcPr>
            <w:tcW w:w="1196" w:type="dxa"/>
            <w:gridSpan w:val="2"/>
            <w:tcBorders>
              <w:bottom w:val="single" w:sz="4" w:space="0" w:color="auto"/>
            </w:tcBorders>
          </w:tcPr>
          <w:p w14:paraId="23010B72" w14:textId="77777777" w:rsidR="000F7773" w:rsidRPr="00504B4C" w:rsidRDefault="000F7773" w:rsidP="00DB0816">
            <w:pPr>
              <w:rPr>
                <w:rFonts w:ascii="Arial" w:eastAsiaTheme="minorEastAsia" w:cs="Arial"/>
                <w:sz w:val="22"/>
              </w:rPr>
            </w:pPr>
            <w:r w:rsidRPr="00504B4C">
              <w:rPr>
                <w:rFonts w:ascii="Arial" w:eastAsiaTheme="minorEastAsia" w:cs="Arial"/>
                <w:sz w:val="22"/>
              </w:rPr>
              <w:t>Variables</w:t>
            </w:r>
          </w:p>
        </w:tc>
      </w:tr>
      <w:tr w:rsidR="000F7773" w14:paraId="3DEC7485" w14:textId="77777777" w:rsidTr="00504B4C">
        <w:trPr>
          <w:trHeight w:val="453"/>
          <w:jc w:val="center"/>
        </w:trPr>
        <w:tc>
          <w:tcPr>
            <w:tcW w:w="1350" w:type="dxa"/>
            <w:tcBorders>
              <w:top w:val="single" w:sz="4" w:space="0" w:color="auto"/>
              <w:right w:val="single" w:sz="4" w:space="0" w:color="auto"/>
            </w:tcBorders>
          </w:tcPr>
          <w:p w14:paraId="578FDCC4" w14:textId="77777777" w:rsidR="000F7773" w:rsidRDefault="000F7773" w:rsidP="00DB0816">
            <w:pPr>
              <w:rPr>
                <w:rFonts w:eastAsiaTheme="minorEastAsia" w:cs="Arial"/>
              </w:rPr>
            </w:pPr>
            <w:r w:rsidRPr="00E61E1B">
              <w:rPr>
                <w:rFonts w:ascii="Arial" w:eastAsiaTheme="minorEastAsia" w:cs="Arial"/>
                <w:position w:val="-12"/>
                <w:lang w:eastAsia="es-ES"/>
              </w:rPr>
              <w:object w:dxaOrig="740" w:dyaOrig="360" w14:anchorId="09F3D353">
                <v:shape id="_x0000_i1261" type="#_x0000_t75" style="width:36pt;height:20.25pt" o:ole="">
                  <v:imagedata r:id="rId481" o:title=""/>
                </v:shape>
                <o:OLEObject Type="Embed" ProgID="Equation.DSMT4" ShapeID="_x0000_i1261" DrawAspect="Content" ObjectID="_1706014942" r:id="rId482"/>
              </w:object>
            </w:r>
            <w:r>
              <w:rPr>
                <w:rFonts w:eastAsiaTheme="minorEastAsia" w:cs="Arial"/>
              </w:rPr>
              <w:t xml:space="preserve"> </w:t>
            </w:r>
          </w:p>
        </w:tc>
        <w:tc>
          <w:tcPr>
            <w:tcW w:w="5220" w:type="dxa"/>
            <w:gridSpan w:val="2"/>
            <w:tcBorders>
              <w:top w:val="single" w:sz="4" w:space="0" w:color="auto"/>
              <w:left w:val="single" w:sz="4" w:space="0" w:color="auto"/>
            </w:tcBorders>
          </w:tcPr>
          <w:p w14:paraId="451527E4" w14:textId="77777777" w:rsidR="000F7773" w:rsidRPr="007704AF" w:rsidRDefault="000F7773" w:rsidP="00DB0816">
            <w:pPr>
              <w:rPr>
                <w:rFonts w:eastAsiaTheme="minorEastAsia" w:cs="Arial"/>
                <w:lang w:val="en-US"/>
              </w:rPr>
            </w:pPr>
            <w:r w:rsidRPr="00703AD0">
              <w:rPr>
                <w:rFonts w:ascii="Arial" w:eastAsiaTheme="minorEastAsia" w:cs="Arial"/>
                <w:position w:val="-48"/>
                <w:lang w:eastAsia="es-ES"/>
              </w:rPr>
              <w:object w:dxaOrig="4220" w:dyaOrig="1500" w14:anchorId="69FEDD6F">
                <v:shape id="_x0000_i1262" type="#_x0000_t75" style="width:210.75pt;height:77.25pt" o:ole="">
                  <v:imagedata r:id="rId483" o:title=""/>
                </v:shape>
                <o:OLEObject Type="Embed" ProgID="Equation.DSMT4" ShapeID="_x0000_i1262" DrawAspect="Content" ObjectID="_1706014943" r:id="rId484"/>
              </w:object>
            </w:r>
            <w:r>
              <w:rPr>
                <w:rFonts w:eastAsiaTheme="minorEastAsia" w:cs="Arial"/>
              </w:rPr>
              <w:t xml:space="preserve"> </w:t>
            </w:r>
          </w:p>
        </w:tc>
        <w:tc>
          <w:tcPr>
            <w:tcW w:w="1397" w:type="dxa"/>
            <w:gridSpan w:val="2"/>
            <w:tcBorders>
              <w:top w:val="single" w:sz="4" w:space="0" w:color="auto"/>
            </w:tcBorders>
          </w:tcPr>
          <w:p w14:paraId="57A823C1" w14:textId="4FE47FFC" w:rsidR="000F7773" w:rsidRDefault="0042165F" w:rsidP="00DB0816">
            <w:pPr>
              <w:rPr>
                <w:rFonts w:eastAsiaTheme="minorEastAsia" w:cs="Arial"/>
              </w:rPr>
            </w:pPr>
            <w:r w:rsidRPr="00B62EA9">
              <w:rPr>
                <w:rFonts w:ascii="Arial" w:eastAsiaTheme="minorEastAsia" w:cs="Arial"/>
                <w:position w:val="-6"/>
                <w:lang w:eastAsia="es-ES"/>
              </w:rPr>
              <w:object w:dxaOrig="200" w:dyaOrig="279" w14:anchorId="1C8DD7D6">
                <v:shape id="_x0000_i1263" type="#_x0000_t75" style="width:10.5pt;height:15.75pt" o:ole="">
                  <v:imagedata r:id="rId485" o:title=""/>
                </v:shape>
                <o:OLEObject Type="Embed" ProgID="Equation.DSMT4" ShapeID="_x0000_i1263" DrawAspect="Content" ObjectID="_1706014944" r:id="rId486"/>
              </w:object>
            </w:r>
          </w:p>
        </w:tc>
        <w:tc>
          <w:tcPr>
            <w:tcW w:w="1059" w:type="dxa"/>
            <w:tcBorders>
              <w:top w:val="single" w:sz="4" w:space="0" w:color="auto"/>
            </w:tcBorders>
          </w:tcPr>
          <w:p w14:paraId="6870795B" w14:textId="77777777" w:rsidR="000F7773" w:rsidRDefault="000F7773" w:rsidP="00DB0816">
            <w:pPr>
              <w:rPr>
                <w:rFonts w:eastAsiaTheme="minorEastAsia" w:cs="Arial"/>
              </w:rPr>
            </w:pPr>
            <w:r w:rsidRPr="00141323">
              <w:rPr>
                <w:rFonts w:ascii="Arial" w:eastAsiaTheme="minorEastAsia" w:cs="Arial"/>
                <w:position w:val="-12"/>
                <w:lang w:eastAsia="es-ES"/>
              </w:rPr>
              <w:object w:dxaOrig="460" w:dyaOrig="360" w14:anchorId="1CA354D8">
                <v:shape id="_x0000_i1264" type="#_x0000_t75" style="width:20.25pt;height:20.25pt" o:ole="">
                  <v:imagedata r:id="rId487" o:title=""/>
                </v:shape>
                <o:OLEObject Type="Embed" ProgID="Equation.DSMT4" ShapeID="_x0000_i1264" DrawAspect="Content" ObjectID="_1706014945" r:id="rId488"/>
              </w:object>
            </w:r>
            <w:r>
              <w:rPr>
                <w:rFonts w:eastAsiaTheme="minorEastAsia" w:cs="Arial"/>
              </w:rPr>
              <w:t xml:space="preserve"> </w:t>
            </w:r>
          </w:p>
        </w:tc>
      </w:tr>
      <w:tr w:rsidR="000F7773" w14:paraId="0B3574AA" w14:textId="77777777" w:rsidTr="00504B4C">
        <w:trPr>
          <w:trHeight w:val="565"/>
          <w:jc w:val="center"/>
        </w:trPr>
        <w:tc>
          <w:tcPr>
            <w:tcW w:w="1350" w:type="dxa"/>
            <w:tcBorders>
              <w:right w:val="single" w:sz="4" w:space="0" w:color="auto"/>
            </w:tcBorders>
          </w:tcPr>
          <w:p w14:paraId="333EF1B4" w14:textId="5188D425" w:rsidR="000F7773" w:rsidRDefault="00504B4C" w:rsidP="00DB0816">
            <w:pPr>
              <w:rPr>
                <w:rFonts w:eastAsiaTheme="minorEastAsia" w:cs="Arial"/>
              </w:rPr>
            </w:pPr>
            <w:r w:rsidRPr="00B03109">
              <w:rPr>
                <w:rFonts w:ascii="Arial" w:eastAsiaTheme="minorEastAsia" w:cs="Arial"/>
                <w:position w:val="-14"/>
                <w:lang w:eastAsia="es-ES"/>
              </w:rPr>
              <w:object w:dxaOrig="1340" w:dyaOrig="380" w14:anchorId="40FA9BA4">
                <v:shape id="_x0000_i1265" type="#_x0000_t75" style="width:61.5pt;height:20.25pt" o:ole="">
                  <v:imagedata r:id="rId489" o:title=""/>
                </v:shape>
                <o:OLEObject Type="Embed" ProgID="Equation.DSMT4" ShapeID="_x0000_i1265" DrawAspect="Content" ObjectID="_1706014946" r:id="rId490"/>
              </w:object>
            </w:r>
            <w:r w:rsidR="000F7773">
              <w:rPr>
                <w:rFonts w:eastAsiaTheme="minorEastAsia" w:cs="Arial"/>
              </w:rPr>
              <w:t xml:space="preserve"> </w:t>
            </w:r>
          </w:p>
        </w:tc>
        <w:tc>
          <w:tcPr>
            <w:tcW w:w="5220" w:type="dxa"/>
            <w:gridSpan w:val="2"/>
            <w:tcBorders>
              <w:left w:val="single" w:sz="4" w:space="0" w:color="auto"/>
            </w:tcBorders>
          </w:tcPr>
          <w:p w14:paraId="10CB42A3" w14:textId="77777777" w:rsidR="000F7773" w:rsidRDefault="000F7773" w:rsidP="00DB0816">
            <w:pPr>
              <w:rPr>
                <w:rFonts w:eastAsiaTheme="minorEastAsia" w:cs="Arial"/>
              </w:rPr>
            </w:pPr>
            <w:r w:rsidRPr="00D50290">
              <w:rPr>
                <w:rFonts w:ascii="Arial" w:eastAsiaTheme="minorEastAsia" w:cs="Arial"/>
                <w:position w:val="-14"/>
                <w:lang w:eastAsia="es-ES"/>
              </w:rPr>
              <w:object w:dxaOrig="5360" w:dyaOrig="380" w14:anchorId="6931ACC1">
                <v:shape id="_x0000_i1266" type="#_x0000_t75" style="width:246.75pt;height:20.25pt" o:ole="">
                  <v:imagedata r:id="rId491" o:title=""/>
                </v:shape>
                <o:OLEObject Type="Embed" ProgID="Equation.DSMT4" ShapeID="_x0000_i1266" DrawAspect="Content" ObjectID="_1706014947" r:id="rId492"/>
              </w:object>
            </w:r>
            <w:r>
              <w:rPr>
                <w:rFonts w:eastAsiaTheme="minorEastAsia" w:cs="Arial"/>
              </w:rPr>
              <w:t xml:space="preserve"> </w:t>
            </w:r>
          </w:p>
        </w:tc>
        <w:tc>
          <w:tcPr>
            <w:tcW w:w="1397" w:type="dxa"/>
            <w:gridSpan w:val="2"/>
          </w:tcPr>
          <w:p w14:paraId="60C81C30" w14:textId="5FCF3300" w:rsidR="000F7773" w:rsidRDefault="0042165F" w:rsidP="00DB0816">
            <w:pPr>
              <w:rPr>
                <w:rFonts w:eastAsiaTheme="minorEastAsia" w:cs="Arial"/>
              </w:rPr>
            </w:pPr>
            <w:r w:rsidRPr="0042165F">
              <w:rPr>
                <w:rFonts w:ascii="Arial" w:eastAsiaTheme="minorEastAsia" w:cs="Arial"/>
                <w:position w:val="-10"/>
                <w:lang w:eastAsia="es-ES"/>
              </w:rPr>
              <w:object w:dxaOrig="240" w:dyaOrig="320" w14:anchorId="274F1D92">
                <v:shape id="_x0000_i1267" type="#_x0000_t75" style="width:10.5pt;height:15.75pt" o:ole="">
                  <v:imagedata r:id="rId493" o:title=""/>
                </v:shape>
                <o:OLEObject Type="Embed" ProgID="Equation.DSMT4" ShapeID="_x0000_i1267" DrawAspect="Content" ObjectID="_1706014948" r:id="rId494"/>
              </w:object>
            </w:r>
          </w:p>
        </w:tc>
        <w:tc>
          <w:tcPr>
            <w:tcW w:w="1059" w:type="dxa"/>
          </w:tcPr>
          <w:p w14:paraId="77EE4762" w14:textId="54477D90" w:rsidR="000F7773" w:rsidRDefault="00F96EB1" w:rsidP="00DB0816">
            <w:pPr>
              <w:rPr>
                <w:rFonts w:eastAsiaTheme="minorEastAsia" w:cs="Arial"/>
              </w:rPr>
            </w:pPr>
            <w:r w:rsidRPr="00F96EB1">
              <w:rPr>
                <w:rFonts w:ascii="Arial" w:eastAsiaTheme="minorEastAsia" w:cs="Arial"/>
                <w:position w:val="-12"/>
                <w:lang w:eastAsia="es-ES"/>
              </w:rPr>
              <w:object w:dxaOrig="840" w:dyaOrig="360" w14:anchorId="495508BD">
                <v:shape id="_x0000_i1268" type="#_x0000_t75" style="width:36pt;height:20.25pt" o:ole="">
                  <v:imagedata r:id="rId495" o:title=""/>
                </v:shape>
                <o:OLEObject Type="Embed" ProgID="Equation.DSMT4" ShapeID="_x0000_i1268" DrawAspect="Content" ObjectID="_1706014949" r:id="rId496"/>
              </w:object>
            </w:r>
            <w:r w:rsidR="000F7773">
              <w:rPr>
                <w:rFonts w:eastAsiaTheme="minorEastAsia" w:cs="Arial"/>
              </w:rPr>
              <w:t xml:space="preserve"> </w:t>
            </w:r>
          </w:p>
        </w:tc>
      </w:tr>
      <w:tr w:rsidR="000F7773" w14:paraId="1FF436A1" w14:textId="77777777" w:rsidTr="00504B4C">
        <w:trPr>
          <w:trHeight w:val="421"/>
          <w:jc w:val="center"/>
        </w:trPr>
        <w:tc>
          <w:tcPr>
            <w:tcW w:w="1350" w:type="dxa"/>
            <w:tcBorders>
              <w:right w:val="single" w:sz="4" w:space="0" w:color="auto"/>
            </w:tcBorders>
          </w:tcPr>
          <w:p w14:paraId="1CC94D31" w14:textId="77777777" w:rsidR="000F7773" w:rsidRDefault="000F7773" w:rsidP="00DB0816">
            <w:pPr>
              <w:rPr>
                <w:rFonts w:eastAsiaTheme="minorEastAsia" w:cs="Arial"/>
              </w:rPr>
            </w:pPr>
            <w:r w:rsidRPr="001E4246">
              <w:rPr>
                <w:rFonts w:ascii="Arial" w:eastAsiaTheme="minorEastAsia" w:cs="Arial"/>
                <w:position w:val="-12"/>
                <w:lang w:eastAsia="es-ES"/>
              </w:rPr>
              <w:object w:dxaOrig="1080" w:dyaOrig="360" w14:anchorId="5E3D074F">
                <v:shape id="_x0000_i1269" type="#_x0000_t75" style="width:56.25pt;height:20.25pt" o:ole="">
                  <v:imagedata r:id="rId497" o:title=""/>
                </v:shape>
                <o:OLEObject Type="Embed" ProgID="Equation.DSMT4" ShapeID="_x0000_i1269" DrawAspect="Content" ObjectID="_1706014950" r:id="rId498"/>
              </w:object>
            </w:r>
            <w:r>
              <w:rPr>
                <w:rFonts w:eastAsiaTheme="minorEastAsia" w:cs="Arial"/>
              </w:rPr>
              <w:t xml:space="preserve"> </w:t>
            </w:r>
          </w:p>
        </w:tc>
        <w:tc>
          <w:tcPr>
            <w:tcW w:w="5220" w:type="dxa"/>
            <w:gridSpan w:val="2"/>
            <w:tcBorders>
              <w:left w:val="single" w:sz="4" w:space="0" w:color="auto"/>
            </w:tcBorders>
          </w:tcPr>
          <w:p w14:paraId="71A30373" w14:textId="77777777" w:rsidR="000F7773" w:rsidRDefault="000F7773" w:rsidP="00DB0816">
            <w:pPr>
              <w:tabs>
                <w:tab w:val="left" w:pos="980"/>
              </w:tabs>
              <w:rPr>
                <w:rFonts w:eastAsiaTheme="minorEastAsia" w:cs="Arial"/>
              </w:rPr>
            </w:pPr>
            <w:r w:rsidRPr="00811479">
              <w:rPr>
                <w:rFonts w:ascii="Arial" w:eastAsiaTheme="minorEastAsia" w:cs="Arial"/>
                <w:position w:val="-32"/>
                <w:lang w:eastAsia="es-ES"/>
              </w:rPr>
              <w:object w:dxaOrig="5780" w:dyaOrig="760" w14:anchorId="664E5AEE">
                <v:shape id="_x0000_i1270" type="#_x0000_t75" style="width:252pt;height:36pt" o:ole="">
                  <v:imagedata r:id="rId499" o:title=""/>
                </v:shape>
                <o:OLEObject Type="Embed" ProgID="Equation.DSMT4" ShapeID="_x0000_i1270" DrawAspect="Content" ObjectID="_1706014951" r:id="rId500"/>
              </w:object>
            </w:r>
            <w:r>
              <w:rPr>
                <w:rFonts w:eastAsiaTheme="minorEastAsia" w:cs="Arial"/>
              </w:rPr>
              <w:t xml:space="preserve"> </w:t>
            </w:r>
            <w:r>
              <w:rPr>
                <w:rFonts w:eastAsiaTheme="minorEastAsia" w:cs="Arial"/>
              </w:rPr>
              <w:tab/>
            </w:r>
          </w:p>
        </w:tc>
        <w:tc>
          <w:tcPr>
            <w:tcW w:w="1397" w:type="dxa"/>
            <w:gridSpan w:val="2"/>
          </w:tcPr>
          <w:p w14:paraId="15C84AE4" w14:textId="5BAC45FA" w:rsidR="000F7773" w:rsidRDefault="00BD021C" w:rsidP="00DB0816">
            <w:pPr>
              <w:rPr>
                <w:rFonts w:eastAsiaTheme="minorEastAsia" w:cs="Arial"/>
              </w:rPr>
            </w:pPr>
            <w:r w:rsidRPr="00B62EA9">
              <w:rPr>
                <w:rFonts w:ascii="Arial" w:eastAsiaTheme="minorEastAsia" w:cs="Arial"/>
                <w:position w:val="-6"/>
                <w:lang w:eastAsia="es-ES"/>
              </w:rPr>
              <w:object w:dxaOrig="200" w:dyaOrig="279" w14:anchorId="5C42BF8D">
                <v:shape id="_x0000_i1271" type="#_x0000_t75" style="width:10.5pt;height:15.75pt" o:ole="">
                  <v:imagedata r:id="rId501" o:title=""/>
                </v:shape>
                <o:OLEObject Type="Embed" ProgID="Equation.DSMT4" ShapeID="_x0000_i1271" DrawAspect="Content" ObjectID="_1706014952" r:id="rId502"/>
              </w:object>
            </w:r>
          </w:p>
        </w:tc>
        <w:tc>
          <w:tcPr>
            <w:tcW w:w="1059" w:type="dxa"/>
          </w:tcPr>
          <w:p w14:paraId="3FEDC6E6" w14:textId="00934916" w:rsidR="000F7773" w:rsidRDefault="00F96EB1" w:rsidP="00DB0816">
            <w:pPr>
              <w:rPr>
                <w:rFonts w:eastAsiaTheme="minorEastAsia" w:cs="Arial"/>
              </w:rPr>
            </w:pPr>
            <w:r w:rsidRPr="005456D9">
              <w:rPr>
                <w:rFonts w:ascii="Arial" w:eastAsiaTheme="minorEastAsia" w:cs="Arial"/>
                <w:position w:val="-12"/>
                <w:lang w:eastAsia="es-ES"/>
              </w:rPr>
              <w:object w:dxaOrig="740" w:dyaOrig="360" w14:anchorId="066B7E6B">
                <v:shape id="_x0000_i1272" type="#_x0000_t75" style="width:41.25pt;height:20.25pt" o:ole="">
                  <v:imagedata r:id="rId503" o:title=""/>
                </v:shape>
                <o:OLEObject Type="Embed" ProgID="Equation.DSMT4" ShapeID="_x0000_i1272" DrawAspect="Content" ObjectID="_1706014953" r:id="rId504"/>
              </w:object>
            </w:r>
            <w:r w:rsidR="000F7773">
              <w:rPr>
                <w:rFonts w:eastAsiaTheme="minorEastAsia" w:cs="Arial"/>
              </w:rPr>
              <w:t xml:space="preserve"> </w:t>
            </w:r>
          </w:p>
        </w:tc>
      </w:tr>
      <w:tr w:rsidR="000F7773" w14:paraId="75F23D74" w14:textId="77777777" w:rsidTr="00504B4C">
        <w:trPr>
          <w:trHeight w:val="421"/>
          <w:jc w:val="center"/>
        </w:trPr>
        <w:tc>
          <w:tcPr>
            <w:tcW w:w="1350" w:type="dxa"/>
            <w:tcBorders>
              <w:bottom w:val="single" w:sz="4" w:space="0" w:color="auto"/>
              <w:right w:val="single" w:sz="4" w:space="0" w:color="auto"/>
            </w:tcBorders>
          </w:tcPr>
          <w:p w14:paraId="76E0867E" w14:textId="77777777" w:rsidR="000F7773" w:rsidRDefault="000F7773" w:rsidP="00DB0816">
            <w:pPr>
              <w:rPr>
                <w:rFonts w:eastAsiaTheme="minorEastAsia" w:cs="Arial"/>
              </w:rPr>
            </w:pPr>
            <w:r w:rsidRPr="008A2E02">
              <w:rPr>
                <w:rFonts w:ascii="Arial" w:eastAsiaTheme="minorEastAsia" w:cs="Arial"/>
                <w:position w:val="-12"/>
                <w:lang w:eastAsia="es-ES"/>
              </w:rPr>
              <w:object w:dxaOrig="960" w:dyaOrig="360" w14:anchorId="64DD7A41">
                <v:shape id="_x0000_i1273" type="#_x0000_t75" style="width:41.25pt;height:20.25pt" o:ole="">
                  <v:imagedata r:id="rId505" o:title=""/>
                </v:shape>
                <o:OLEObject Type="Embed" ProgID="Equation.DSMT4" ShapeID="_x0000_i1273" DrawAspect="Content" ObjectID="_1706014954" r:id="rId506"/>
              </w:object>
            </w:r>
            <w:r>
              <w:rPr>
                <w:rFonts w:eastAsiaTheme="minorEastAsia" w:cs="Arial"/>
              </w:rPr>
              <w:t xml:space="preserve"> </w:t>
            </w:r>
          </w:p>
        </w:tc>
        <w:tc>
          <w:tcPr>
            <w:tcW w:w="5220" w:type="dxa"/>
            <w:gridSpan w:val="2"/>
            <w:tcBorders>
              <w:left w:val="single" w:sz="4" w:space="0" w:color="auto"/>
              <w:bottom w:val="single" w:sz="4" w:space="0" w:color="auto"/>
            </w:tcBorders>
          </w:tcPr>
          <w:p w14:paraId="1E947EF8" w14:textId="10701485" w:rsidR="000F7773" w:rsidRDefault="00090C0A" w:rsidP="00DB0816">
            <w:pPr>
              <w:rPr>
                <w:rFonts w:eastAsiaTheme="minorEastAsia" w:cs="Arial"/>
              </w:rPr>
            </w:pPr>
            <w:r w:rsidRPr="004D097E">
              <w:rPr>
                <w:rFonts w:ascii="Arial" w:eastAsiaTheme="minorEastAsia" w:cs="Arial"/>
                <w:position w:val="-30"/>
                <w:lang w:eastAsia="es-ES"/>
              </w:rPr>
              <w:object w:dxaOrig="7500" w:dyaOrig="1060" w14:anchorId="1FA7EFF9">
                <v:shape id="_x0000_i1274" type="#_x0000_t75" style="width:236.25pt;height:46.5pt" o:ole="">
                  <v:imagedata r:id="rId507" o:title=""/>
                </v:shape>
                <o:OLEObject Type="Embed" ProgID="Equation.DSMT4" ShapeID="_x0000_i1274" DrawAspect="Content" ObjectID="_1706014955" r:id="rId508"/>
              </w:object>
            </w:r>
            <w:r w:rsidR="000F7773">
              <w:rPr>
                <w:rFonts w:eastAsiaTheme="minorEastAsia" w:cs="Arial"/>
              </w:rPr>
              <w:t xml:space="preserve"> </w:t>
            </w:r>
          </w:p>
        </w:tc>
        <w:tc>
          <w:tcPr>
            <w:tcW w:w="1397" w:type="dxa"/>
            <w:gridSpan w:val="2"/>
            <w:tcBorders>
              <w:bottom w:val="single" w:sz="4" w:space="0" w:color="auto"/>
            </w:tcBorders>
          </w:tcPr>
          <w:p w14:paraId="41D7B8D9" w14:textId="6F0C32AB" w:rsidR="000F7773" w:rsidRDefault="007551C6" w:rsidP="00DB0816">
            <w:pPr>
              <w:rPr>
                <w:rFonts w:eastAsiaTheme="minorEastAsia" w:cs="Arial"/>
              </w:rPr>
            </w:pPr>
            <w:r w:rsidRPr="00B62EA9">
              <w:rPr>
                <w:rFonts w:ascii="Arial" w:eastAsiaTheme="minorEastAsia" w:cs="Arial"/>
                <w:position w:val="-6"/>
                <w:lang w:eastAsia="es-ES"/>
              </w:rPr>
              <w:object w:dxaOrig="180" w:dyaOrig="220" w14:anchorId="76B73F81">
                <v:shape id="_x0000_i1275" type="#_x0000_t75" style="width:10.5pt;height:10.5pt" o:ole="">
                  <v:imagedata r:id="rId418" o:title=""/>
                </v:shape>
                <o:OLEObject Type="Embed" ProgID="Equation.DSMT4" ShapeID="_x0000_i1275" DrawAspect="Content" ObjectID="_1706014956" r:id="rId509"/>
              </w:object>
            </w:r>
          </w:p>
        </w:tc>
        <w:tc>
          <w:tcPr>
            <w:tcW w:w="1059" w:type="dxa"/>
            <w:tcBorders>
              <w:bottom w:val="single" w:sz="4" w:space="0" w:color="auto"/>
            </w:tcBorders>
          </w:tcPr>
          <w:p w14:paraId="0BDB44FC" w14:textId="77777777" w:rsidR="000F7773" w:rsidRDefault="000F7773" w:rsidP="00DB0816">
            <w:pPr>
              <w:rPr>
                <w:rFonts w:eastAsiaTheme="minorEastAsia" w:cs="Arial"/>
              </w:rPr>
            </w:pPr>
            <w:r w:rsidRPr="00295269">
              <w:rPr>
                <w:rFonts w:ascii="Arial" w:eastAsiaTheme="minorEastAsia" w:cs="Arial"/>
                <w:position w:val="-12"/>
                <w:lang w:eastAsia="es-ES"/>
              </w:rPr>
              <w:object w:dxaOrig="639" w:dyaOrig="360" w14:anchorId="137F7971">
                <v:shape id="_x0000_i1276" type="#_x0000_t75" style="width:30.75pt;height:20.25pt" o:ole="">
                  <v:imagedata r:id="rId510" o:title=""/>
                </v:shape>
                <o:OLEObject Type="Embed" ProgID="Equation.DSMT4" ShapeID="_x0000_i1276" DrawAspect="Content" ObjectID="_1706014957" r:id="rId511"/>
              </w:object>
            </w:r>
            <w:r>
              <w:rPr>
                <w:rFonts w:eastAsiaTheme="minorEastAsia" w:cs="Arial"/>
              </w:rPr>
              <w:t xml:space="preserve"> </w:t>
            </w:r>
          </w:p>
        </w:tc>
      </w:tr>
    </w:tbl>
    <w:p w14:paraId="69DF83B0" w14:textId="42C518F0" w:rsidR="000F7773" w:rsidRPr="00700471" w:rsidRDefault="000F7773" w:rsidP="000F7773">
      <w:pPr>
        <w:rPr>
          <w:rFonts w:cs="Arial"/>
          <w:sz w:val="18"/>
        </w:rPr>
      </w:pPr>
      <w:r w:rsidRPr="00220F06">
        <w:rPr>
          <w:rFonts w:cs="Arial"/>
          <w:sz w:val="18"/>
        </w:rPr>
        <w:t xml:space="preserve">Fuente: </w:t>
      </w:r>
      <w:r w:rsidRPr="00220F06">
        <w:rPr>
          <w:rFonts w:cs="Arial"/>
          <w:sz w:val="18"/>
        </w:rPr>
        <w:fldChar w:fldCharType="begin" w:fldLock="1"/>
      </w:r>
      <w:r w:rsidR="00475856">
        <w:rPr>
          <w:rFonts w:cs="Arial"/>
          <w:sz w:val="18"/>
        </w:rPr>
        <w:instrText>ADDIN CSL_CITATION {"citationItems":[{"id":"ITEM-1","itemData":{"author":[{"dropping-particle":"","family":"McDonald","given":"Scott","non-dropping-particle":"","parse-names":false,"suffix":""},{"dropping-particle":"","family":"Thierfelder","given":"Karen","non-dropping-particle":"","parse-names":false,"suffix":""}],"id":"ITEM-1","issue":"January","issued":{"date-parts":[["2017"]]},"number-of-pages":"1-89","title":"A Static Applied General Equilibrium Model: Technical Documentation - STAGE_int Version","type":"report"},"uris":["http://www.mendeley.com/documents/?uuid=83316eb5-e8df-4029-aa83-a2c1fd511a0d"]}],"mendeley":{"formattedCitation":"(McDonald &amp; Thierfelder, 2017)","manualFormatting":"McDonald &amp; Thierfelder (2017)","plainTextFormattedCitation":"(McDonald &amp; Thierfelder, 2017)","previouslyFormattedCitation":"(McDonald &amp; Thierfelder, 2017)"},"properties":{"noteIndex":0},"schema":"https://github.com/citation-style-language/schema/raw/master/csl-citation.json"}</w:instrText>
      </w:r>
      <w:r w:rsidRPr="00220F06">
        <w:rPr>
          <w:rFonts w:cs="Arial"/>
          <w:sz w:val="18"/>
        </w:rPr>
        <w:fldChar w:fldCharType="separate"/>
      </w:r>
      <w:r w:rsidRPr="00220F06">
        <w:rPr>
          <w:rFonts w:cs="Arial"/>
          <w:noProof/>
          <w:sz w:val="18"/>
        </w:rPr>
        <w:t>McDonald &amp; Thierfelder (2017)</w:t>
      </w:r>
      <w:r w:rsidRPr="00220F06">
        <w:rPr>
          <w:rFonts w:cs="Arial"/>
          <w:sz w:val="18"/>
        </w:rPr>
        <w:fldChar w:fldCharType="end"/>
      </w:r>
      <w:r w:rsidRPr="00220F06">
        <w:rPr>
          <w:rFonts w:cs="Arial"/>
          <w:sz w:val="18"/>
        </w:rPr>
        <w:t>.</w:t>
      </w:r>
    </w:p>
    <w:p w14:paraId="3ECBD499" w14:textId="565FD112" w:rsidR="000F7773" w:rsidRDefault="000F7773" w:rsidP="00FB4C93">
      <w:pPr>
        <w:spacing w:line="240" w:lineRule="auto"/>
        <w:rPr>
          <w:rFonts w:eastAsiaTheme="minorEastAsia" w:cs="Arial"/>
        </w:rPr>
      </w:pPr>
      <w:r>
        <w:rPr>
          <w:rFonts w:eastAsiaTheme="minorEastAsia" w:cs="Arial"/>
        </w:rPr>
        <w:t>Las empresas reciben ingreso de los factores, en forma de ganancias retenidas (</w:t>
      </w:r>
      <m:oMath>
        <m:sSub>
          <m:sSubPr>
            <m:ctrlPr>
              <w:rPr>
                <w:rFonts w:ascii="Cambria Math" w:eastAsiaTheme="minorEastAsia" w:hAnsi="Cambria Math" w:cs="Arial"/>
                <w:i/>
              </w:rPr>
            </m:ctrlPr>
          </m:sSubPr>
          <m:e>
            <m:r>
              <w:rPr>
                <w:rFonts w:ascii="Cambria Math" w:eastAsiaTheme="minorEastAsia" w:hAnsi="Cambria Math" w:cs="Arial"/>
              </w:rPr>
              <m:t>entvash</m:t>
            </m:r>
          </m:e>
          <m:sub>
            <m:r>
              <w:rPr>
                <w:rFonts w:ascii="Cambria Math" w:eastAsiaTheme="minorEastAsia" w:hAnsi="Cambria Math" w:cs="Arial"/>
              </w:rPr>
              <m:t>e,f</m:t>
            </m:r>
          </m:sub>
        </m:sSub>
        <m:r>
          <w:rPr>
            <w:rFonts w:ascii="Cambria Math" w:eastAsiaTheme="minorEastAsia" w:hAnsi="Cambria Math" w:cs="Arial"/>
          </w:rPr>
          <m:t>)</m:t>
        </m:r>
      </m:oMath>
      <w:r>
        <w:rPr>
          <w:rFonts w:eastAsiaTheme="minorEastAsia" w:cs="Arial"/>
        </w:rPr>
        <w:t>, transferencias del gobierno (</w:t>
      </w:r>
      <m:oMath>
        <m:r>
          <w:rPr>
            <w:rFonts w:ascii="Cambria Math" w:eastAsiaTheme="minorEastAsia" w:hAnsi="Cambria Math" w:cs="Arial"/>
          </w:rPr>
          <m:t>entgovconst)</m:t>
        </m:r>
      </m:oMath>
      <w:r>
        <w:rPr>
          <w:rFonts w:eastAsiaTheme="minorEastAsia" w:cs="Arial"/>
        </w:rPr>
        <w:t>, y transferencias en moneda extranjera del resto del mundo (</w:t>
      </w:r>
      <m:oMath>
        <m:r>
          <w:rPr>
            <w:rFonts w:ascii="Cambria Math" w:eastAsiaTheme="minorEastAsia" w:hAnsi="Cambria Math" w:cs="Arial"/>
          </w:rPr>
          <m:t>entwor)</m:t>
        </m:r>
      </m:oMath>
      <w:r>
        <w:rPr>
          <w:rFonts w:eastAsiaTheme="minorEastAsia" w:cs="Arial"/>
        </w:rPr>
        <w:t xml:space="preserve">. El gasto esta desagregado en: pago en impuestos, </w:t>
      </w:r>
      <m:oMath>
        <m:r>
          <w:rPr>
            <w:rFonts w:ascii="Cambria Math" w:eastAsiaTheme="minorEastAsia" w:hAnsi="Cambria Math" w:cs="Arial"/>
          </w:rPr>
          <m:t>TYE</m:t>
        </m:r>
      </m:oMath>
      <w:r>
        <w:rPr>
          <w:rFonts w:eastAsiaTheme="minorEastAsia" w:cs="Arial"/>
        </w:rPr>
        <w:t xml:space="preserve"> , </w:t>
      </w:r>
      <w:r w:rsidR="0080385C">
        <w:rPr>
          <w:rFonts w:eastAsiaTheme="minorEastAsia" w:cs="Arial"/>
        </w:rPr>
        <w:t xml:space="preserve">transferencias </w:t>
      </w:r>
      <m:oMath>
        <m:r>
          <w:rPr>
            <w:rFonts w:ascii="Cambria Math" w:eastAsiaTheme="minorEastAsia" w:hAnsi="Cambria Math" w:cs="Arial"/>
          </w:rPr>
          <m:t>(</m:t>
        </m:r>
        <m:sSub>
          <m:sSubPr>
            <m:ctrlPr>
              <w:rPr>
                <w:rFonts w:ascii="Cambria Math" w:eastAsiaTheme="minorEastAsia" w:hAnsi="Cambria Math" w:cs="Arial"/>
                <w:i/>
              </w:rPr>
            </m:ctrlPr>
          </m:sSubPr>
          <m:e>
            <m:r>
              <w:rPr>
                <w:rFonts w:ascii="Cambria Math" w:eastAsiaTheme="minorEastAsia" w:hAnsi="Cambria Math" w:cs="Arial"/>
              </w:rPr>
              <m:t>GOVENT</m:t>
            </m:r>
          </m:e>
          <m:sub>
            <m:r>
              <w:rPr>
                <w:rFonts w:ascii="Cambria Math" w:eastAsiaTheme="minorEastAsia" w:hAnsi="Cambria Math" w:cs="Arial"/>
              </w:rPr>
              <m:t>e</m:t>
            </m:r>
          </m:sub>
        </m:sSub>
        <m:r>
          <w:rPr>
            <w:rFonts w:ascii="Cambria Math" w:eastAsiaTheme="minorEastAsia" w:hAnsi="Cambria Math" w:cs="Arial"/>
          </w:rPr>
          <m:t>)</m:t>
        </m:r>
      </m:oMath>
      <w:r>
        <w:rPr>
          <w:rFonts w:eastAsiaTheme="minorEastAsia" w:cs="Arial"/>
        </w:rPr>
        <w:t>, consumo de bienes (</w:t>
      </w:r>
      <w:r w:rsidRPr="00551924">
        <w:rPr>
          <w:position w:val="-12"/>
        </w:rPr>
        <w:object w:dxaOrig="580" w:dyaOrig="360" w14:anchorId="1C62AC82">
          <v:shape id="_x0000_i1277" type="#_x0000_t75" style="width:30.75pt;height:20.25pt" o:ole="">
            <v:imagedata r:id="rId512" o:title=""/>
          </v:shape>
          <o:OLEObject Type="Embed" ProgID="Equation.DSMT4" ShapeID="_x0000_i1277" DrawAspect="Content" ObjectID="_1706014958" r:id="rId513"/>
        </w:object>
      </w:r>
      <w:r>
        <w:t>)</w:t>
      </w:r>
      <w:r>
        <w:rPr>
          <w:rFonts w:eastAsiaTheme="minorEastAsia" w:cs="Arial"/>
        </w:rPr>
        <w:t xml:space="preserve"> y el ahorro definido en forma residual, las ecuaciones se denotan en la</w:t>
      </w:r>
      <w:r w:rsidR="00104214">
        <w:rPr>
          <w:rFonts w:eastAsiaTheme="minorEastAsia" w:cs="Arial"/>
        </w:rPr>
        <w:t xml:space="preserve"> </w:t>
      </w:r>
      <w:r w:rsidR="00104214">
        <w:rPr>
          <w:rFonts w:eastAsiaTheme="minorEastAsia" w:cs="Arial"/>
        </w:rPr>
        <w:fldChar w:fldCharType="begin"/>
      </w:r>
      <w:r w:rsidR="00104214">
        <w:rPr>
          <w:rFonts w:eastAsiaTheme="minorEastAsia" w:cs="Arial"/>
        </w:rPr>
        <w:instrText xml:space="preserve"> REF _Ref524876751 \h </w:instrText>
      </w:r>
      <w:r w:rsidR="00104214">
        <w:instrText>\* lower</w:instrText>
      </w:r>
      <w:r w:rsidR="00104214">
        <w:rPr>
          <w:rFonts w:eastAsiaTheme="minorEastAsia" w:cs="Arial"/>
        </w:rPr>
        <w:instrText xml:space="preserve"> </w:instrText>
      </w:r>
      <w:r w:rsidR="00104214">
        <w:rPr>
          <w:rFonts w:eastAsiaTheme="minorEastAsia" w:cs="Arial"/>
        </w:rPr>
      </w:r>
      <w:r w:rsidR="00104214">
        <w:rPr>
          <w:rFonts w:eastAsiaTheme="minorEastAsia" w:cs="Arial"/>
        </w:rPr>
        <w:fldChar w:fldCharType="separate"/>
      </w:r>
      <w:r w:rsidR="00A95E32">
        <w:t xml:space="preserve">tabla </w:t>
      </w:r>
      <w:r w:rsidR="00A95E32">
        <w:rPr>
          <w:noProof/>
        </w:rPr>
        <w:t>12</w:t>
      </w:r>
      <w:r w:rsidR="00104214">
        <w:rPr>
          <w:rFonts w:eastAsiaTheme="minorEastAsia" w:cs="Arial"/>
        </w:rPr>
        <w:fldChar w:fldCharType="end"/>
      </w:r>
      <w:r>
        <w:rPr>
          <w:rFonts w:eastAsiaTheme="minorEastAsia" w:cs="Arial"/>
        </w:rPr>
        <w:t>.</w:t>
      </w:r>
    </w:p>
    <w:p w14:paraId="3C7E7C8B" w14:textId="456138C0" w:rsidR="000F7773" w:rsidRPr="002432C1" w:rsidRDefault="000F7773" w:rsidP="000F7773">
      <w:pPr>
        <w:pStyle w:val="Caption"/>
      </w:pPr>
      <w:bookmarkStart w:id="109" w:name="_Ref524876751"/>
      <w:bookmarkStart w:id="110" w:name="_Toc524946950"/>
      <w:bookmarkStart w:id="111" w:name="_Toc525033954"/>
      <w:bookmarkStart w:id="112" w:name="_Toc526175255"/>
      <w:bookmarkStart w:id="113" w:name="_Toc2853702"/>
      <w:r>
        <w:t xml:space="preserve">Tabla </w:t>
      </w:r>
      <w:r w:rsidR="00F700CF">
        <w:rPr>
          <w:noProof/>
        </w:rPr>
        <w:fldChar w:fldCharType="begin"/>
      </w:r>
      <w:r w:rsidR="00F700CF">
        <w:rPr>
          <w:noProof/>
        </w:rPr>
        <w:instrText xml:space="preserve"> SEQ Tabla \* ARABIC </w:instrText>
      </w:r>
      <w:r w:rsidR="00F700CF">
        <w:rPr>
          <w:noProof/>
        </w:rPr>
        <w:fldChar w:fldCharType="separate"/>
      </w:r>
      <w:r w:rsidR="00A95E32">
        <w:rPr>
          <w:noProof/>
        </w:rPr>
        <w:t>12</w:t>
      </w:r>
      <w:r w:rsidR="00F700CF">
        <w:rPr>
          <w:noProof/>
        </w:rPr>
        <w:fldChar w:fldCharType="end"/>
      </w:r>
      <w:bookmarkEnd w:id="109"/>
      <w:r>
        <w:t xml:space="preserve"> </w:t>
      </w:r>
      <w:r>
        <w:br/>
      </w:r>
      <w:r w:rsidRPr="0038601D">
        <w:t>Bloque de empresas</w:t>
      </w:r>
      <w:bookmarkEnd w:id="110"/>
      <w:bookmarkEnd w:id="111"/>
      <w:bookmarkEnd w:id="112"/>
      <w:bookmarkEnd w:id="113"/>
    </w:p>
    <w:tbl>
      <w:tblPr>
        <w:tblStyle w:val="TableGrid"/>
        <w:tblW w:w="936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463"/>
        <w:gridCol w:w="5327"/>
        <w:gridCol w:w="1379"/>
        <w:gridCol w:w="1191"/>
      </w:tblGrid>
      <w:tr w:rsidR="000F7773" w14:paraId="1CB529D0" w14:textId="77777777" w:rsidTr="00DB0816">
        <w:trPr>
          <w:trHeight w:val="548"/>
          <w:jc w:val="center"/>
        </w:trPr>
        <w:tc>
          <w:tcPr>
            <w:tcW w:w="1463" w:type="dxa"/>
            <w:tcBorders>
              <w:bottom w:val="single" w:sz="4" w:space="0" w:color="auto"/>
              <w:right w:val="single" w:sz="4" w:space="0" w:color="auto"/>
            </w:tcBorders>
          </w:tcPr>
          <w:p w14:paraId="5B7CC1D4" w14:textId="77777777" w:rsidR="000F7773" w:rsidRPr="00A77D30" w:rsidRDefault="000F7773" w:rsidP="00DB0816">
            <w:pPr>
              <w:rPr>
                <w:rFonts w:ascii="Arial" w:eastAsiaTheme="minorEastAsia" w:cs="Arial"/>
                <w:sz w:val="22"/>
              </w:rPr>
            </w:pPr>
            <w:r w:rsidRPr="00A77D30">
              <w:rPr>
                <w:rFonts w:ascii="Arial" w:eastAsiaTheme="minorEastAsia" w:cs="Arial"/>
                <w:sz w:val="22"/>
              </w:rPr>
              <w:t>Nombre</w:t>
            </w:r>
          </w:p>
        </w:tc>
        <w:tc>
          <w:tcPr>
            <w:tcW w:w="5327" w:type="dxa"/>
            <w:tcBorders>
              <w:left w:val="single" w:sz="4" w:space="0" w:color="auto"/>
              <w:bottom w:val="single" w:sz="4" w:space="0" w:color="auto"/>
            </w:tcBorders>
          </w:tcPr>
          <w:p w14:paraId="5C24B9FB" w14:textId="77777777" w:rsidR="000F7773" w:rsidRPr="00A77D30" w:rsidRDefault="000F7773" w:rsidP="00DB0816">
            <w:pPr>
              <w:rPr>
                <w:rFonts w:ascii="Arial" w:eastAsiaTheme="minorEastAsia" w:cs="Arial"/>
                <w:sz w:val="22"/>
              </w:rPr>
            </w:pPr>
            <w:r w:rsidRPr="00A77D30">
              <w:rPr>
                <w:rFonts w:ascii="Arial" w:eastAsiaTheme="minorEastAsia" w:cs="Arial"/>
                <w:sz w:val="22"/>
              </w:rPr>
              <w:t xml:space="preserve">Ecuación </w:t>
            </w:r>
          </w:p>
        </w:tc>
        <w:tc>
          <w:tcPr>
            <w:tcW w:w="1379" w:type="dxa"/>
            <w:tcBorders>
              <w:bottom w:val="single" w:sz="4" w:space="0" w:color="auto"/>
            </w:tcBorders>
          </w:tcPr>
          <w:p w14:paraId="07FFB578" w14:textId="77777777" w:rsidR="000F7773" w:rsidRPr="00A77D30" w:rsidRDefault="000F7773" w:rsidP="00DB0816">
            <w:pPr>
              <w:rPr>
                <w:rFonts w:ascii="Arial" w:eastAsiaTheme="minorEastAsia" w:cs="Arial"/>
                <w:sz w:val="22"/>
              </w:rPr>
            </w:pPr>
            <w:r w:rsidRPr="00A77D30">
              <w:rPr>
                <w:rFonts w:ascii="Arial" w:eastAsiaTheme="minorEastAsia" w:cs="Arial"/>
                <w:sz w:val="22"/>
              </w:rPr>
              <w:t>Ecuaciones</w:t>
            </w:r>
          </w:p>
        </w:tc>
        <w:tc>
          <w:tcPr>
            <w:tcW w:w="1191" w:type="dxa"/>
            <w:tcBorders>
              <w:bottom w:val="single" w:sz="4" w:space="0" w:color="auto"/>
            </w:tcBorders>
          </w:tcPr>
          <w:p w14:paraId="77E1638E" w14:textId="77777777" w:rsidR="000F7773" w:rsidRPr="00A77D30" w:rsidRDefault="000F7773" w:rsidP="00DB0816">
            <w:pPr>
              <w:rPr>
                <w:rFonts w:ascii="Arial" w:eastAsiaTheme="minorEastAsia" w:cs="Arial"/>
                <w:sz w:val="22"/>
              </w:rPr>
            </w:pPr>
            <w:r w:rsidRPr="00A77D30">
              <w:rPr>
                <w:rFonts w:ascii="Arial" w:eastAsiaTheme="minorEastAsia" w:cs="Arial"/>
                <w:sz w:val="22"/>
              </w:rPr>
              <w:t>Variables</w:t>
            </w:r>
          </w:p>
        </w:tc>
      </w:tr>
      <w:tr w:rsidR="000F7773" w14:paraId="35E3EB5C" w14:textId="77777777" w:rsidTr="00DB0816">
        <w:trPr>
          <w:trHeight w:val="488"/>
          <w:jc w:val="center"/>
        </w:trPr>
        <w:tc>
          <w:tcPr>
            <w:tcW w:w="1463" w:type="dxa"/>
            <w:tcBorders>
              <w:top w:val="single" w:sz="4" w:space="0" w:color="auto"/>
              <w:right w:val="single" w:sz="4" w:space="0" w:color="auto"/>
            </w:tcBorders>
          </w:tcPr>
          <w:p w14:paraId="6D11C157" w14:textId="77777777" w:rsidR="000F7773" w:rsidRDefault="000F7773" w:rsidP="00DB0816">
            <w:pPr>
              <w:rPr>
                <w:rFonts w:eastAsiaTheme="minorEastAsia" w:cs="Arial"/>
              </w:rPr>
            </w:pPr>
            <w:r w:rsidRPr="00425501">
              <w:rPr>
                <w:rFonts w:ascii="Arial" w:eastAsiaTheme="minorEastAsia" w:cs="Arial"/>
                <w:position w:val="-10"/>
                <w:lang w:eastAsia="es-ES"/>
              </w:rPr>
              <w:object w:dxaOrig="660" w:dyaOrig="320" w14:anchorId="1080C382">
                <v:shape id="_x0000_i1278" type="#_x0000_t75" style="width:30.75pt;height:15.75pt" o:ole="">
                  <v:imagedata r:id="rId514" o:title=""/>
                </v:shape>
                <o:OLEObject Type="Embed" ProgID="Equation.DSMT4" ShapeID="_x0000_i1278" DrawAspect="Content" ObjectID="_1706014959" r:id="rId515"/>
              </w:object>
            </w:r>
            <w:r>
              <w:rPr>
                <w:rFonts w:eastAsiaTheme="minorEastAsia" w:cs="Arial"/>
              </w:rPr>
              <w:t xml:space="preserve"> </w:t>
            </w:r>
          </w:p>
        </w:tc>
        <w:tc>
          <w:tcPr>
            <w:tcW w:w="5327" w:type="dxa"/>
            <w:tcBorders>
              <w:top w:val="single" w:sz="4" w:space="0" w:color="auto"/>
              <w:left w:val="single" w:sz="4" w:space="0" w:color="auto"/>
            </w:tcBorders>
          </w:tcPr>
          <w:p w14:paraId="5D3309F5" w14:textId="77777777" w:rsidR="000F7773" w:rsidRPr="007704AF" w:rsidRDefault="000F7773" w:rsidP="00DB0816">
            <w:pPr>
              <w:rPr>
                <w:rFonts w:eastAsiaTheme="minorEastAsia" w:cs="Arial"/>
                <w:lang w:val="en-US"/>
              </w:rPr>
            </w:pPr>
            <w:r w:rsidRPr="00F51874">
              <w:rPr>
                <w:rFonts w:ascii="Arial" w:eastAsiaTheme="minorEastAsia" w:cs="Arial"/>
                <w:position w:val="-50"/>
                <w:lang w:eastAsia="es-ES"/>
              </w:rPr>
              <w:object w:dxaOrig="5420" w:dyaOrig="1120" w14:anchorId="36D90242">
                <v:shape id="_x0000_i1279" type="#_x0000_t75" style="width:257.25pt;height:56.25pt" o:ole="">
                  <v:imagedata r:id="rId516" o:title=""/>
                </v:shape>
                <o:OLEObject Type="Embed" ProgID="Equation.DSMT4" ShapeID="_x0000_i1279" DrawAspect="Content" ObjectID="_1706014960" r:id="rId517"/>
              </w:object>
            </w:r>
            <w:r>
              <w:rPr>
                <w:rFonts w:eastAsiaTheme="minorEastAsia" w:cs="Arial"/>
              </w:rPr>
              <w:t xml:space="preserve"> </w:t>
            </w:r>
          </w:p>
        </w:tc>
        <w:tc>
          <w:tcPr>
            <w:tcW w:w="1379" w:type="dxa"/>
            <w:tcBorders>
              <w:top w:val="single" w:sz="4" w:space="0" w:color="auto"/>
            </w:tcBorders>
          </w:tcPr>
          <w:p w14:paraId="0A11F6D1" w14:textId="77777777" w:rsidR="000F7773" w:rsidRDefault="000F7773" w:rsidP="00DB0816">
            <w:pPr>
              <w:rPr>
                <w:rFonts w:eastAsiaTheme="minorEastAsia" w:cs="Arial"/>
              </w:rPr>
            </w:pPr>
            <w:r w:rsidRPr="005B1FE6">
              <w:rPr>
                <w:rFonts w:ascii="Arial" w:eastAsiaTheme="minorEastAsia" w:cs="Arial"/>
                <w:position w:val="-4"/>
                <w:lang w:eastAsia="es-ES"/>
              </w:rPr>
              <w:object w:dxaOrig="139" w:dyaOrig="260" w14:anchorId="3E386203">
                <v:shape id="_x0000_i1280" type="#_x0000_t75" style="width:5.25pt;height:15.75pt" o:ole="">
                  <v:imagedata r:id="rId518" o:title=""/>
                </v:shape>
                <o:OLEObject Type="Embed" ProgID="Equation.DSMT4" ShapeID="_x0000_i1280" DrawAspect="Content" ObjectID="_1706014961" r:id="rId519"/>
              </w:object>
            </w:r>
            <w:r>
              <w:rPr>
                <w:rFonts w:eastAsiaTheme="minorEastAsia" w:cs="Arial"/>
              </w:rPr>
              <w:t xml:space="preserve"> </w:t>
            </w:r>
          </w:p>
        </w:tc>
        <w:tc>
          <w:tcPr>
            <w:tcW w:w="1191" w:type="dxa"/>
            <w:tcBorders>
              <w:top w:val="single" w:sz="4" w:space="0" w:color="auto"/>
            </w:tcBorders>
          </w:tcPr>
          <w:p w14:paraId="6E36583C" w14:textId="77777777" w:rsidR="000F7773" w:rsidRDefault="000F7773" w:rsidP="00DB0816">
            <w:pPr>
              <w:rPr>
                <w:rFonts w:eastAsiaTheme="minorEastAsia" w:cs="Arial"/>
              </w:rPr>
            </w:pPr>
            <w:r w:rsidRPr="009740A8">
              <w:rPr>
                <w:rFonts w:ascii="Arial" w:eastAsiaTheme="minorEastAsia" w:cs="Arial"/>
                <w:position w:val="-4"/>
                <w:lang w:eastAsia="es-ES"/>
              </w:rPr>
              <w:object w:dxaOrig="340" w:dyaOrig="260" w14:anchorId="1414E43C">
                <v:shape id="_x0000_i1281" type="#_x0000_t75" style="width:15.75pt;height:15.75pt" o:ole="">
                  <v:imagedata r:id="rId520" o:title=""/>
                </v:shape>
                <o:OLEObject Type="Embed" ProgID="Equation.DSMT4" ShapeID="_x0000_i1281" DrawAspect="Content" ObjectID="_1706014962" r:id="rId521"/>
              </w:object>
            </w:r>
            <w:r>
              <w:rPr>
                <w:rFonts w:eastAsiaTheme="minorEastAsia" w:cs="Arial"/>
              </w:rPr>
              <w:t xml:space="preserve"> </w:t>
            </w:r>
          </w:p>
        </w:tc>
      </w:tr>
      <w:tr w:rsidR="000F7773" w14:paraId="3BF66DA9" w14:textId="77777777" w:rsidTr="00DB0816">
        <w:trPr>
          <w:trHeight w:val="608"/>
          <w:jc w:val="center"/>
        </w:trPr>
        <w:tc>
          <w:tcPr>
            <w:tcW w:w="1463" w:type="dxa"/>
            <w:tcBorders>
              <w:right w:val="single" w:sz="4" w:space="0" w:color="auto"/>
            </w:tcBorders>
          </w:tcPr>
          <w:p w14:paraId="03C9021D" w14:textId="77777777" w:rsidR="000F7773" w:rsidRDefault="000F7773" w:rsidP="00DB0816">
            <w:pPr>
              <w:rPr>
                <w:rFonts w:eastAsiaTheme="minorEastAsia" w:cs="Arial"/>
              </w:rPr>
            </w:pPr>
            <w:r w:rsidRPr="009B0131">
              <w:rPr>
                <w:rFonts w:ascii="Arial" w:eastAsiaTheme="minorEastAsia" w:cs="Arial"/>
                <w:position w:val="-12"/>
                <w:lang w:eastAsia="es-ES"/>
              </w:rPr>
              <w:object w:dxaOrig="1240" w:dyaOrig="360" w14:anchorId="00848ECB">
                <v:shape id="_x0000_i1282" type="#_x0000_t75" style="width:66.75pt;height:20.25pt" o:ole="">
                  <v:imagedata r:id="rId522" o:title=""/>
                </v:shape>
                <o:OLEObject Type="Embed" ProgID="Equation.DSMT4" ShapeID="_x0000_i1282" DrawAspect="Content" ObjectID="_1706014963" r:id="rId523"/>
              </w:object>
            </w:r>
            <w:r>
              <w:rPr>
                <w:rFonts w:eastAsiaTheme="minorEastAsia" w:cs="Arial"/>
              </w:rPr>
              <w:t xml:space="preserve"> </w:t>
            </w:r>
          </w:p>
        </w:tc>
        <w:tc>
          <w:tcPr>
            <w:tcW w:w="5327" w:type="dxa"/>
            <w:tcBorders>
              <w:left w:val="single" w:sz="4" w:space="0" w:color="auto"/>
            </w:tcBorders>
          </w:tcPr>
          <w:p w14:paraId="5162D645" w14:textId="77777777" w:rsidR="000F7773" w:rsidRDefault="000F7773" w:rsidP="00DB0816">
            <w:pPr>
              <w:rPr>
                <w:rFonts w:eastAsiaTheme="minorEastAsia" w:cs="Arial"/>
              </w:rPr>
            </w:pPr>
            <w:r w:rsidRPr="00D50290">
              <w:rPr>
                <w:rFonts w:ascii="Arial" w:eastAsiaTheme="minorEastAsia" w:cs="Arial"/>
                <w:position w:val="-14"/>
                <w:lang w:eastAsia="es-ES"/>
              </w:rPr>
              <w:object w:dxaOrig="3159" w:dyaOrig="380" w14:anchorId="7866AFAD">
                <v:shape id="_x0000_i1283" type="#_x0000_t75" style="width:159.75pt;height:20.25pt" o:ole="">
                  <v:imagedata r:id="rId524" o:title=""/>
                </v:shape>
                <o:OLEObject Type="Embed" ProgID="Equation.DSMT4" ShapeID="_x0000_i1283" DrawAspect="Content" ObjectID="_1706014964" r:id="rId525"/>
              </w:object>
            </w:r>
            <w:r>
              <w:rPr>
                <w:rFonts w:eastAsiaTheme="minorEastAsia" w:cs="Arial"/>
              </w:rPr>
              <w:t xml:space="preserve"> </w:t>
            </w:r>
          </w:p>
        </w:tc>
        <w:tc>
          <w:tcPr>
            <w:tcW w:w="1379" w:type="dxa"/>
          </w:tcPr>
          <w:p w14:paraId="57C2F6B2" w14:textId="5139F4FC" w:rsidR="000F7773" w:rsidRDefault="00D13EF7" w:rsidP="00DB0816">
            <w:pPr>
              <w:rPr>
                <w:rFonts w:eastAsiaTheme="minorEastAsia" w:cs="Arial"/>
              </w:rPr>
            </w:pPr>
            <w:r w:rsidRPr="00B62EA9">
              <w:rPr>
                <w:rFonts w:ascii="Arial" w:eastAsiaTheme="minorEastAsia" w:cs="Arial"/>
                <w:position w:val="-6"/>
                <w:lang w:eastAsia="es-ES"/>
              </w:rPr>
              <w:object w:dxaOrig="180" w:dyaOrig="220" w14:anchorId="3632AD95">
                <v:shape id="_x0000_i1284" type="#_x0000_t75" style="width:10.5pt;height:10.5pt" o:ole="">
                  <v:imagedata r:id="rId418" o:title=""/>
                </v:shape>
                <o:OLEObject Type="Embed" ProgID="Equation.DSMT4" ShapeID="_x0000_i1284" DrawAspect="Content" ObjectID="_1706014965" r:id="rId526"/>
              </w:object>
            </w:r>
          </w:p>
        </w:tc>
        <w:tc>
          <w:tcPr>
            <w:tcW w:w="1191" w:type="dxa"/>
          </w:tcPr>
          <w:p w14:paraId="6D7EFE80" w14:textId="77777777" w:rsidR="000F7773" w:rsidRDefault="000F7773" w:rsidP="00DB0816">
            <w:pPr>
              <w:rPr>
                <w:rFonts w:eastAsiaTheme="minorEastAsia" w:cs="Arial"/>
              </w:rPr>
            </w:pPr>
            <w:r w:rsidRPr="000D050E">
              <w:rPr>
                <w:rFonts w:ascii="Arial" w:eastAsiaTheme="minorEastAsia" w:cs="Arial"/>
                <w:position w:val="-12"/>
                <w:lang w:eastAsia="es-ES"/>
              </w:rPr>
              <w:object w:dxaOrig="920" w:dyaOrig="360" w14:anchorId="24705B42">
                <v:shape id="_x0000_i1285" type="#_x0000_t75" style="width:41.25pt;height:20.25pt" o:ole="">
                  <v:imagedata r:id="rId527" o:title=""/>
                </v:shape>
                <o:OLEObject Type="Embed" ProgID="Equation.DSMT4" ShapeID="_x0000_i1285" DrawAspect="Content" ObjectID="_1706014966" r:id="rId528"/>
              </w:object>
            </w:r>
            <w:r>
              <w:rPr>
                <w:rFonts w:eastAsiaTheme="minorEastAsia" w:cs="Arial"/>
              </w:rPr>
              <w:t xml:space="preserve"> </w:t>
            </w:r>
          </w:p>
        </w:tc>
      </w:tr>
      <w:tr w:rsidR="000F7773" w14:paraId="55A955AE" w14:textId="77777777" w:rsidTr="00DB0816">
        <w:trPr>
          <w:trHeight w:val="453"/>
          <w:jc w:val="center"/>
        </w:trPr>
        <w:tc>
          <w:tcPr>
            <w:tcW w:w="1463" w:type="dxa"/>
            <w:tcBorders>
              <w:right w:val="single" w:sz="4" w:space="0" w:color="auto"/>
            </w:tcBorders>
          </w:tcPr>
          <w:p w14:paraId="77D9BB4A" w14:textId="77777777" w:rsidR="000F7773" w:rsidRDefault="000F7773" w:rsidP="00DB0816">
            <w:pPr>
              <w:rPr>
                <w:rFonts w:eastAsiaTheme="minorEastAsia" w:cs="Arial"/>
              </w:rPr>
            </w:pPr>
            <w:r w:rsidRPr="005615AA">
              <w:rPr>
                <w:rFonts w:ascii="Arial" w:eastAsiaTheme="minorEastAsia" w:cs="Arial"/>
                <w:position w:val="-10"/>
                <w:lang w:eastAsia="es-ES"/>
              </w:rPr>
              <w:object w:dxaOrig="1140" w:dyaOrig="320" w14:anchorId="0569CACC">
                <v:shape id="_x0000_i1286" type="#_x0000_t75" style="width:56.25pt;height:15.75pt" o:ole="">
                  <v:imagedata r:id="rId529" o:title=""/>
                </v:shape>
                <o:OLEObject Type="Embed" ProgID="Equation.DSMT4" ShapeID="_x0000_i1286" DrawAspect="Content" ObjectID="_1706014967" r:id="rId530"/>
              </w:object>
            </w:r>
            <w:r>
              <w:rPr>
                <w:rFonts w:eastAsiaTheme="minorEastAsia" w:cs="Arial"/>
              </w:rPr>
              <w:t xml:space="preserve"> </w:t>
            </w:r>
          </w:p>
        </w:tc>
        <w:tc>
          <w:tcPr>
            <w:tcW w:w="5327" w:type="dxa"/>
            <w:tcBorders>
              <w:left w:val="single" w:sz="4" w:space="0" w:color="auto"/>
            </w:tcBorders>
          </w:tcPr>
          <w:p w14:paraId="76F31059" w14:textId="77777777" w:rsidR="000F7773" w:rsidRDefault="000F7773" w:rsidP="00DB0816">
            <w:pPr>
              <w:tabs>
                <w:tab w:val="left" w:pos="980"/>
              </w:tabs>
              <w:rPr>
                <w:rFonts w:eastAsiaTheme="minorEastAsia" w:cs="Arial"/>
              </w:rPr>
            </w:pPr>
            <w:r w:rsidRPr="005615AA">
              <w:rPr>
                <w:rFonts w:ascii="Arial" w:eastAsiaTheme="minorEastAsia" w:cs="Arial"/>
                <w:position w:val="-30"/>
                <w:lang w:eastAsia="es-ES"/>
              </w:rPr>
              <w:object w:dxaOrig="2760" w:dyaOrig="720" w14:anchorId="4695A317">
                <v:shape id="_x0000_i1287" type="#_x0000_t75" style="width:138.75pt;height:36pt" o:ole="">
                  <v:imagedata r:id="rId531" o:title=""/>
                </v:shape>
                <o:OLEObject Type="Embed" ProgID="Equation.DSMT4" ShapeID="_x0000_i1287" DrawAspect="Content" ObjectID="_1706014968" r:id="rId532"/>
              </w:object>
            </w:r>
            <w:r>
              <w:rPr>
                <w:rFonts w:eastAsiaTheme="minorEastAsia" w:cs="Arial"/>
              </w:rPr>
              <w:t xml:space="preserve"> </w:t>
            </w:r>
            <w:r>
              <w:rPr>
                <w:rFonts w:eastAsiaTheme="minorEastAsia" w:cs="Arial"/>
              </w:rPr>
              <w:tab/>
            </w:r>
          </w:p>
        </w:tc>
        <w:tc>
          <w:tcPr>
            <w:tcW w:w="1379" w:type="dxa"/>
          </w:tcPr>
          <w:p w14:paraId="65C719F2" w14:textId="77777777" w:rsidR="000F7773" w:rsidRDefault="000F7773" w:rsidP="00DB0816">
            <w:pPr>
              <w:rPr>
                <w:rFonts w:eastAsiaTheme="minorEastAsia" w:cs="Arial"/>
              </w:rPr>
            </w:pPr>
            <w:r w:rsidRPr="009A0C9E">
              <w:rPr>
                <w:rFonts w:ascii="Arial" w:eastAsiaTheme="minorEastAsia" w:cs="Arial"/>
                <w:position w:val="-4"/>
                <w:lang w:eastAsia="es-ES"/>
              </w:rPr>
              <w:object w:dxaOrig="139" w:dyaOrig="260" w14:anchorId="759E7EEC">
                <v:shape id="_x0000_i1288" type="#_x0000_t75" style="width:5.25pt;height:15.75pt" o:ole="">
                  <v:imagedata r:id="rId533" o:title=""/>
                </v:shape>
                <o:OLEObject Type="Embed" ProgID="Equation.DSMT4" ShapeID="_x0000_i1288" DrawAspect="Content" ObjectID="_1706014969" r:id="rId534"/>
              </w:object>
            </w:r>
            <w:r>
              <w:rPr>
                <w:rFonts w:eastAsiaTheme="minorEastAsia" w:cs="Arial"/>
              </w:rPr>
              <w:t xml:space="preserve"> </w:t>
            </w:r>
          </w:p>
        </w:tc>
        <w:tc>
          <w:tcPr>
            <w:tcW w:w="1191" w:type="dxa"/>
          </w:tcPr>
          <w:p w14:paraId="223B3D3F" w14:textId="77777777" w:rsidR="000F7773" w:rsidRDefault="000F7773" w:rsidP="00DB0816">
            <w:pPr>
              <w:rPr>
                <w:rFonts w:eastAsiaTheme="minorEastAsia" w:cs="Arial"/>
              </w:rPr>
            </w:pPr>
            <w:r w:rsidRPr="009A0C9E">
              <w:rPr>
                <w:rFonts w:ascii="Arial" w:eastAsiaTheme="minorEastAsia" w:cs="Arial"/>
                <w:position w:val="-6"/>
                <w:lang w:eastAsia="es-ES"/>
              </w:rPr>
              <w:object w:dxaOrig="820" w:dyaOrig="279" w14:anchorId="5C780E35">
                <v:shape id="_x0000_i1289" type="#_x0000_t75" style="width:41.25pt;height:15.75pt" o:ole="">
                  <v:imagedata r:id="rId535" o:title=""/>
                </v:shape>
                <o:OLEObject Type="Embed" ProgID="Equation.DSMT4" ShapeID="_x0000_i1289" DrawAspect="Content" ObjectID="_1706014970" r:id="rId536"/>
              </w:object>
            </w:r>
            <w:r>
              <w:rPr>
                <w:rFonts w:eastAsiaTheme="minorEastAsia" w:cs="Arial"/>
              </w:rPr>
              <w:t xml:space="preserve"> </w:t>
            </w:r>
          </w:p>
        </w:tc>
      </w:tr>
      <w:tr w:rsidR="000F7773" w14:paraId="1678C297" w14:textId="77777777" w:rsidTr="00DB0816">
        <w:trPr>
          <w:trHeight w:val="453"/>
          <w:jc w:val="center"/>
        </w:trPr>
        <w:tc>
          <w:tcPr>
            <w:tcW w:w="1463" w:type="dxa"/>
            <w:tcBorders>
              <w:right w:val="single" w:sz="4" w:space="0" w:color="auto"/>
            </w:tcBorders>
          </w:tcPr>
          <w:p w14:paraId="5C48CC1A" w14:textId="77777777" w:rsidR="000F7773" w:rsidRDefault="000F7773" w:rsidP="00DB0816">
            <w:pPr>
              <w:rPr>
                <w:rFonts w:eastAsiaTheme="minorEastAsia" w:cs="Arial"/>
              </w:rPr>
            </w:pPr>
            <w:r w:rsidRPr="00231E72">
              <w:rPr>
                <w:rFonts w:ascii="Arial" w:eastAsiaTheme="minorEastAsia" w:cs="Arial"/>
                <w:position w:val="-12"/>
                <w:lang w:eastAsia="es-ES"/>
              </w:rPr>
              <w:object w:dxaOrig="1260" w:dyaOrig="360" w14:anchorId="04C5E571">
                <v:shape id="_x0000_i1290" type="#_x0000_t75" style="width:66.75pt;height:20.25pt" o:ole="">
                  <v:imagedata r:id="rId537" o:title=""/>
                </v:shape>
                <o:OLEObject Type="Embed" ProgID="Equation.DSMT4" ShapeID="_x0000_i1290" DrawAspect="Content" ObjectID="_1706014971" r:id="rId538"/>
              </w:object>
            </w:r>
            <w:r>
              <w:rPr>
                <w:rFonts w:eastAsiaTheme="minorEastAsia" w:cs="Arial"/>
              </w:rPr>
              <w:t xml:space="preserve"> </w:t>
            </w:r>
            <w:r w:rsidRPr="009C78FB">
              <w:rPr>
                <w:rFonts w:ascii="Arial" w:eastAsiaTheme="minorEastAsia" w:cs="Arial"/>
                <w:position w:val="-4"/>
                <w:lang w:eastAsia="es-ES"/>
              </w:rPr>
              <w:object w:dxaOrig="180" w:dyaOrig="279" w14:anchorId="36FFDFE4">
                <v:shape id="_x0000_i1291" type="#_x0000_t75" style="width:5.25pt;height:15.75pt" o:ole="">
                  <v:imagedata r:id="rId377" o:title=""/>
                </v:shape>
                <o:OLEObject Type="Embed" ProgID="Equation.DSMT4" ShapeID="_x0000_i1291" DrawAspect="Content" ObjectID="_1706014972" r:id="rId539"/>
              </w:object>
            </w:r>
            <w:r>
              <w:rPr>
                <w:rFonts w:eastAsiaTheme="minorEastAsia" w:cs="Arial"/>
              </w:rPr>
              <w:t xml:space="preserve"> </w:t>
            </w:r>
          </w:p>
        </w:tc>
        <w:tc>
          <w:tcPr>
            <w:tcW w:w="5327" w:type="dxa"/>
            <w:tcBorders>
              <w:left w:val="single" w:sz="4" w:space="0" w:color="auto"/>
            </w:tcBorders>
          </w:tcPr>
          <w:p w14:paraId="6FCADDC1" w14:textId="77777777" w:rsidR="000F7773" w:rsidRDefault="000F7773" w:rsidP="00DB0816">
            <w:pPr>
              <w:rPr>
                <w:rFonts w:eastAsiaTheme="minorEastAsia" w:cs="Arial"/>
              </w:rPr>
            </w:pPr>
            <w:r w:rsidRPr="00C9556E">
              <w:rPr>
                <w:rFonts w:ascii="Arial" w:eastAsiaTheme="minorEastAsia" w:cs="Arial"/>
                <w:position w:val="-42"/>
                <w:lang w:eastAsia="es-ES"/>
              </w:rPr>
              <w:object w:dxaOrig="5280" w:dyaOrig="960" w14:anchorId="113CFE61">
                <v:shape id="_x0000_i1292" type="#_x0000_t75" style="width:256.5pt;height:41.25pt" o:ole="">
                  <v:imagedata r:id="rId540" o:title=""/>
                </v:shape>
                <o:OLEObject Type="Embed" ProgID="Equation.DSMT4" ShapeID="_x0000_i1292" DrawAspect="Content" ObjectID="_1706014973" r:id="rId541"/>
              </w:object>
            </w:r>
            <w:r>
              <w:rPr>
                <w:rFonts w:eastAsiaTheme="minorEastAsia" w:cs="Arial"/>
              </w:rPr>
              <w:t xml:space="preserve"> </w:t>
            </w:r>
          </w:p>
        </w:tc>
        <w:tc>
          <w:tcPr>
            <w:tcW w:w="1379" w:type="dxa"/>
          </w:tcPr>
          <w:p w14:paraId="54AA2CEC" w14:textId="0549C531" w:rsidR="000F7773" w:rsidRDefault="00F30696" w:rsidP="00DB0816">
            <w:pPr>
              <w:rPr>
                <w:rFonts w:eastAsiaTheme="minorEastAsia" w:cs="Arial"/>
              </w:rPr>
            </w:pPr>
            <w:r w:rsidRPr="00B62EA9">
              <w:rPr>
                <w:rFonts w:ascii="Arial" w:eastAsiaTheme="minorEastAsia" w:cs="Arial"/>
                <w:position w:val="-6"/>
                <w:lang w:eastAsia="es-ES"/>
              </w:rPr>
              <w:object w:dxaOrig="200" w:dyaOrig="279" w14:anchorId="0171F8CB">
                <v:shape id="_x0000_i1293" type="#_x0000_t75" style="width:10.5pt;height:15.75pt" o:ole="">
                  <v:imagedata r:id="rId542" o:title=""/>
                </v:shape>
                <o:OLEObject Type="Embed" ProgID="Equation.DSMT4" ShapeID="_x0000_i1293" DrawAspect="Content" ObjectID="_1706014974" r:id="rId543"/>
              </w:object>
            </w:r>
          </w:p>
        </w:tc>
        <w:tc>
          <w:tcPr>
            <w:tcW w:w="1191" w:type="dxa"/>
          </w:tcPr>
          <w:p w14:paraId="1F8A44A9" w14:textId="77777777" w:rsidR="000F7773" w:rsidRDefault="000F7773" w:rsidP="00DB0816">
            <w:pPr>
              <w:rPr>
                <w:rFonts w:eastAsiaTheme="minorEastAsia" w:cs="Arial"/>
              </w:rPr>
            </w:pPr>
            <w:r w:rsidRPr="00B7073A">
              <w:rPr>
                <w:rFonts w:ascii="Arial" w:eastAsiaTheme="minorEastAsia" w:cs="Arial"/>
                <w:position w:val="-12"/>
                <w:lang w:eastAsia="es-ES"/>
              </w:rPr>
              <w:object w:dxaOrig="940" w:dyaOrig="360" w14:anchorId="12E286B2">
                <v:shape id="_x0000_i1294" type="#_x0000_t75" style="width:41.25pt;height:20.25pt" o:ole="">
                  <v:imagedata r:id="rId544" o:title=""/>
                </v:shape>
                <o:OLEObject Type="Embed" ProgID="Equation.DSMT4" ShapeID="_x0000_i1294" DrawAspect="Content" ObjectID="_1706014975" r:id="rId545"/>
              </w:object>
            </w:r>
            <w:r>
              <w:rPr>
                <w:rFonts w:eastAsiaTheme="minorEastAsia" w:cs="Arial"/>
              </w:rPr>
              <w:t xml:space="preserve"> </w:t>
            </w:r>
          </w:p>
        </w:tc>
      </w:tr>
      <w:tr w:rsidR="000F7773" w14:paraId="1813A4D2" w14:textId="77777777" w:rsidTr="00DB0816">
        <w:trPr>
          <w:trHeight w:val="453"/>
          <w:jc w:val="center"/>
        </w:trPr>
        <w:tc>
          <w:tcPr>
            <w:tcW w:w="1463" w:type="dxa"/>
            <w:tcBorders>
              <w:bottom w:val="single" w:sz="4" w:space="0" w:color="auto"/>
              <w:right w:val="single" w:sz="4" w:space="0" w:color="auto"/>
            </w:tcBorders>
          </w:tcPr>
          <w:p w14:paraId="31CDE15D" w14:textId="77777777" w:rsidR="000F7773" w:rsidRDefault="000F7773" w:rsidP="00DB0816">
            <w:pPr>
              <w:rPr>
                <w:rFonts w:eastAsiaTheme="minorEastAsia" w:cs="Arial"/>
              </w:rPr>
            </w:pPr>
            <w:r w:rsidRPr="000E0FD0">
              <w:rPr>
                <w:rFonts w:ascii="Arial" w:eastAsiaTheme="minorEastAsia" w:cs="Arial"/>
                <w:position w:val="-10"/>
                <w:lang w:eastAsia="es-ES"/>
              </w:rPr>
              <w:object w:dxaOrig="1320" w:dyaOrig="320" w14:anchorId="175620E0">
                <v:shape id="_x0000_i1295" type="#_x0000_t75" style="width:66.75pt;height:15.75pt" o:ole="">
                  <v:imagedata r:id="rId546" o:title=""/>
                </v:shape>
                <o:OLEObject Type="Embed" ProgID="Equation.DSMT4" ShapeID="_x0000_i1295" DrawAspect="Content" ObjectID="_1706014976" r:id="rId547"/>
              </w:object>
            </w:r>
            <w:r>
              <w:rPr>
                <w:rFonts w:eastAsiaTheme="minorEastAsia" w:cs="Arial"/>
              </w:rPr>
              <w:t xml:space="preserve"> </w:t>
            </w:r>
          </w:p>
        </w:tc>
        <w:tc>
          <w:tcPr>
            <w:tcW w:w="5327" w:type="dxa"/>
            <w:tcBorders>
              <w:left w:val="single" w:sz="4" w:space="0" w:color="auto"/>
              <w:bottom w:val="single" w:sz="4" w:space="0" w:color="auto"/>
            </w:tcBorders>
          </w:tcPr>
          <w:p w14:paraId="424B83B4" w14:textId="77777777" w:rsidR="000F7773" w:rsidRDefault="000F7773" w:rsidP="00DB0816">
            <w:pPr>
              <w:rPr>
                <w:rFonts w:eastAsiaTheme="minorEastAsia" w:cs="Arial"/>
              </w:rPr>
            </w:pPr>
            <w:r w:rsidRPr="00C9556E">
              <w:rPr>
                <w:rFonts w:ascii="Arial" w:eastAsiaTheme="minorEastAsia" w:cs="Arial"/>
                <w:position w:val="-42"/>
                <w:lang w:eastAsia="es-ES"/>
              </w:rPr>
              <w:object w:dxaOrig="5280" w:dyaOrig="960" w14:anchorId="5E37EC6B">
                <v:shape id="_x0000_i1296" type="#_x0000_t75" style="width:256.5pt;height:41.25pt" o:ole="">
                  <v:imagedata r:id="rId548" o:title=""/>
                </v:shape>
                <o:OLEObject Type="Embed" ProgID="Equation.DSMT4" ShapeID="_x0000_i1296" DrawAspect="Content" ObjectID="_1706014977" r:id="rId549"/>
              </w:object>
            </w:r>
          </w:p>
        </w:tc>
        <w:tc>
          <w:tcPr>
            <w:tcW w:w="1379" w:type="dxa"/>
            <w:tcBorders>
              <w:bottom w:val="single" w:sz="4" w:space="0" w:color="auto"/>
            </w:tcBorders>
          </w:tcPr>
          <w:p w14:paraId="66085ED7" w14:textId="6091409A" w:rsidR="000F7773" w:rsidRDefault="00B63A5B" w:rsidP="00DB0816">
            <w:pPr>
              <w:rPr>
                <w:rFonts w:eastAsiaTheme="minorEastAsia" w:cs="Arial"/>
              </w:rPr>
            </w:pPr>
            <w:r w:rsidRPr="00132545">
              <w:rPr>
                <w:rFonts w:ascii="Arial" w:eastAsiaTheme="minorEastAsia" w:cs="Arial"/>
                <w:position w:val="-4"/>
                <w:lang w:eastAsia="es-ES"/>
              </w:rPr>
              <w:object w:dxaOrig="139" w:dyaOrig="260" w14:anchorId="5743DEA7">
                <v:shape id="_x0000_i1297" type="#_x0000_t75" style="width:5.25pt;height:15.75pt" o:ole="">
                  <v:imagedata r:id="rId550" o:title=""/>
                </v:shape>
                <o:OLEObject Type="Embed" ProgID="Equation.DSMT4" ShapeID="_x0000_i1297" DrawAspect="Content" ObjectID="_1706014978" r:id="rId551"/>
              </w:object>
            </w:r>
          </w:p>
        </w:tc>
        <w:tc>
          <w:tcPr>
            <w:tcW w:w="1191" w:type="dxa"/>
            <w:tcBorders>
              <w:bottom w:val="single" w:sz="4" w:space="0" w:color="auto"/>
            </w:tcBorders>
          </w:tcPr>
          <w:p w14:paraId="6A2B3EC3" w14:textId="77777777" w:rsidR="000F7773" w:rsidRDefault="000F7773" w:rsidP="00DB0816">
            <w:pPr>
              <w:rPr>
                <w:rFonts w:eastAsiaTheme="minorEastAsia" w:cs="Arial"/>
              </w:rPr>
            </w:pPr>
            <w:r w:rsidRPr="00EB56BF">
              <w:rPr>
                <w:rFonts w:ascii="Arial" w:eastAsiaTheme="minorEastAsia" w:cs="Arial"/>
                <w:position w:val="-6"/>
                <w:lang w:eastAsia="es-ES"/>
              </w:rPr>
              <w:object w:dxaOrig="1040" w:dyaOrig="279" w14:anchorId="1619F4FF">
                <v:shape id="_x0000_i1298" type="#_x0000_t75" style="width:51.75pt;height:15.75pt" o:ole="">
                  <v:imagedata r:id="rId552" o:title=""/>
                </v:shape>
                <o:OLEObject Type="Embed" ProgID="Equation.DSMT4" ShapeID="_x0000_i1298" DrawAspect="Content" ObjectID="_1706014979" r:id="rId553"/>
              </w:object>
            </w:r>
            <w:r>
              <w:rPr>
                <w:rFonts w:eastAsiaTheme="minorEastAsia" w:cs="Arial"/>
              </w:rPr>
              <w:t xml:space="preserve"> </w:t>
            </w:r>
          </w:p>
        </w:tc>
      </w:tr>
    </w:tbl>
    <w:p w14:paraId="44A6C7EF" w14:textId="4AD76CD5" w:rsidR="000F7773" w:rsidRPr="00220F06" w:rsidRDefault="000F7773" w:rsidP="000F7773">
      <w:pPr>
        <w:rPr>
          <w:rFonts w:cs="Arial"/>
          <w:sz w:val="18"/>
        </w:rPr>
      </w:pPr>
      <w:r w:rsidRPr="00220F06">
        <w:rPr>
          <w:rFonts w:cs="Arial"/>
          <w:sz w:val="18"/>
        </w:rPr>
        <w:t xml:space="preserve">Fuente: </w:t>
      </w:r>
      <w:r w:rsidRPr="00220F06">
        <w:rPr>
          <w:rFonts w:cs="Arial"/>
          <w:sz w:val="18"/>
        </w:rPr>
        <w:fldChar w:fldCharType="begin" w:fldLock="1"/>
      </w:r>
      <w:r w:rsidR="00475856">
        <w:rPr>
          <w:rFonts w:cs="Arial"/>
          <w:sz w:val="18"/>
        </w:rPr>
        <w:instrText>ADDIN CSL_CITATION {"citationItems":[{"id":"ITEM-1","itemData":{"author":[{"dropping-particle":"","family":"McDonald","given":"Scott","non-dropping-particle":"","parse-names":false,"suffix":""},{"dropping-particle":"","family":"Thierfelder","given":"Karen","non-dropping-particle":"","parse-names":false,"suffix":""}],"id":"ITEM-1","issue":"January","issued":{"date-parts":[["2017"]]},"number-of-pages":"1-89","title":"A Static Applied General Equilibrium Model: Technical Documentation - STAGE_int Version","type":"report"},"uris":["http://www.mendeley.com/documents/?uuid=83316eb5-e8df-4029-aa83-a2c1fd511a0d"]}],"mendeley":{"formattedCitation":"(McDonald &amp; Thierfelder, 2017)","manualFormatting":"McDonald &amp; Thierfelder (2017)","plainTextFormattedCitation":"(McDonald &amp; Thierfelder, 2017)","previouslyFormattedCitation":"(McDonald &amp; Thierfelder, 2017)"},"properties":{"noteIndex":0},"schema":"https://github.com/citation-style-language/schema/raw/master/csl-citation.json"}</w:instrText>
      </w:r>
      <w:r w:rsidRPr="00220F06">
        <w:rPr>
          <w:rFonts w:cs="Arial"/>
          <w:sz w:val="18"/>
        </w:rPr>
        <w:fldChar w:fldCharType="separate"/>
      </w:r>
      <w:r w:rsidRPr="00220F06">
        <w:rPr>
          <w:rFonts w:cs="Arial"/>
          <w:noProof/>
          <w:sz w:val="18"/>
        </w:rPr>
        <w:t>McDonald &amp; Thierfelder (2017)</w:t>
      </w:r>
      <w:r w:rsidRPr="00220F06">
        <w:rPr>
          <w:rFonts w:cs="Arial"/>
          <w:sz w:val="18"/>
        </w:rPr>
        <w:fldChar w:fldCharType="end"/>
      </w:r>
      <w:r w:rsidRPr="00220F06">
        <w:rPr>
          <w:rFonts w:cs="Arial"/>
          <w:sz w:val="18"/>
        </w:rPr>
        <w:t>.</w:t>
      </w:r>
    </w:p>
    <w:p w14:paraId="4D50E5C7" w14:textId="5568BBDA" w:rsidR="000F7773" w:rsidRDefault="000F7773" w:rsidP="00FB4C93">
      <w:pPr>
        <w:spacing w:line="240" w:lineRule="auto"/>
      </w:pPr>
      <w:r>
        <w:rPr>
          <w:rFonts w:eastAsiaTheme="minorEastAsia" w:cs="Arial"/>
        </w:rPr>
        <w:t>El gobierno tiene diferentes instrumentos para recolectar sus ingresos, estos son los impuestos, los cuales se muestra su tasa en</w:t>
      </w:r>
      <w:r w:rsidR="00A77D30">
        <w:rPr>
          <w:rFonts w:eastAsiaTheme="minorEastAsia" w:cs="Arial"/>
        </w:rPr>
        <w:t xml:space="preserve"> </w:t>
      </w:r>
      <w:r w:rsidR="00A77D30">
        <w:rPr>
          <w:rFonts w:eastAsiaTheme="minorEastAsia" w:cs="Arial"/>
        </w:rPr>
        <w:fldChar w:fldCharType="begin"/>
      </w:r>
      <w:r w:rsidR="00A77D30">
        <w:rPr>
          <w:rFonts w:eastAsiaTheme="minorEastAsia" w:cs="Arial"/>
        </w:rPr>
        <w:instrText xml:space="preserve"> REF _Ref524879332 \h </w:instrText>
      </w:r>
      <w:r w:rsidR="00A77D30">
        <w:instrText>\* lower</w:instrText>
      </w:r>
      <w:r w:rsidR="00A77D30">
        <w:rPr>
          <w:rFonts w:eastAsiaTheme="minorEastAsia" w:cs="Arial"/>
        </w:rPr>
        <w:instrText xml:space="preserve"> </w:instrText>
      </w:r>
      <w:r w:rsidR="00A77D30">
        <w:rPr>
          <w:rFonts w:eastAsiaTheme="minorEastAsia" w:cs="Arial"/>
        </w:rPr>
      </w:r>
      <w:r w:rsidR="00A77D30">
        <w:rPr>
          <w:rFonts w:eastAsiaTheme="minorEastAsia" w:cs="Arial"/>
        </w:rPr>
        <w:fldChar w:fldCharType="separate"/>
      </w:r>
      <w:r w:rsidR="00A95E32">
        <w:t xml:space="preserve">tabla </w:t>
      </w:r>
      <w:r w:rsidR="00A95E32">
        <w:rPr>
          <w:noProof/>
        </w:rPr>
        <w:t>13</w:t>
      </w:r>
      <w:r w:rsidR="00A77D30">
        <w:rPr>
          <w:rFonts w:eastAsiaTheme="minorEastAsia" w:cs="Arial"/>
        </w:rPr>
        <w:fldChar w:fldCharType="end"/>
      </w:r>
      <w:r>
        <w:rPr>
          <w:rFonts w:eastAsiaTheme="minorEastAsia" w:cs="Arial"/>
        </w:rPr>
        <w:t xml:space="preserve">. Como se denota en las ecuaciones cada tasa tienen tres parámetros (en minúsculas) y dos variables. </w:t>
      </w:r>
      <w:proofErr w:type="gramStart"/>
      <w:r>
        <w:rPr>
          <w:rFonts w:eastAsiaTheme="minorEastAsia" w:cs="Arial"/>
        </w:rPr>
        <w:t>La variables terminadas</w:t>
      </w:r>
      <w:proofErr w:type="gramEnd"/>
      <w:r>
        <w:rPr>
          <w:rFonts w:eastAsiaTheme="minorEastAsia" w:cs="Arial"/>
        </w:rPr>
        <w:t xml:space="preserve"> en</w:t>
      </w:r>
      <w:r w:rsidRPr="005E3F36">
        <w:rPr>
          <w:position w:val="-6"/>
        </w:rPr>
        <w:object w:dxaOrig="760" w:dyaOrig="279" w14:anchorId="7CD8A855">
          <v:shape id="_x0000_i1299" type="#_x0000_t75" style="width:36pt;height:15.75pt" o:ole="">
            <v:imagedata r:id="rId554" o:title=""/>
          </v:shape>
          <o:OLEObject Type="Embed" ProgID="Equation.DSMT4" ShapeID="_x0000_i1299" DrawAspect="Content" ObjectID="_1706014980" r:id="rId555"/>
        </w:object>
      </w:r>
      <w:r>
        <w:rPr>
          <w:rFonts w:eastAsiaTheme="minorEastAsia" w:cs="Arial"/>
        </w:rPr>
        <w:t>permiten generar un efecto multiplicativo en todas las tasas efectivas, mientras que los parámetro con prefijo</w:t>
      </w:r>
      <w:r w:rsidRPr="00B81408">
        <w:rPr>
          <w:position w:val="-6"/>
        </w:rPr>
        <w:object w:dxaOrig="639" w:dyaOrig="279" w14:anchorId="1EBED2F2">
          <v:shape id="_x0000_i1300" type="#_x0000_t75" style="width:30.75pt;height:15.75pt" o:ole="">
            <v:imagedata r:id="rId556" o:title=""/>
          </v:shape>
          <o:OLEObject Type="Embed" ProgID="Equation.DSMT4" ShapeID="_x0000_i1300" DrawAspect="Content" ObjectID="_1706014981" r:id="rId557"/>
        </w:object>
      </w:r>
      <w:r>
        <w:rPr>
          <w:rFonts w:eastAsiaTheme="minorEastAsia" w:cs="Arial"/>
        </w:rPr>
        <w:t xml:space="preserve"> generan cambios absolutos en tasas efectivas especificas al bien </w:t>
      </w:r>
      <w:r w:rsidRPr="009C4F7A">
        <w:rPr>
          <w:position w:val="-6"/>
        </w:rPr>
        <w:object w:dxaOrig="380" w:dyaOrig="279" w14:anchorId="19AF5061">
          <v:shape id="_x0000_i1301" type="#_x0000_t75" style="width:20.25pt;height:15.75pt" o:ole="">
            <v:imagedata r:id="rId558" o:title=""/>
          </v:shape>
          <o:OLEObject Type="Embed" ProgID="Equation.DSMT4" ShapeID="_x0000_i1301" DrawAspect="Content" ObjectID="_1706014982" r:id="rId559"/>
        </w:object>
      </w:r>
      <w:r>
        <w:t xml:space="preserve">, la tasa efectiva es el parámetro que termina con la letra </w:t>
      </w:r>
      <w:r w:rsidRPr="006B70ED">
        <w:rPr>
          <w:position w:val="-6"/>
        </w:rPr>
        <w:object w:dxaOrig="400" w:dyaOrig="279" w14:anchorId="75AB5122">
          <v:shape id="_x0000_i1302" type="#_x0000_t75" style="width:20.25pt;height:15.75pt" o:ole="">
            <v:imagedata r:id="rId560" o:title=""/>
          </v:shape>
          <o:OLEObject Type="Embed" ProgID="Equation.DSMT4" ShapeID="_x0000_i1302" DrawAspect="Content" ObjectID="_1706014983" r:id="rId561"/>
        </w:object>
      </w:r>
      <w:r>
        <w:t>, el cual se determina en su solución base mediante la MCS.</w:t>
      </w:r>
    </w:p>
    <w:p w14:paraId="194A4088" w14:textId="724A6A6F" w:rsidR="000F7773" w:rsidRDefault="000F7773" w:rsidP="00FB4C93">
      <w:pPr>
        <w:spacing w:line="240" w:lineRule="auto"/>
        <w:rPr>
          <w:rFonts w:eastAsiaTheme="minorEastAsia" w:cs="Arial"/>
        </w:rPr>
      </w:pPr>
      <w:r>
        <w:rPr>
          <w:rFonts w:eastAsiaTheme="minorEastAsia" w:cs="Arial"/>
        </w:rPr>
        <w:t xml:space="preserve">Los impuestos de los cuales dispone el modelo STAGE en orden con la </w:t>
      </w:r>
      <w:r w:rsidR="00104214">
        <w:rPr>
          <w:rFonts w:eastAsiaTheme="minorEastAsia" w:cs="Arial"/>
        </w:rPr>
        <w:fldChar w:fldCharType="begin"/>
      </w:r>
      <w:r w:rsidR="00104214">
        <w:rPr>
          <w:rFonts w:eastAsiaTheme="minorEastAsia" w:cs="Arial"/>
        </w:rPr>
        <w:instrText xml:space="preserve"> REF _Ref524879332 \h </w:instrText>
      </w:r>
      <w:r w:rsidR="00104214">
        <w:instrText>\* lower</w:instrText>
      </w:r>
      <w:r w:rsidR="00104214">
        <w:rPr>
          <w:rFonts w:eastAsiaTheme="minorEastAsia" w:cs="Arial"/>
        </w:rPr>
        <w:instrText xml:space="preserve"> </w:instrText>
      </w:r>
      <w:r w:rsidR="00104214">
        <w:rPr>
          <w:rFonts w:eastAsiaTheme="minorEastAsia" w:cs="Arial"/>
        </w:rPr>
      </w:r>
      <w:r w:rsidR="00104214">
        <w:rPr>
          <w:rFonts w:eastAsiaTheme="minorEastAsia" w:cs="Arial"/>
        </w:rPr>
        <w:fldChar w:fldCharType="separate"/>
      </w:r>
      <w:r w:rsidR="00A95E32">
        <w:t xml:space="preserve">tabla </w:t>
      </w:r>
      <w:r w:rsidR="00A95E32">
        <w:rPr>
          <w:noProof/>
        </w:rPr>
        <w:t>13</w:t>
      </w:r>
      <w:r w:rsidR="00104214">
        <w:rPr>
          <w:rFonts w:eastAsiaTheme="minorEastAsia" w:cs="Arial"/>
        </w:rPr>
        <w:fldChar w:fldCharType="end"/>
      </w:r>
      <w:r w:rsidR="006A0307">
        <w:rPr>
          <w:rFonts w:eastAsiaTheme="minorEastAsia" w:cs="Arial"/>
        </w:rPr>
        <w:t xml:space="preserve"> </w:t>
      </w:r>
      <w:r>
        <w:rPr>
          <w:rFonts w:eastAsiaTheme="minorEastAsia" w:cs="Arial"/>
        </w:rPr>
        <w:t xml:space="preserve">son: aranceles, impuesto a las exportaciones, impuesto de ventas (en el caso de Costa Rica el IGV),  impuesto de ventas subsidio, impuesto al valor agregado (el impuesto que se discute en reformas), </w:t>
      </w:r>
      <w:r>
        <w:rPr>
          <w:rStyle w:val="shorttext"/>
          <w:rFonts w:eastAsiaTheme="minorHAnsi"/>
        </w:rPr>
        <w:t>impuestos especiales (selectivo en bienes), impuesto a las actividades, impuesto a los factores en las actividades, impuesto a los ingresos de los factores,</w:t>
      </w:r>
      <w:r>
        <w:rPr>
          <w:rFonts w:eastAsiaTheme="minorEastAsia" w:cs="Arial"/>
        </w:rPr>
        <w:t xml:space="preserve"> impuesto a los ingresos de los hogares, impuesto al ingreso de las empresas, donde los dos últimos representan el impuesto sobre la renta (ISR). La recolección de los ingresos se realiza mediante la suma de la multiplicación de las tasas efectivas, el precio y los ítem sujeto al impuesto.</w:t>
      </w:r>
    </w:p>
    <w:p w14:paraId="509A6CEF" w14:textId="6998604C" w:rsidR="000F7773" w:rsidRPr="002177DD" w:rsidRDefault="000F7773" w:rsidP="000F7773">
      <w:pPr>
        <w:pStyle w:val="Caption"/>
      </w:pPr>
      <w:bookmarkStart w:id="114" w:name="_Ref524879332"/>
      <w:bookmarkStart w:id="115" w:name="_Toc524946951"/>
      <w:bookmarkStart w:id="116" w:name="_Toc525033955"/>
      <w:bookmarkStart w:id="117" w:name="_Toc526175256"/>
      <w:bookmarkStart w:id="118" w:name="_Toc2853703"/>
      <w:r>
        <w:t xml:space="preserve">Tabla </w:t>
      </w:r>
      <w:r w:rsidR="00F700CF">
        <w:rPr>
          <w:noProof/>
        </w:rPr>
        <w:fldChar w:fldCharType="begin"/>
      </w:r>
      <w:r w:rsidR="00F700CF">
        <w:rPr>
          <w:noProof/>
        </w:rPr>
        <w:instrText xml:space="preserve"> SEQ Tabla \* ARABIC </w:instrText>
      </w:r>
      <w:r w:rsidR="00F700CF">
        <w:rPr>
          <w:noProof/>
        </w:rPr>
        <w:fldChar w:fldCharType="separate"/>
      </w:r>
      <w:r w:rsidR="00A95E32">
        <w:rPr>
          <w:noProof/>
        </w:rPr>
        <w:t>13</w:t>
      </w:r>
      <w:r w:rsidR="00F700CF">
        <w:rPr>
          <w:noProof/>
        </w:rPr>
        <w:fldChar w:fldCharType="end"/>
      </w:r>
      <w:bookmarkEnd w:id="114"/>
      <w:r>
        <w:t xml:space="preserve"> </w:t>
      </w:r>
      <w:r>
        <w:br/>
      </w:r>
      <w:r w:rsidRPr="00DD1BFD">
        <w:t>Bloque de impuestos</w:t>
      </w:r>
      <w:bookmarkEnd w:id="115"/>
      <w:bookmarkEnd w:id="116"/>
      <w:bookmarkEnd w:id="117"/>
      <w:bookmarkEnd w:id="118"/>
    </w:p>
    <w:tbl>
      <w:tblPr>
        <w:tblStyle w:val="TableGrid"/>
        <w:tblW w:w="9026"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46"/>
        <w:gridCol w:w="5170"/>
        <w:gridCol w:w="197"/>
        <w:gridCol w:w="1157"/>
        <w:gridCol w:w="1156"/>
      </w:tblGrid>
      <w:tr w:rsidR="000F7773" w:rsidRPr="00504B4C" w14:paraId="2E686733" w14:textId="77777777" w:rsidTr="00504B4C">
        <w:trPr>
          <w:trHeight w:val="297"/>
          <w:jc w:val="center"/>
        </w:trPr>
        <w:tc>
          <w:tcPr>
            <w:tcW w:w="1331" w:type="dxa"/>
            <w:tcBorders>
              <w:bottom w:val="single" w:sz="4" w:space="0" w:color="auto"/>
              <w:right w:val="single" w:sz="4" w:space="0" w:color="auto"/>
            </w:tcBorders>
          </w:tcPr>
          <w:p w14:paraId="4F51EA42" w14:textId="77777777" w:rsidR="000F7773" w:rsidRPr="00504B4C" w:rsidRDefault="000F7773" w:rsidP="00DB0816">
            <w:pPr>
              <w:rPr>
                <w:rFonts w:ascii="Arial" w:eastAsiaTheme="minorEastAsia" w:cs="Arial"/>
                <w:sz w:val="22"/>
              </w:rPr>
            </w:pPr>
            <w:r w:rsidRPr="00504B4C">
              <w:rPr>
                <w:rFonts w:ascii="Arial" w:eastAsiaTheme="minorEastAsia" w:cs="Arial"/>
                <w:sz w:val="22"/>
              </w:rPr>
              <w:t>Nombre</w:t>
            </w:r>
          </w:p>
        </w:tc>
        <w:tc>
          <w:tcPr>
            <w:tcW w:w="5106" w:type="dxa"/>
            <w:tcBorders>
              <w:left w:val="single" w:sz="4" w:space="0" w:color="auto"/>
              <w:bottom w:val="single" w:sz="4" w:space="0" w:color="auto"/>
            </w:tcBorders>
          </w:tcPr>
          <w:p w14:paraId="1494D33A" w14:textId="77777777" w:rsidR="000F7773" w:rsidRPr="00504B4C" w:rsidRDefault="000F7773" w:rsidP="00DB0816">
            <w:pPr>
              <w:rPr>
                <w:rFonts w:ascii="Arial" w:eastAsiaTheme="minorEastAsia" w:cs="Arial"/>
                <w:sz w:val="22"/>
              </w:rPr>
            </w:pPr>
            <w:r w:rsidRPr="00504B4C">
              <w:rPr>
                <w:rFonts w:ascii="Arial" w:eastAsiaTheme="minorEastAsia" w:cs="Arial"/>
                <w:sz w:val="22"/>
              </w:rPr>
              <w:t xml:space="preserve">Ecuación </w:t>
            </w:r>
          </w:p>
        </w:tc>
        <w:tc>
          <w:tcPr>
            <w:tcW w:w="1351" w:type="dxa"/>
            <w:gridSpan w:val="2"/>
            <w:tcBorders>
              <w:bottom w:val="single" w:sz="4" w:space="0" w:color="auto"/>
            </w:tcBorders>
          </w:tcPr>
          <w:p w14:paraId="2C78051B" w14:textId="77777777" w:rsidR="000F7773" w:rsidRPr="00504B4C" w:rsidRDefault="000F7773" w:rsidP="00DB0816">
            <w:pPr>
              <w:rPr>
                <w:rFonts w:ascii="Arial" w:eastAsiaTheme="minorEastAsia" w:cs="Arial"/>
                <w:sz w:val="22"/>
              </w:rPr>
            </w:pPr>
            <w:r w:rsidRPr="00504B4C">
              <w:rPr>
                <w:rFonts w:ascii="Arial" w:eastAsiaTheme="minorEastAsia" w:cs="Arial"/>
                <w:sz w:val="22"/>
              </w:rPr>
              <w:t>Ecuaciones</w:t>
            </w:r>
          </w:p>
        </w:tc>
        <w:tc>
          <w:tcPr>
            <w:tcW w:w="1238" w:type="dxa"/>
            <w:tcBorders>
              <w:bottom w:val="single" w:sz="4" w:space="0" w:color="auto"/>
            </w:tcBorders>
          </w:tcPr>
          <w:p w14:paraId="136896A8" w14:textId="77777777" w:rsidR="000F7773" w:rsidRPr="00504B4C" w:rsidRDefault="000F7773" w:rsidP="00DB0816">
            <w:pPr>
              <w:rPr>
                <w:rFonts w:ascii="Arial" w:eastAsiaTheme="minorEastAsia" w:cs="Arial"/>
                <w:sz w:val="22"/>
              </w:rPr>
            </w:pPr>
            <w:r w:rsidRPr="00504B4C">
              <w:rPr>
                <w:rFonts w:ascii="Arial" w:eastAsiaTheme="minorEastAsia" w:cs="Arial"/>
                <w:sz w:val="22"/>
              </w:rPr>
              <w:t>Variables</w:t>
            </w:r>
          </w:p>
        </w:tc>
      </w:tr>
      <w:tr w:rsidR="000F7773" w14:paraId="745BA664" w14:textId="77777777" w:rsidTr="00504B4C">
        <w:trPr>
          <w:trHeight w:val="476"/>
          <w:jc w:val="center"/>
        </w:trPr>
        <w:tc>
          <w:tcPr>
            <w:tcW w:w="1331" w:type="dxa"/>
            <w:tcBorders>
              <w:top w:val="single" w:sz="4" w:space="0" w:color="auto"/>
              <w:right w:val="single" w:sz="4" w:space="0" w:color="auto"/>
            </w:tcBorders>
          </w:tcPr>
          <w:p w14:paraId="764BE3E5" w14:textId="77777777" w:rsidR="000F7773" w:rsidRDefault="000F7773" w:rsidP="00DB0816">
            <w:pPr>
              <w:rPr>
                <w:rFonts w:eastAsiaTheme="minorEastAsia" w:cs="Arial"/>
              </w:rPr>
            </w:pPr>
            <w:r w:rsidRPr="00577BF2">
              <w:rPr>
                <w:rFonts w:ascii="Arial" w:eastAsiaTheme="minorEastAsia" w:cs="Arial"/>
                <w:position w:val="-12"/>
                <w:lang w:eastAsia="es-ES"/>
              </w:rPr>
              <w:object w:dxaOrig="900" w:dyaOrig="360" w14:anchorId="48547286">
                <v:shape id="_x0000_i1303" type="#_x0000_t75" style="width:41.25pt;height:20.25pt" o:ole="">
                  <v:imagedata r:id="rId562" o:title=""/>
                </v:shape>
                <o:OLEObject Type="Embed" ProgID="Equation.DSMT4" ShapeID="_x0000_i1303" DrawAspect="Content" ObjectID="_1706014984" r:id="rId563"/>
              </w:object>
            </w:r>
            <w:r>
              <w:rPr>
                <w:rFonts w:eastAsiaTheme="minorEastAsia" w:cs="Arial"/>
              </w:rPr>
              <w:t xml:space="preserve"> </w:t>
            </w:r>
          </w:p>
        </w:tc>
        <w:tc>
          <w:tcPr>
            <w:tcW w:w="5300" w:type="dxa"/>
            <w:gridSpan w:val="2"/>
            <w:tcBorders>
              <w:top w:val="single" w:sz="4" w:space="0" w:color="auto"/>
              <w:left w:val="single" w:sz="4" w:space="0" w:color="auto"/>
            </w:tcBorders>
          </w:tcPr>
          <w:p w14:paraId="5872B643" w14:textId="77777777" w:rsidR="000F7773" w:rsidRPr="007704AF" w:rsidRDefault="000F7773" w:rsidP="00DB0816">
            <w:pPr>
              <w:rPr>
                <w:rFonts w:eastAsiaTheme="minorEastAsia" w:cs="Arial"/>
                <w:lang w:val="en-US"/>
              </w:rPr>
            </w:pPr>
            <w:r w:rsidRPr="003B1C73">
              <w:rPr>
                <w:rFonts w:ascii="Arial" w:eastAsiaTheme="minorEastAsia" w:cs="Arial"/>
                <w:position w:val="-12"/>
                <w:lang w:eastAsia="es-ES"/>
              </w:rPr>
              <w:object w:dxaOrig="5000" w:dyaOrig="360" w14:anchorId="6ABA4B2E">
                <v:shape id="_x0000_i1304" type="#_x0000_t75" style="width:252pt;height:20.25pt" o:ole="">
                  <v:imagedata r:id="rId564" o:title=""/>
                </v:shape>
                <o:OLEObject Type="Embed" ProgID="Equation.DSMT4" ShapeID="_x0000_i1304" DrawAspect="Content" ObjectID="_1706014985" r:id="rId565"/>
              </w:object>
            </w:r>
            <w:r>
              <w:rPr>
                <w:rFonts w:eastAsiaTheme="minorEastAsia" w:cs="Arial"/>
              </w:rPr>
              <w:t xml:space="preserve"> </w:t>
            </w:r>
          </w:p>
        </w:tc>
        <w:tc>
          <w:tcPr>
            <w:tcW w:w="1157" w:type="dxa"/>
            <w:tcBorders>
              <w:top w:val="single" w:sz="4" w:space="0" w:color="auto"/>
            </w:tcBorders>
          </w:tcPr>
          <w:p w14:paraId="43C6FBBC" w14:textId="2F4EF535" w:rsidR="000F7773" w:rsidRDefault="00F30696" w:rsidP="00DB0816">
            <w:pPr>
              <w:rPr>
                <w:rFonts w:eastAsiaTheme="minorEastAsia" w:cs="Arial"/>
              </w:rPr>
            </w:pPr>
            <w:r w:rsidRPr="00B62EA9">
              <w:rPr>
                <w:rFonts w:ascii="Arial" w:eastAsiaTheme="minorEastAsia" w:cs="Arial"/>
                <w:position w:val="-6"/>
                <w:lang w:eastAsia="es-ES"/>
              </w:rPr>
              <w:object w:dxaOrig="360" w:dyaOrig="220" w14:anchorId="7ADFC7C6">
                <v:shape id="_x0000_i1305" type="#_x0000_t75" style="width:20.25pt;height:10.5pt" o:ole="">
                  <v:imagedata r:id="rId566" o:title=""/>
                </v:shape>
                <o:OLEObject Type="Embed" ProgID="Equation.DSMT4" ShapeID="_x0000_i1305" DrawAspect="Content" ObjectID="_1706014986" r:id="rId567"/>
              </w:object>
            </w:r>
          </w:p>
        </w:tc>
        <w:tc>
          <w:tcPr>
            <w:tcW w:w="1238" w:type="dxa"/>
            <w:tcBorders>
              <w:top w:val="single" w:sz="4" w:space="0" w:color="auto"/>
            </w:tcBorders>
          </w:tcPr>
          <w:p w14:paraId="43B43B81" w14:textId="77777777" w:rsidR="000F7773" w:rsidRDefault="000F7773" w:rsidP="00DB0816">
            <w:pPr>
              <w:rPr>
                <w:rFonts w:eastAsiaTheme="minorEastAsia" w:cs="Arial"/>
              </w:rPr>
            </w:pPr>
            <w:r w:rsidRPr="009740A8">
              <w:rPr>
                <w:rFonts w:ascii="Arial" w:eastAsiaTheme="minorEastAsia" w:cs="Arial"/>
                <w:position w:val="-4"/>
                <w:lang w:eastAsia="es-ES"/>
              </w:rPr>
              <w:object w:dxaOrig="440" w:dyaOrig="260" w14:anchorId="2CC39DC3">
                <v:shape id="_x0000_i1306" type="#_x0000_t75" style="width:20.25pt;height:15.75pt" o:ole="">
                  <v:imagedata r:id="rId568" o:title=""/>
                </v:shape>
                <o:OLEObject Type="Embed" ProgID="Equation.DSMT4" ShapeID="_x0000_i1306" DrawAspect="Content" ObjectID="_1706014987" r:id="rId569"/>
              </w:object>
            </w:r>
            <w:r>
              <w:rPr>
                <w:rFonts w:eastAsiaTheme="minorEastAsia" w:cs="Arial"/>
              </w:rPr>
              <w:t xml:space="preserve"> </w:t>
            </w:r>
          </w:p>
        </w:tc>
      </w:tr>
      <w:tr w:rsidR="000F7773" w14:paraId="058D5FF7" w14:textId="77777777" w:rsidTr="00504B4C">
        <w:trPr>
          <w:trHeight w:val="594"/>
          <w:jc w:val="center"/>
        </w:trPr>
        <w:tc>
          <w:tcPr>
            <w:tcW w:w="1331" w:type="dxa"/>
            <w:tcBorders>
              <w:right w:val="single" w:sz="4" w:space="0" w:color="auto"/>
            </w:tcBorders>
          </w:tcPr>
          <w:p w14:paraId="7B0B450F" w14:textId="77777777" w:rsidR="000F7773" w:rsidRDefault="000F7773" w:rsidP="00DB0816">
            <w:pPr>
              <w:rPr>
                <w:rFonts w:eastAsiaTheme="minorEastAsia" w:cs="Arial"/>
              </w:rPr>
            </w:pPr>
            <w:r w:rsidRPr="009B0131">
              <w:rPr>
                <w:rFonts w:ascii="Arial" w:eastAsiaTheme="minorEastAsia" w:cs="Arial"/>
                <w:position w:val="-12"/>
                <w:lang w:eastAsia="es-ES"/>
              </w:rPr>
              <w:object w:dxaOrig="859" w:dyaOrig="360" w14:anchorId="67881A1A">
                <v:shape id="_x0000_i1307" type="#_x0000_t75" style="width:41.25pt;height:20.25pt" o:ole="">
                  <v:imagedata r:id="rId570" o:title=""/>
                </v:shape>
                <o:OLEObject Type="Embed" ProgID="Equation.DSMT4" ShapeID="_x0000_i1307" DrawAspect="Content" ObjectID="_1706014988" r:id="rId571"/>
              </w:object>
            </w:r>
            <w:r>
              <w:rPr>
                <w:rFonts w:eastAsiaTheme="minorEastAsia" w:cs="Arial"/>
              </w:rPr>
              <w:t xml:space="preserve"> </w:t>
            </w:r>
          </w:p>
        </w:tc>
        <w:tc>
          <w:tcPr>
            <w:tcW w:w="5300" w:type="dxa"/>
            <w:gridSpan w:val="2"/>
            <w:tcBorders>
              <w:left w:val="single" w:sz="4" w:space="0" w:color="auto"/>
            </w:tcBorders>
          </w:tcPr>
          <w:p w14:paraId="7A653EAA" w14:textId="77777777" w:rsidR="000F7773" w:rsidRDefault="000F7773" w:rsidP="00DB0816">
            <w:pPr>
              <w:rPr>
                <w:rFonts w:eastAsiaTheme="minorEastAsia" w:cs="Arial"/>
              </w:rPr>
            </w:pPr>
            <w:r w:rsidRPr="003B1C73">
              <w:rPr>
                <w:rFonts w:ascii="Arial" w:eastAsiaTheme="minorEastAsia" w:cs="Arial"/>
                <w:position w:val="-12"/>
                <w:lang w:eastAsia="es-ES"/>
              </w:rPr>
              <w:object w:dxaOrig="4599" w:dyaOrig="360" w14:anchorId="6B5E5699">
                <v:shape id="_x0000_i1308" type="#_x0000_t75" style="width:231.75pt;height:20.25pt" o:ole="">
                  <v:imagedata r:id="rId572" o:title=""/>
                </v:shape>
                <o:OLEObject Type="Embed" ProgID="Equation.DSMT4" ShapeID="_x0000_i1308" DrawAspect="Content" ObjectID="_1706014989" r:id="rId573"/>
              </w:object>
            </w:r>
          </w:p>
        </w:tc>
        <w:tc>
          <w:tcPr>
            <w:tcW w:w="1157" w:type="dxa"/>
          </w:tcPr>
          <w:p w14:paraId="19220775" w14:textId="4FAE9D87" w:rsidR="000F7773" w:rsidRDefault="000E0F2E" w:rsidP="00DB0816">
            <w:pPr>
              <w:rPr>
                <w:rFonts w:eastAsiaTheme="minorEastAsia" w:cs="Arial"/>
              </w:rPr>
            </w:pPr>
            <w:r w:rsidRPr="00B62EA9">
              <w:rPr>
                <w:rFonts w:ascii="Arial" w:eastAsiaTheme="minorEastAsia" w:cs="Arial"/>
                <w:position w:val="-6"/>
                <w:lang w:eastAsia="es-ES"/>
              </w:rPr>
              <w:object w:dxaOrig="279" w:dyaOrig="220" w14:anchorId="793E73D0">
                <v:shape id="_x0000_i1309" type="#_x0000_t75" style="width:15.75pt;height:10.5pt" o:ole="">
                  <v:imagedata r:id="rId574" o:title=""/>
                </v:shape>
                <o:OLEObject Type="Embed" ProgID="Equation.DSMT4" ShapeID="_x0000_i1309" DrawAspect="Content" ObjectID="_1706014990" r:id="rId575"/>
              </w:object>
            </w:r>
          </w:p>
        </w:tc>
        <w:tc>
          <w:tcPr>
            <w:tcW w:w="1238" w:type="dxa"/>
          </w:tcPr>
          <w:p w14:paraId="4984C52E" w14:textId="77777777" w:rsidR="000F7773" w:rsidRDefault="000F7773" w:rsidP="00DB0816">
            <w:pPr>
              <w:rPr>
                <w:rFonts w:eastAsiaTheme="minorEastAsia" w:cs="Arial"/>
              </w:rPr>
            </w:pPr>
            <w:r w:rsidRPr="00AB0D59">
              <w:rPr>
                <w:rFonts w:ascii="Arial" w:eastAsiaTheme="minorEastAsia" w:cs="Arial"/>
                <w:position w:val="-4"/>
                <w:lang w:eastAsia="es-ES"/>
              </w:rPr>
              <w:object w:dxaOrig="360" w:dyaOrig="260" w14:anchorId="649D21BD">
                <v:shape id="_x0000_i1310" type="#_x0000_t75" style="width:20.25pt;height:15.75pt" o:ole="">
                  <v:imagedata r:id="rId576" o:title=""/>
                </v:shape>
                <o:OLEObject Type="Embed" ProgID="Equation.DSMT4" ShapeID="_x0000_i1310" DrawAspect="Content" ObjectID="_1706014991" r:id="rId577"/>
              </w:object>
            </w:r>
            <w:r>
              <w:rPr>
                <w:rFonts w:eastAsiaTheme="minorEastAsia" w:cs="Arial"/>
              </w:rPr>
              <w:t xml:space="preserve"> </w:t>
            </w:r>
          </w:p>
        </w:tc>
      </w:tr>
      <w:tr w:rsidR="000F7773" w14:paraId="15EE42ED" w14:textId="77777777" w:rsidTr="00504B4C">
        <w:trPr>
          <w:trHeight w:val="442"/>
          <w:jc w:val="center"/>
        </w:trPr>
        <w:tc>
          <w:tcPr>
            <w:tcW w:w="1331" w:type="dxa"/>
            <w:tcBorders>
              <w:right w:val="single" w:sz="4" w:space="0" w:color="auto"/>
            </w:tcBorders>
          </w:tcPr>
          <w:p w14:paraId="1BA72993" w14:textId="77777777" w:rsidR="000F7773" w:rsidRDefault="000F7773" w:rsidP="00DB0816">
            <w:pPr>
              <w:rPr>
                <w:rFonts w:eastAsiaTheme="minorEastAsia" w:cs="Arial"/>
              </w:rPr>
            </w:pPr>
            <w:r w:rsidRPr="002A7C17">
              <w:rPr>
                <w:rFonts w:ascii="Arial" w:eastAsiaTheme="minorEastAsia" w:cs="Arial"/>
                <w:position w:val="-12"/>
                <w:lang w:eastAsia="es-ES"/>
              </w:rPr>
              <w:object w:dxaOrig="820" w:dyaOrig="360" w14:anchorId="7B243F00">
                <v:shape id="_x0000_i1311" type="#_x0000_t75" style="width:41.25pt;height:20.25pt" o:ole="">
                  <v:imagedata r:id="rId578" o:title=""/>
                </v:shape>
                <o:OLEObject Type="Embed" ProgID="Equation.DSMT4" ShapeID="_x0000_i1311" DrawAspect="Content" ObjectID="_1706014992" r:id="rId579"/>
              </w:object>
            </w:r>
            <w:r>
              <w:rPr>
                <w:rFonts w:eastAsiaTheme="minorEastAsia" w:cs="Arial"/>
              </w:rPr>
              <w:t xml:space="preserve"> </w:t>
            </w:r>
          </w:p>
        </w:tc>
        <w:tc>
          <w:tcPr>
            <w:tcW w:w="5300" w:type="dxa"/>
            <w:gridSpan w:val="2"/>
            <w:tcBorders>
              <w:left w:val="single" w:sz="4" w:space="0" w:color="auto"/>
            </w:tcBorders>
          </w:tcPr>
          <w:p w14:paraId="76F2B1A2" w14:textId="77777777" w:rsidR="000F7773" w:rsidRDefault="000F7773" w:rsidP="00DB0816">
            <w:pPr>
              <w:tabs>
                <w:tab w:val="left" w:pos="980"/>
              </w:tabs>
              <w:rPr>
                <w:rFonts w:eastAsiaTheme="minorEastAsia" w:cs="Arial"/>
              </w:rPr>
            </w:pPr>
            <w:r w:rsidRPr="003B1C73">
              <w:rPr>
                <w:rFonts w:ascii="Arial" w:eastAsiaTheme="minorEastAsia" w:cs="Arial"/>
                <w:position w:val="-12"/>
                <w:lang w:eastAsia="es-ES"/>
              </w:rPr>
              <w:object w:dxaOrig="4500" w:dyaOrig="360" w14:anchorId="3891E00E">
                <v:shape id="_x0000_i1312" type="#_x0000_t75" style="width:221.25pt;height:20.25pt" o:ole="">
                  <v:imagedata r:id="rId580" o:title=""/>
                </v:shape>
                <o:OLEObject Type="Embed" ProgID="Equation.DSMT4" ShapeID="_x0000_i1312" DrawAspect="Content" ObjectID="_1706014993" r:id="rId581"/>
              </w:object>
            </w:r>
            <w:r>
              <w:rPr>
                <w:rFonts w:eastAsiaTheme="minorEastAsia" w:cs="Arial"/>
              </w:rPr>
              <w:tab/>
            </w:r>
          </w:p>
        </w:tc>
        <w:tc>
          <w:tcPr>
            <w:tcW w:w="1157" w:type="dxa"/>
          </w:tcPr>
          <w:p w14:paraId="57958DC2" w14:textId="677C231B" w:rsidR="000F7773" w:rsidRDefault="000E0F2E" w:rsidP="00DB0816">
            <w:pPr>
              <w:rPr>
                <w:rFonts w:eastAsiaTheme="minorEastAsia" w:cs="Arial"/>
              </w:rPr>
            </w:pPr>
            <w:r w:rsidRPr="00B62EA9">
              <w:rPr>
                <w:rFonts w:ascii="Arial" w:eastAsiaTheme="minorEastAsia" w:cs="Arial"/>
                <w:position w:val="-6"/>
                <w:lang w:eastAsia="es-ES"/>
              </w:rPr>
              <w:object w:dxaOrig="180" w:dyaOrig="220" w14:anchorId="69C93827">
                <v:shape id="_x0000_i1313" type="#_x0000_t75" style="width:10.5pt;height:10.5pt" o:ole="">
                  <v:imagedata r:id="rId418" o:title=""/>
                </v:shape>
                <o:OLEObject Type="Embed" ProgID="Equation.DSMT4" ShapeID="_x0000_i1313" DrawAspect="Content" ObjectID="_1706014994" r:id="rId582"/>
              </w:object>
            </w:r>
          </w:p>
        </w:tc>
        <w:tc>
          <w:tcPr>
            <w:tcW w:w="1238" w:type="dxa"/>
          </w:tcPr>
          <w:p w14:paraId="1F6C39B3" w14:textId="77777777" w:rsidR="000F7773" w:rsidRDefault="000F7773" w:rsidP="00DB0816">
            <w:pPr>
              <w:rPr>
                <w:rFonts w:eastAsiaTheme="minorEastAsia" w:cs="Arial"/>
              </w:rPr>
            </w:pPr>
            <w:r w:rsidRPr="009A0C9E">
              <w:rPr>
                <w:rFonts w:ascii="Arial" w:eastAsiaTheme="minorEastAsia" w:cs="Arial"/>
                <w:position w:val="-6"/>
                <w:lang w:eastAsia="es-ES"/>
              </w:rPr>
              <w:object w:dxaOrig="340" w:dyaOrig="279" w14:anchorId="655ED52A">
                <v:shape id="_x0000_i1314" type="#_x0000_t75" style="width:15.75pt;height:15.75pt" o:ole="">
                  <v:imagedata r:id="rId583" o:title=""/>
                </v:shape>
                <o:OLEObject Type="Embed" ProgID="Equation.DSMT4" ShapeID="_x0000_i1314" DrawAspect="Content" ObjectID="_1706014995" r:id="rId584"/>
              </w:object>
            </w:r>
            <w:r>
              <w:rPr>
                <w:rFonts w:eastAsiaTheme="minorEastAsia" w:cs="Arial"/>
              </w:rPr>
              <w:t xml:space="preserve"> </w:t>
            </w:r>
          </w:p>
        </w:tc>
      </w:tr>
      <w:tr w:rsidR="000F7773" w14:paraId="50D8870A" w14:textId="77777777" w:rsidTr="00504B4C">
        <w:trPr>
          <w:trHeight w:val="442"/>
          <w:jc w:val="center"/>
        </w:trPr>
        <w:tc>
          <w:tcPr>
            <w:tcW w:w="1331" w:type="dxa"/>
            <w:tcBorders>
              <w:right w:val="single" w:sz="4" w:space="0" w:color="auto"/>
            </w:tcBorders>
          </w:tcPr>
          <w:p w14:paraId="708A28BB" w14:textId="77777777" w:rsidR="000F7773" w:rsidRDefault="000F7773" w:rsidP="00DB0816">
            <w:pPr>
              <w:rPr>
                <w:rFonts w:eastAsiaTheme="minorEastAsia" w:cs="Arial"/>
              </w:rPr>
            </w:pPr>
            <w:r w:rsidRPr="002A7C17">
              <w:rPr>
                <w:rFonts w:ascii="Arial" w:eastAsiaTheme="minorEastAsia" w:cs="Arial"/>
                <w:position w:val="-12"/>
                <w:lang w:eastAsia="es-ES"/>
              </w:rPr>
              <w:object w:dxaOrig="940" w:dyaOrig="360" w14:anchorId="02248CFF">
                <v:shape id="_x0000_i1315" type="#_x0000_t75" style="width:41.25pt;height:20.25pt" o:ole="">
                  <v:imagedata r:id="rId585" o:title=""/>
                </v:shape>
                <o:OLEObject Type="Embed" ProgID="Equation.DSMT4" ShapeID="_x0000_i1315" DrawAspect="Content" ObjectID="_1706014996" r:id="rId586"/>
              </w:object>
            </w:r>
          </w:p>
        </w:tc>
        <w:tc>
          <w:tcPr>
            <w:tcW w:w="5300" w:type="dxa"/>
            <w:gridSpan w:val="2"/>
            <w:tcBorders>
              <w:left w:val="single" w:sz="4" w:space="0" w:color="auto"/>
            </w:tcBorders>
          </w:tcPr>
          <w:p w14:paraId="7F497555" w14:textId="77777777" w:rsidR="000F7773" w:rsidRDefault="000F7773" w:rsidP="00DB0816">
            <w:pPr>
              <w:tabs>
                <w:tab w:val="left" w:pos="980"/>
              </w:tabs>
              <w:rPr>
                <w:rFonts w:eastAsiaTheme="minorEastAsia" w:cs="Arial"/>
              </w:rPr>
            </w:pPr>
            <w:r w:rsidRPr="003B1C73">
              <w:rPr>
                <w:rFonts w:ascii="Arial" w:eastAsiaTheme="minorEastAsia" w:cs="Arial"/>
                <w:position w:val="-12"/>
                <w:lang w:eastAsia="es-ES"/>
              </w:rPr>
              <w:object w:dxaOrig="5140" w:dyaOrig="360" w14:anchorId="4F41B2DB">
                <v:shape id="_x0000_i1316" type="#_x0000_t75" style="width:257.25pt;height:20.25pt" o:ole="">
                  <v:imagedata r:id="rId587" o:title=""/>
                </v:shape>
                <o:OLEObject Type="Embed" ProgID="Equation.DSMT4" ShapeID="_x0000_i1316" DrawAspect="Content" ObjectID="_1706014997" r:id="rId588"/>
              </w:object>
            </w:r>
          </w:p>
        </w:tc>
        <w:tc>
          <w:tcPr>
            <w:tcW w:w="1157" w:type="dxa"/>
          </w:tcPr>
          <w:p w14:paraId="40273132" w14:textId="01EA8815" w:rsidR="000F7773" w:rsidRDefault="000E0F2E" w:rsidP="00DB0816">
            <w:pPr>
              <w:rPr>
                <w:rFonts w:eastAsiaTheme="minorEastAsia" w:cs="Arial"/>
              </w:rPr>
            </w:pPr>
            <w:r w:rsidRPr="00B62EA9">
              <w:rPr>
                <w:rFonts w:ascii="Arial" w:eastAsiaTheme="minorEastAsia" w:cs="Arial"/>
                <w:position w:val="-6"/>
                <w:lang w:eastAsia="es-ES"/>
              </w:rPr>
              <w:object w:dxaOrig="180" w:dyaOrig="220" w14:anchorId="2DFDEFF0">
                <v:shape id="_x0000_i1317" type="#_x0000_t75" style="width:10.5pt;height:10.5pt" o:ole="">
                  <v:imagedata r:id="rId418" o:title=""/>
                </v:shape>
                <o:OLEObject Type="Embed" ProgID="Equation.DSMT4" ShapeID="_x0000_i1317" DrawAspect="Content" ObjectID="_1706014998" r:id="rId589"/>
              </w:object>
            </w:r>
          </w:p>
        </w:tc>
        <w:tc>
          <w:tcPr>
            <w:tcW w:w="1238" w:type="dxa"/>
          </w:tcPr>
          <w:p w14:paraId="3A97139F" w14:textId="77777777" w:rsidR="000F7773" w:rsidRDefault="000F7773" w:rsidP="00DB0816">
            <w:pPr>
              <w:rPr>
                <w:rFonts w:eastAsiaTheme="minorEastAsia" w:cs="Arial"/>
              </w:rPr>
            </w:pPr>
            <w:r w:rsidRPr="000106CA">
              <w:rPr>
                <w:rFonts w:ascii="Arial" w:eastAsiaTheme="minorEastAsia" w:cs="Arial"/>
                <w:position w:val="-12"/>
                <w:lang w:eastAsia="es-ES"/>
              </w:rPr>
              <w:object w:dxaOrig="460" w:dyaOrig="279" w14:anchorId="4BAF4BBF">
                <v:shape id="_x0000_i1318" type="#_x0000_t75" style="width:20.25pt;height:15.75pt" o:ole="">
                  <v:imagedata r:id="rId590" o:title=""/>
                </v:shape>
                <o:OLEObject Type="Embed" ProgID="Equation.DSMT4" ShapeID="_x0000_i1318" DrawAspect="Content" ObjectID="_1706014999" r:id="rId591"/>
              </w:object>
            </w:r>
          </w:p>
        </w:tc>
      </w:tr>
      <w:tr w:rsidR="000F7773" w14:paraId="2D5D51A9" w14:textId="77777777" w:rsidTr="00504B4C">
        <w:trPr>
          <w:trHeight w:val="442"/>
          <w:jc w:val="center"/>
        </w:trPr>
        <w:tc>
          <w:tcPr>
            <w:tcW w:w="1331" w:type="dxa"/>
            <w:tcBorders>
              <w:right w:val="single" w:sz="4" w:space="0" w:color="auto"/>
            </w:tcBorders>
          </w:tcPr>
          <w:p w14:paraId="1DC16107" w14:textId="77777777" w:rsidR="000F7773" w:rsidRDefault="000F7773" w:rsidP="00DB0816">
            <w:pPr>
              <w:jc w:val="left"/>
              <w:rPr>
                <w:rFonts w:eastAsiaTheme="minorEastAsia" w:cs="Arial"/>
              </w:rPr>
            </w:pPr>
            <w:r w:rsidRPr="001D46E3">
              <w:rPr>
                <w:rFonts w:ascii="Arial" w:eastAsiaTheme="minorEastAsia" w:cs="Arial"/>
                <w:position w:val="-12"/>
                <w:lang w:eastAsia="es-ES"/>
              </w:rPr>
              <w:object w:dxaOrig="859" w:dyaOrig="360" w14:anchorId="1EF9B65B">
                <v:shape id="_x0000_i1319" type="#_x0000_t75" style="width:41.25pt;height:20.25pt" o:ole="">
                  <v:imagedata r:id="rId592" o:title=""/>
                </v:shape>
                <o:OLEObject Type="Embed" ProgID="Equation.DSMT4" ShapeID="_x0000_i1319" DrawAspect="Content" ObjectID="_1706015000" r:id="rId593"/>
              </w:object>
            </w:r>
            <w:r>
              <w:rPr>
                <w:rFonts w:eastAsiaTheme="minorEastAsia" w:cs="Arial"/>
              </w:rPr>
              <w:t xml:space="preserve"> </w:t>
            </w:r>
          </w:p>
        </w:tc>
        <w:tc>
          <w:tcPr>
            <w:tcW w:w="5300" w:type="dxa"/>
            <w:gridSpan w:val="2"/>
            <w:tcBorders>
              <w:left w:val="single" w:sz="4" w:space="0" w:color="auto"/>
            </w:tcBorders>
          </w:tcPr>
          <w:p w14:paraId="1EB40D95" w14:textId="77777777" w:rsidR="000F7773" w:rsidRDefault="000F7773" w:rsidP="00DB0816">
            <w:pPr>
              <w:jc w:val="left"/>
              <w:rPr>
                <w:rFonts w:eastAsiaTheme="minorEastAsia" w:cs="Arial"/>
              </w:rPr>
            </w:pPr>
            <w:r w:rsidRPr="003B1C73">
              <w:rPr>
                <w:rFonts w:ascii="Arial" w:eastAsiaTheme="minorEastAsia" w:cs="Arial"/>
                <w:position w:val="-12"/>
                <w:lang w:eastAsia="es-ES"/>
              </w:rPr>
              <w:object w:dxaOrig="4620" w:dyaOrig="360" w14:anchorId="6CD57DF9">
                <v:shape id="_x0000_i1320" type="#_x0000_t75" style="width:231.75pt;height:20.25pt" o:ole="">
                  <v:imagedata r:id="rId594" o:title=""/>
                </v:shape>
                <o:OLEObject Type="Embed" ProgID="Equation.DSMT4" ShapeID="_x0000_i1320" DrawAspect="Content" ObjectID="_1706015001" r:id="rId595"/>
              </w:object>
            </w:r>
          </w:p>
        </w:tc>
        <w:tc>
          <w:tcPr>
            <w:tcW w:w="1157" w:type="dxa"/>
          </w:tcPr>
          <w:p w14:paraId="7C79BDE7" w14:textId="0DBC1BE1" w:rsidR="000F7773" w:rsidRDefault="000E0F2E" w:rsidP="00DB0816">
            <w:pPr>
              <w:jc w:val="left"/>
              <w:rPr>
                <w:rFonts w:eastAsiaTheme="minorEastAsia" w:cs="Arial"/>
              </w:rPr>
            </w:pPr>
            <w:r w:rsidRPr="00B62EA9">
              <w:rPr>
                <w:rFonts w:ascii="Arial" w:eastAsiaTheme="minorEastAsia" w:cs="Arial"/>
                <w:position w:val="-6"/>
                <w:lang w:eastAsia="es-ES"/>
              </w:rPr>
              <w:object w:dxaOrig="180" w:dyaOrig="220" w14:anchorId="4CF27D42">
                <v:shape id="_x0000_i1321" type="#_x0000_t75" style="width:10.5pt;height:10.5pt" o:ole="">
                  <v:imagedata r:id="rId418" o:title=""/>
                </v:shape>
                <o:OLEObject Type="Embed" ProgID="Equation.DSMT4" ShapeID="_x0000_i1321" DrawAspect="Content" ObjectID="_1706015002" r:id="rId596"/>
              </w:object>
            </w:r>
          </w:p>
        </w:tc>
        <w:tc>
          <w:tcPr>
            <w:tcW w:w="1238" w:type="dxa"/>
          </w:tcPr>
          <w:p w14:paraId="657750A2" w14:textId="77777777" w:rsidR="000F7773" w:rsidRDefault="000F7773" w:rsidP="00DB0816">
            <w:pPr>
              <w:jc w:val="left"/>
              <w:rPr>
                <w:rFonts w:eastAsiaTheme="minorEastAsia" w:cs="Arial"/>
              </w:rPr>
            </w:pPr>
            <w:r w:rsidRPr="00EB56BF">
              <w:rPr>
                <w:rFonts w:ascii="Arial" w:eastAsiaTheme="minorEastAsia" w:cs="Arial"/>
                <w:position w:val="-6"/>
                <w:lang w:eastAsia="es-ES"/>
              </w:rPr>
              <w:object w:dxaOrig="380" w:dyaOrig="279" w14:anchorId="46554FAA">
                <v:shape id="_x0000_i1322" type="#_x0000_t75" style="width:20.25pt;height:15.75pt" o:ole="">
                  <v:imagedata r:id="rId597" o:title=""/>
                </v:shape>
                <o:OLEObject Type="Embed" ProgID="Equation.DSMT4" ShapeID="_x0000_i1322" DrawAspect="Content" ObjectID="_1706015003" r:id="rId598"/>
              </w:object>
            </w:r>
            <w:r>
              <w:rPr>
                <w:rFonts w:eastAsiaTheme="minorEastAsia" w:cs="Arial"/>
              </w:rPr>
              <w:t xml:space="preserve"> </w:t>
            </w:r>
          </w:p>
        </w:tc>
      </w:tr>
      <w:tr w:rsidR="000F7773" w14:paraId="33BB6D98" w14:textId="77777777" w:rsidTr="00504B4C">
        <w:trPr>
          <w:trHeight w:val="442"/>
          <w:jc w:val="center"/>
        </w:trPr>
        <w:tc>
          <w:tcPr>
            <w:tcW w:w="1331" w:type="dxa"/>
            <w:tcBorders>
              <w:right w:val="single" w:sz="4" w:space="0" w:color="auto"/>
            </w:tcBorders>
          </w:tcPr>
          <w:p w14:paraId="70128F11" w14:textId="77777777" w:rsidR="000F7773" w:rsidRDefault="000F7773" w:rsidP="00DB0816">
            <w:pPr>
              <w:jc w:val="left"/>
              <w:rPr>
                <w:rFonts w:eastAsiaTheme="minorEastAsia" w:cs="Arial"/>
              </w:rPr>
            </w:pPr>
            <w:r w:rsidRPr="00055241">
              <w:rPr>
                <w:rFonts w:ascii="Arial" w:eastAsiaTheme="minorEastAsia" w:cs="Arial"/>
                <w:position w:val="-12"/>
                <w:lang w:eastAsia="es-ES"/>
              </w:rPr>
              <w:object w:dxaOrig="999" w:dyaOrig="360" w14:anchorId="51DE03D3">
                <v:shape id="_x0000_i1323" type="#_x0000_t75" style="width:51.75pt;height:20.25pt" o:ole="">
                  <v:imagedata r:id="rId599" o:title=""/>
                </v:shape>
                <o:OLEObject Type="Embed" ProgID="Equation.DSMT4" ShapeID="_x0000_i1323" DrawAspect="Content" ObjectID="_1706015004" r:id="rId600"/>
              </w:object>
            </w:r>
            <w:r>
              <w:rPr>
                <w:rFonts w:eastAsiaTheme="minorEastAsia" w:cs="Arial"/>
              </w:rPr>
              <w:t xml:space="preserve"> </w:t>
            </w:r>
          </w:p>
        </w:tc>
        <w:tc>
          <w:tcPr>
            <w:tcW w:w="5300" w:type="dxa"/>
            <w:gridSpan w:val="2"/>
            <w:tcBorders>
              <w:left w:val="single" w:sz="4" w:space="0" w:color="auto"/>
            </w:tcBorders>
          </w:tcPr>
          <w:p w14:paraId="130774BE" w14:textId="21B509BA" w:rsidR="000F7773" w:rsidRDefault="000E0F2E" w:rsidP="00DB0816">
            <w:pPr>
              <w:jc w:val="left"/>
              <w:rPr>
                <w:rFonts w:eastAsiaTheme="minorEastAsia" w:cs="Arial"/>
              </w:rPr>
            </w:pPr>
            <w:r w:rsidRPr="00055241">
              <w:rPr>
                <w:rFonts w:ascii="Arial" w:eastAsiaTheme="minorEastAsia" w:cs="Arial"/>
                <w:position w:val="-12"/>
                <w:lang w:eastAsia="es-ES"/>
              </w:rPr>
              <w:object w:dxaOrig="5020" w:dyaOrig="360" w14:anchorId="4D45920A">
                <v:shape id="_x0000_i1324" type="#_x0000_t75" style="width:252pt;height:20.25pt" o:ole="">
                  <v:imagedata r:id="rId601" o:title=""/>
                </v:shape>
                <o:OLEObject Type="Embed" ProgID="Equation.DSMT4" ShapeID="_x0000_i1324" DrawAspect="Content" ObjectID="_1706015005" r:id="rId602"/>
              </w:object>
            </w:r>
            <w:r w:rsidR="000F7773">
              <w:rPr>
                <w:rFonts w:eastAsiaTheme="minorEastAsia" w:cs="Arial"/>
              </w:rPr>
              <w:t xml:space="preserve"> </w:t>
            </w:r>
          </w:p>
        </w:tc>
        <w:tc>
          <w:tcPr>
            <w:tcW w:w="1157" w:type="dxa"/>
          </w:tcPr>
          <w:p w14:paraId="2016505A" w14:textId="2BBFEC85" w:rsidR="000F7773" w:rsidRDefault="00B62EA9" w:rsidP="00DB0816">
            <w:pPr>
              <w:jc w:val="left"/>
              <w:rPr>
                <w:rFonts w:eastAsiaTheme="minorEastAsia" w:cs="Arial"/>
              </w:rPr>
            </w:pPr>
            <w:r w:rsidRPr="00B62EA9">
              <w:rPr>
                <w:rFonts w:ascii="Arial" w:eastAsiaTheme="minorEastAsia" w:cs="Arial"/>
                <w:position w:val="-6"/>
                <w:lang w:eastAsia="es-ES"/>
              </w:rPr>
              <w:object w:dxaOrig="180" w:dyaOrig="220" w14:anchorId="6B099E15">
                <v:shape id="_x0000_i1325" type="#_x0000_t75" style="width:10.5pt;height:10.5pt" o:ole="">
                  <v:imagedata r:id="rId418" o:title=""/>
                </v:shape>
                <o:OLEObject Type="Embed" ProgID="Equation.DSMT4" ShapeID="_x0000_i1325" DrawAspect="Content" ObjectID="_1706015006" r:id="rId603"/>
              </w:object>
            </w:r>
            <w:r>
              <w:rPr>
                <w:rFonts w:ascii="Arial" w:eastAsiaTheme="minorEastAsia" w:cs="Arial"/>
                <w:lang w:eastAsia="es-ES"/>
              </w:rPr>
              <w:t xml:space="preserve"> </w:t>
            </w:r>
          </w:p>
        </w:tc>
        <w:tc>
          <w:tcPr>
            <w:tcW w:w="1238" w:type="dxa"/>
          </w:tcPr>
          <w:p w14:paraId="1315506F" w14:textId="77777777" w:rsidR="000F7773" w:rsidRDefault="000F7773" w:rsidP="00DB0816">
            <w:pPr>
              <w:jc w:val="left"/>
              <w:rPr>
                <w:rFonts w:eastAsiaTheme="minorEastAsia" w:cs="Arial"/>
              </w:rPr>
            </w:pPr>
            <w:r w:rsidRPr="00940446">
              <w:rPr>
                <w:rFonts w:ascii="Arial" w:eastAsiaTheme="minorEastAsia" w:cs="Arial"/>
                <w:position w:val="-4"/>
                <w:lang w:eastAsia="es-ES"/>
              </w:rPr>
              <w:object w:dxaOrig="520" w:dyaOrig="260" w14:anchorId="06BE4D17">
                <v:shape id="_x0000_i1326" type="#_x0000_t75" style="width:30.75pt;height:15.75pt" o:ole="">
                  <v:imagedata r:id="rId604" o:title=""/>
                </v:shape>
                <o:OLEObject Type="Embed" ProgID="Equation.DSMT4" ShapeID="_x0000_i1326" DrawAspect="Content" ObjectID="_1706015007" r:id="rId605"/>
              </w:object>
            </w:r>
            <w:r>
              <w:rPr>
                <w:rFonts w:eastAsiaTheme="minorEastAsia" w:cs="Arial"/>
              </w:rPr>
              <w:t xml:space="preserve"> </w:t>
            </w:r>
          </w:p>
        </w:tc>
      </w:tr>
      <w:tr w:rsidR="000F7773" w14:paraId="087CEE10" w14:textId="77777777" w:rsidTr="00504B4C">
        <w:trPr>
          <w:trHeight w:val="442"/>
          <w:jc w:val="center"/>
        </w:trPr>
        <w:tc>
          <w:tcPr>
            <w:tcW w:w="1331" w:type="dxa"/>
            <w:tcBorders>
              <w:right w:val="single" w:sz="4" w:space="0" w:color="auto"/>
            </w:tcBorders>
          </w:tcPr>
          <w:p w14:paraId="38682DB2" w14:textId="77777777" w:rsidR="000F7773" w:rsidRDefault="000F7773" w:rsidP="00DB0816">
            <w:pPr>
              <w:jc w:val="left"/>
              <w:rPr>
                <w:rFonts w:eastAsiaTheme="minorEastAsia" w:cs="Arial"/>
              </w:rPr>
            </w:pPr>
            <w:r w:rsidRPr="00310756">
              <w:rPr>
                <w:rFonts w:ascii="Arial" w:eastAsiaTheme="minorEastAsia" w:cs="Arial"/>
                <w:position w:val="-12"/>
                <w:lang w:eastAsia="es-ES"/>
              </w:rPr>
              <w:object w:dxaOrig="859" w:dyaOrig="360" w14:anchorId="4DA01FF5">
                <v:shape id="_x0000_i1327" type="#_x0000_t75" style="width:41.25pt;height:20.25pt" o:ole="">
                  <v:imagedata r:id="rId606" o:title=""/>
                </v:shape>
                <o:OLEObject Type="Embed" ProgID="Equation.DSMT4" ShapeID="_x0000_i1327" DrawAspect="Content" ObjectID="_1706015008" r:id="rId607"/>
              </w:object>
            </w:r>
          </w:p>
        </w:tc>
        <w:tc>
          <w:tcPr>
            <w:tcW w:w="5300" w:type="dxa"/>
            <w:gridSpan w:val="2"/>
            <w:tcBorders>
              <w:left w:val="single" w:sz="4" w:space="0" w:color="auto"/>
            </w:tcBorders>
          </w:tcPr>
          <w:p w14:paraId="0FADD877" w14:textId="77777777" w:rsidR="000F7773" w:rsidRDefault="000F7773" w:rsidP="00DB0816">
            <w:pPr>
              <w:jc w:val="left"/>
              <w:rPr>
                <w:rFonts w:eastAsiaTheme="minorEastAsia" w:cs="Arial"/>
              </w:rPr>
            </w:pPr>
            <w:r w:rsidRPr="008B3ACA">
              <w:rPr>
                <w:rFonts w:ascii="Arial" w:eastAsiaTheme="minorEastAsia" w:cs="Arial"/>
                <w:position w:val="-12"/>
                <w:lang w:eastAsia="es-ES"/>
              </w:rPr>
              <w:object w:dxaOrig="4700" w:dyaOrig="360" w14:anchorId="12F6CC9E">
                <v:shape id="_x0000_i1328" type="#_x0000_t75" style="width:236.25pt;height:20.25pt" o:ole="">
                  <v:imagedata r:id="rId608" o:title=""/>
                </v:shape>
                <o:OLEObject Type="Embed" ProgID="Equation.DSMT4" ShapeID="_x0000_i1328" DrawAspect="Content" ObjectID="_1706015009" r:id="rId609"/>
              </w:object>
            </w:r>
            <w:r>
              <w:rPr>
                <w:rFonts w:eastAsiaTheme="minorEastAsia" w:cs="Arial"/>
              </w:rPr>
              <w:t xml:space="preserve"> </w:t>
            </w:r>
          </w:p>
        </w:tc>
        <w:tc>
          <w:tcPr>
            <w:tcW w:w="1157" w:type="dxa"/>
          </w:tcPr>
          <w:p w14:paraId="1B55F5B2" w14:textId="18506FCE" w:rsidR="000F7773" w:rsidRDefault="00B62EA9" w:rsidP="00DB0816">
            <w:pPr>
              <w:jc w:val="left"/>
              <w:rPr>
                <w:rFonts w:eastAsiaTheme="minorEastAsia" w:cs="Arial"/>
              </w:rPr>
            </w:pPr>
            <w:r w:rsidRPr="00B62EA9">
              <w:rPr>
                <w:rFonts w:ascii="Arial" w:eastAsiaTheme="minorEastAsia" w:cs="Arial"/>
                <w:position w:val="-6"/>
                <w:lang w:eastAsia="es-ES"/>
              </w:rPr>
              <w:object w:dxaOrig="200" w:dyaOrig="220" w14:anchorId="0120AB0B">
                <v:shape id="_x0000_i1329" type="#_x0000_t75" style="width:10.5pt;height:10.5pt" o:ole="">
                  <v:imagedata r:id="rId610" o:title=""/>
                </v:shape>
                <o:OLEObject Type="Embed" ProgID="Equation.DSMT4" ShapeID="_x0000_i1329" DrawAspect="Content" ObjectID="_1706015010" r:id="rId611"/>
              </w:object>
            </w:r>
            <w:r>
              <w:rPr>
                <w:rFonts w:ascii="Arial" w:eastAsiaTheme="minorEastAsia" w:cs="Arial"/>
                <w:lang w:eastAsia="es-ES"/>
              </w:rPr>
              <w:t xml:space="preserve"> </w:t>
            </w:r>
          </w:p>
        </w:tc>
        <w:tc>
          <w:tcPr>
            <w:tcW w:w="1238" w:type="dxa"/>
          </w:tcPr>
          <w:p w14:paraId="4BBF6470" w14:textId="77777777" w:rsidR="000F7773" w:rsidRDefault="000F7773" w:rsidP="00DB0816">
            <w:pPr>
              <w:jc w:val="left"/>
              <w:rPr>
                <w:rFonts w:eastAsiaTheme="minorEastAsia" w:cs="Arial"/>
              </w:rPr>
            </w:pPr>
            <w:r w:rsidRPr="00940446">
              <w:rPr>
                <w:rFonts w:ascii="Arial" w:eastAsiaTheme="minorEastAsia" w:cs="Arial"/>
                <w:position w:val="-4"/>
                <w:lang w:eastAsia="es-ES"/>
              </w:rPr>
              <w:object w:dxaOrig="380" w:dyaOrig="260" w14:anchorId="28A5DEF5">
                <v:shape id="_x0000_i1330" type="#_x0000_t75" style="width:20.25pt;height:15.75pt" o:ole="">
                  <v:imagedata r:id="rId612" o:title=""/>
                </v:shape>
                <o:OLEObject Type="Embed" ProgID="Equation.DSMT4" ShapeID="_x0000_i1330" DrawAspect="Content" ObjectID="_1706015011" r:id="rId613"/>
              </w:object>
            </w:r>
            <w:r>
              <w:rPr>
                <w:rFonts w:eastAsiaTheme="minorEastAsia" w:cs="Arial"/>
              </w:rPr>
              <w:t xml:space="preserve"> </w:t>
            </w:r>
          </w:p>
        </w:tc>
      </w:tr>
      <w:tr w:rsidR="000F7773" w14:paraId="5FB5CB8E" w14:textId="77777777" w:rsidTr="00504B4C">
        <w:trPr>
          <w:trHeight w:val="442"/>
          <w:jc w:val="center"/>
        </w:trPr>
        <w:tc>
          <w:tcPr>
            <w:tcW w:w="1331" w:type="dxa"/>
            <w:tcBorders>
              <w:right w:val="single" w:sz="4" w:space="0" w:color="auto"/>
            </w:tcBorders>
          </w:tcPr>
          <w:p w14:paraId="3BC59954" w14:textId="77777777" w:rsidR="000F7773" w:rsidRDefault="000F7773" w:rsidP="00DB0816">
            <w:pPr>
              <w:jc w:val="left"/>
              <w:rPr>
                <w:rFonts w:eastAsiaTheme="minorEastAsia" w:cs="Arial"/>
              </w:rPr>
            </w:pPr>
            <w:r w:rsidRPr="00607F0F">
              <w:rPr>
                <w:rFonts w:ascii="Arial" w:eastAsiaTheme="minorEastAsia" w:cs="Arial"/>
                <w:position w:val="-12"/>
                <w:lang w:eastAsia="es-ES"/>
              </w:rPr>
              <w:object w:dxaOrig="859" w:dyaOrig="360" w14:anchorId="7E671832">
                <v:shape id="_x0000_i1331" type="#_x0000_t75" style="width:41.25pt;height:20.25pt" o:ole="">
                  <v:imagedata r:id="rId614" o:title=""/>
                </v:shape>
                <o:OLEObject Type="Embed" ProgID="Equation.DSMT4" ShapeID="_x0000_i1331" DrawAspect="Content" ObjectID="_1706015012" r:id="rId615"/>
              </w:object>
            </w:r>
            <w:r>
              <w:rPr>
                <w:rFonts w:eastAsiaTheme="minorEastAsia" w:cs="Arial"/>
              </w:rPr>
              <w:t xml:space="preserve"> </w:t>
            </w:r>
          </w:p>
        </w:tc>
        <w:tc>
          <w:tcPr>
            <w:tcW w:w="5300" w:type="dxa"/>
            <w:gridSpan w:val="2"/>
            <w:tcBorders>
              <w:left w:val="single" w:sz="4" w:space="0" w:color="auto"/>
            </w:tcBorders>
          </w:tcPr>
          <w:p w14:paraId="26980A3A" w14:textId="77777777" w:rsidR="000F7773" w:rsidRDefault="000F7773" w:rsidP="00DB0816">
            <w:pPr>
              <w:jc w:val="left"/>
              <w:rPr>
                <w:rFonts w:eastAsiaTheme="minorEastAsia" w:cs="Arial"/>
              </w:rPr>
            </w:pPr>
            <w:r w:rsidRPr="00607F0F">
              <w:rPr>
                <w:rFonts w:ascii="Arial" w:eastAsiaTheme="minorEastAsia" w:cs="Arial"/>
                <w:position w:val="-14"/>
                <w:lang w:eastAsia="es-ES"/>
              </w:rPr>
              <w:object w:dxaOrig="5160" w:dyaOrig="380" w14:anchorId="54182309">
                <v:shape id="_x0000_i1332" type="#_x0000_t75" style="width:257.25pt;height:20.25pt" o:ole="">
                  <v:imagedata r:id="rId616" o:title=""/>
                </v:shape>
                <o:OLEObject Type="Embed" ProgID="Equation.DSMT4" ShapeID="_x0000_i1332" DrawAspect="Content" ObjectID="_1706015013" r:id="rId617"/>
              </w:object>
            </w:r>
            <w:r>
              <w:rPr>
                <w:rFonts w:eastAsiaTheme="minorEastAsia" w:cs="Arial"/>
              </w:rPr>
              <w:t xml:space="preserve"> </w:t>
            </w:r>
          </w:p>
        </w:tc>
        <w:tc>
          <w:tcPr>
            <w:tcW w:w="1157" w:type="dxa"/>
          </w:tcPr>
          <w:p w14:paraId="31CD1D53" w14:textId="77777777" w:rsidR="000F7773" w:rsidRDefault="000F7773" w:rsidP="00DB0816">
            <w:pPr>
              <w:jc w:val="left"/>
              <w:rPr>
                <w:rFonts w:eastAsiaTheme="minorEastAsia" w:cs="Arial"/>
              </w:rPr>
            </w:pPr>
            <w:r w:rsidRPr="00727EEC">
              <w:rPr>
                <w:rFonts w:ascii="Arial" w:eastAsiaTheme="minorEastAsia" w:cs="Arial"/>
                <w:position w:val="-10"/>
                <w:lang w:eastAsia="es-ES"/>
              </w:rPr>
              <w:object w:dxaOrig="540" w:dyaOrig="320" w14:anchorId="3D04E743">
                <v:shape id="_x0000_i1333" type="#_x0000_t75" style="width:30.75pt;height:15.75pt" o:ole="">
                  <v:imagedata r:id="rId618" o:title=""/>
                </v:shape>
                <o:OLEObject Type="Embed" ProgID="Equation.DSMT4" ShapeID="_x0000_i1333" DrawAspect="Content" ObjectID="_1706015014" r:id="rId619"/>
              </w:object>
            </w:r>
            <w:r>
              <w:rPr>
                <w:rFonts w:eastAsiaTheme="minorEastAsia" w:cs="Arial"/>
              </w:rPr>
              <w:t xml:space="preserve"> </w:t>
            </w:r>
          </w:p>
        </w:tc>
        <w:tc>
          <w:tcPr>
            <w:tcW w:w="1238" w:type="dxa"/>
          </w:tcPr>
          <w:p w14:paraId="24EAD338" w14:textId="77777777" w:rsidR="000F7773" w:rsidRDefault="000F7773" w:rsidP="00DB0816">
            <w:pPr>
              <w:jc w:val="left"/>
              <w:rPr>
                <w:rFonts w:eastAsiaTheme="minorEastAsia" w:cs="Arial"/>
              </w:rPr>
            </w:pPr>
            <w:r w:rsidRPr="00940446">
              <w:rPr>
                <w:rFonts w:ascii="Arial" w:eastAsiaTheme="minorEastAsia" w:cs="Arial"/>
                <w:position w:val="-4"/>
                <w:lang w:eastAsia="es-ES"/>
              </w:rPr>
              <w:object w:dxaOrig="360" w:dyaOrig="260" w14:anchorId="0028CAC3">
                <v:shape id="_x0000_i1334" type="#_x0000_t75" style="width:20.25pt;height:15.75pt" o:ole="">
                  <v:imagedata r:id="rId620" o:title=""/>
                </v:shape>
                <o:OLEObject Type="Embed" ProgID="Equation.DSMT4" ShapeID="_x0000_i1334" DrawAspect="Content" ObjectID="_1706015015" r:id="rId621"/>
              </w:object>
            </w:r>
            <w:r>
              <w:rPr>
                <w:rFonts w:eastAsiaTheme="minorEastAsia" w:cs="Arial"/>
              </w:rPr>
              <w:t xml:space="preserve"> </w:t>
            </w:r>
          </w:p>
        </w:tc>
      </w:tr>
      <w:tr w:rsidR="000F7773" w14:paraId="09644385" w14:textId="77777777" w:rsidTr="00504B4C">
        <w:trPr>
          <w:trHeight w:val="442"/>
          <w:jc w:val="center"/>
        </w:trPr>
        <w:tc>
          <w:tcPr>
            <w:tcW w:w="1331" w:type="dxa"/>
            <w:tcBorders>
              <w:right w:val="single" w:sz="4" w:space="0" w:color="auto"/>
            </w:tcBorders>
          </w:tcPr>
          <w:p w14:paraId="5C4EF9F9" w14:textId="77777777" w:rsidR="000F7773" w:rsidRDefault="000F7773" w:rsidP="00DB0816">
            <w:pPr>
              <w:jc w:val="left"/>
              <w:rPr>
                <w:rFonts w:eastAsiaTheme="minorEastAsia" w:cs="Arial"/>
              </w:rPr>
            </w:pPr>
            <w:r w:rsidRPr="00FC3E6A">
              <w:rPr>
                <w:rFonts w:ascii="Arial" w:eastAsiaTheme="minorEastAsia" w:cs="Arial"/>
                <w:position w:val="-14"/>
                <w:lang w:eastAsia="es-ES"/>
              </w:rPr>
              <w:object w:dxaOrig="1020" w:dyaOrig="380" w14:anchorId="37F75104">
                <v:shape id="_x0000_i1335" type="#_x0000_t75" style="width:51.75pt;height:20.25pt" o:ole="">
                  <v:imagedata r:id="rId622" o:title=""/>
                </v:shape>
                <o:OLEObject Type="Embed" ProgID="Equation.DSMT4" ShapeID="_x0000_i1335" DrawAspect="Content" ObjectID="_1706015016" r:id="rId623"/>
              </w:object>
            </w:r>
            <w:r>
              <w:rPr>
                <w:rFonts w:eastAsiaTheme="minorEastAsia" w:cs="Arial"/>
              </w:rPr>
              <w:t xml:space="preserve"> </w:t>
            </w:r>
          </w:p>
        </w:tc>
        <w:tc>
          <w:tcPr>
            <w:tcW w:w="5300" w:type="dxa"/>
            <w:gridSpan w:val="2"/>
            <w:tcBorders>
              <w:left w:val="single" w:sz="4" w:space="0" w:color="auto"/>
            </w:tcBorders>
          </w:tcPr>
          <w:p w14:paraId="5CD8BB2B" w14:textId="77777777" w:rsidR="000F7773" w:rsidRDefault="000F7773" w:rsidP="00DB0816">
            <w:pPr>
              <w:jc w:val="left"/>
              <w:rPr>
                <w:rFonts w:eastAsiaTheme="minorEastAsia" w:cs="Arial"/>
              </w:rPr>
            </w:pPr>
            <w:r w:rsidRPr="00607F0F">
              <w:rPr>
                <w:rFonts w:ascii="Arial" w:eastAsiaTheme="minorEastAsia" w:cs="Arial"/>
                <w:position w:val="-14"/>
                <w:lang w:eastAsia="es-ES"/>
              </w:rPr>
              <w:object w:dxaOrig="5240" w:dyaOrig="380" w14:anchorId="25EBC672">
                <v:shape id="_x0000_i1336" type="#_x0000_t75" style="width:257.25pt;height:20.25pt" o:ole="">
                  <v:imagedata r:id="rId624" o:title=""/>
                </v:shape>
                <o:OLEObject Type="Embed" ProgID="Equation.DSMT4" ShapeID="_x0000_i1336" DrawAspect="Content" ObjectID="_1706015017" r:id="rId625"/>
              </w:object>
            </w:r>
          </w:p>
        </w:tc>
        <w:tc>
          <w:tcPr>
            <w:tcW w:w="1157" w:type="dxa"/>
          </w:tcPr>
          <w:p w14:paraId="0191482D" w14:textId="34C28E8D" w:rsidR="000F7773" w:rsidRDefault="00CE3FF1" w:rsidP="00DB0816">
            <w:pPr>
              <w:jc w:val="left"/>
              <w:rPr>
                <w:rFonts w:eastAsiaTheme="minorEastAsia" w:cs="Arial"/>
              </w:rPr>
            </w:pPr>
            <w:r w:rsidRPr="00CE3FF1">
              <w:rPr>
                <w:rFonts w:ascii="Arial" w:eastAsia="Times New Roman" w:cs="Times New Roman"/>
                <w:position w:val="-10"/>
                <w:lang w:eastAsia="es-ES"/>
              </w:rPr>
              <w:object w:dxaOrig="240" w:dyaOrig="320" w14:anchorId="17220867">
                <v:shape id="_x0000_i1337" type="#_x0000_t75" style="width:10.5pt;height:15.75pt" o:ole="">
                  <v:imagedata r:id="rId626" o:title=""/>
                </v:shape>
                <o:OLEObject Type="Embed" ProgID="Equation.DSMT4" ShapeID="_x0000_i1337" DrawAspect="Content" ObjectID="_1706015018" r:id="rId627"/>
              </w:object>
            </w:r>
            <w:r>
              <w:rPr>
                <w:rFonts w:eastAsiaTheme="minorEastAsia" w:cs="Arial"/>
              </w:rPr>
              <w:t xml:space="preserve"> </w:t>
            </w:r>
          </w:p>
        </w:tc>
        <w:tc>
          <w:tcPr>
            <w:tcW w:w="1238" w:type="dxa"/>
          </w:tcPr>
          <w:p w14:paraId="3D8A9ADF" w14:textId="77777777" w:rsidR="000F7773" w:rsidRDefault="000F7773" w:rsidP="00DB0816">
            <w:pPr>
              <w:jc w:val="left"/>
              <w:rPr>
                <w:rFonts w:eastAsiaTheme="minorEastAsia" w:cs="Arial"/>
              </w:rPr>
            </w:pPr>
            <w:r w:rsidRPr="00940446">
              <w:rPr>
                <w:rFonts w:ascii="Arial" w:eastAsiaTheme="minorEastAsia" w:cs="Arial"/>
                <w:position w:val="-4"/>
                <w:lang w:eastAsia="es-ES"/>
              </w:rPr>
              <w:object w:dxaOrig="499" w:dyaOrig="260" w14:anchorId="74D739A6">
                <v:shape id="_x0000_i1338" type="#_x0000_t75" style="width:30.75pt;height:15.75pt" o:ole="">
                  <v:imagedata r:id="rId628" o:title=""/>
                </v:shape>
                <o:OLEObject Type="Embed" ProgID="Equation.DSMT4" ShapeID="_x0000_i1338" DrawAspect="Content" ObjectID="_1706015019" r:id="rId629"/>
              </w:object>
            </w:r>
            <w:r>
              <w:rPr>
                <w:rFonts w:eastAsiaTheme="minorEastAsia" w:cs="Arial"/>
              </w:rPr>
              <w:t xml:space="preserve"> </w:t>
            </w:r>
          </w:p>
        </w:tc>
      </w:tr>
      <w:tr w:rsidR="000F7773" w14:paraId="0B39B779" w14:textId="77777777" w:rsidTr="00504B4C">
        <w:trPr>
          <w:trHeight w:val="442"/>
          <w:jc w:val="center"/>
        </w:trPr>
        <w:tc>
          <w:tcPr>
            <w:tcW w:w="1331" w:type="dxa"/>
            <w:tcBorders>
              <w:right w:val="single" w:sz="4" w:space="0" w:color="auto"/>
            </w:tcBorders>
          </w:tcPr>
          <w:p w14:paraId="667EF079" w14:textId="77777777" w:rsidR="000F7773" w:rsidRDefault="000F7773" w:rsidP="00DB0816">
            <w:pPr>
              <w:jc w:val="left"/>
              <w:rPr>
                <w:rFonts w:eastAsiaTheme="minorEastAsia" w:cs="Arial"/>
              </w:rPr>
            </w:pPr>
            <w:r w:rsidRPr="005755B7">
              <w:rPr>
                <w:rFonts w:ascii="Arial" w:eastAsiaTheme="minorEastAsia" w:cs="Arial"/>
                <w:position w:val="-12"/>
                <w:lang w:eastAsia="es-ES"/>
              </w:rPr>
              <w:object w:dxaOrig="1020" w:dyaOrig="360" w14:anchorId="7FCB8A1D">
                <v:shape id="_x0000_i1339" type="#_x0000_t75" style="width:51.75pt;height:20.25pt" o:ole="">
                  <v:imagedata r:id="rId630" o:title=""/>
                </v:shape>
                <o:OLEObject Type="Embed" ProgID="Equation.DSMT4" ShapeID="_x0000_i1339" DrawAspect="Content" ObjectID="_1706015020" r:id="rId631"/>
              </w:object>
            </w:r>
            <w:r>
              <w:rPr>
                <w:rFonts w:eastAsiaTheme="minorEastAsia" w:cs="Arial"/>
              </w:rPr>
              <w:t xml:space="preserve"> </w:t>
            </w:r>
          </w:p>
        </w:tc>
        <w:tc>
          <w:tcPr>
            <w:tcW w:w="5300" w:type="dxa"/>
            <w:gridSpan w:val="2"/>
            <w:tcBorders>
              <w:left w:val="single" w:sz="4" w:space="0" w:color="auto"/>
            </w:tcBorders>
          </w:tcPr>
          <w:p w14:paraId="2EDC43C6" w14:textId="632924BA" w:rsidR="000F7773" w:rsidRDefault="00B62EA9" w:rsidP="00DB0816">
            <w:pPr>
              <w:jc w:val="left"/>
              <w:rPr>
                <w:rFonts w:eastAsiaTheme="minorEastAsia" w:cs="Arial"/>
              </w:rPr>
            </w:pPr>
            <w:r w:rsidRPr="00B62EA9">
              <w:rPr>
                <w:rFonts w:ascii="Arial" w:eastAsiaTheme="minorEastAsia" w:cs="Arial"/>
                <w:position w:val="-14"/>
                <w:sz w:val="22"/>
                <w:lang w:eastAsia="es-ES"/>
              </w:rPr>
              <w:object w:dxaOrig="4780" w:dyaOrig="400" w14:anchorId="3E7E81A2">
                <v:shape id="_x0000_i1340" type="#_x0000_t75" style="width:221.25pt;height:25.5pt" o:ole="">
                  <v:imagedata r:id="rId632" o:title=""/>
                </v:shape>
                <o:OLEObject Type="Embed" ProgID="Equation.DSMT4" ShapeID="_x0000_i1340" DrawAspect="Content" ObjectID="_1706015021" r:id="rId633"/>
              </w:object>
            </w:r>
          </w:p>
        </w:tc>
        <w:tc>
          <w:tcPr>
            <w:tcW w:w="1157" w:type="dxa"/>
          </w:tcPr>
          <w:p w14:paraId="5320D965" w14:textId="44C499EB" w:rsidR="000F7773" w:rsidRDefault="004B46C0" w:rsidP="00DB0816">
            <w:pPr>
              <w:jc w:val="left"/>
              <w:rPr>
                <w:rFonts w:eastAsiaTheme="minorEastAsia" w:cs="Arial"/>
              </w:rPr>
            </w:pPr>
            <w:r w:rsidRPr="004B46C0">
              <w:rPr>
                <w:rFonts w:ascii="Arial" w:eastAsiaTheme="minorEastAsia" w:cs="Arial"/>
                <w:position w:val="-6"/>
                <w:lang w:eastAsia="es-ES"/>
              </w:rPr>
              <w:object w:dxaOrig="200" w:dyaOrig="279" w14:anchorId="5FA73588">
                <v:shape id="_x0000_i1341" type="#_x0000_t75" style="width:10.5pt;height:15.75pt" o:ole="">
                  <v:imagedata r:id="rId634" o:title=""/>
                </v:shape>
                <o:OLEObject Type="Embed" ProgID="Equation.DSMT4" ShapeID="_x0000_i1341" DrawAspect="Content" ObjectID="_1706015022" r:id="rId635"/>
              </w:object>
            </w:r>
            <w:r>
              <w:rPr>
                <w:rFonts w:ascii="Arial" w:eastAsiaTheme="minorEastAsia" w:cs="Arial"/>
                <w:lang w:eastAsia="es-ES"/>
              </w:rPr>
              <w:t xml:space="preserve"> </w:t>
            </w:r>
          </w:p>
        </w:tc>
        <w:tc>
          <w:tcPr>
            <w:tcW w:w="1238" w:type="dxa"/>
          </w:tcPr>
          <w:p w14:paraId="2E40E90F" w14:textId="77777777" w:rsidR="000F7773" w:rsidRDefault="000F7773" w:rsidP="00DB0816">
            <w:pPr>
              <w:jc w:val="left"/>
              <w:rPr>
                <w:rFonts w:eastAsiaTheme="minorEastAsia" w:cs="Arial"/>
              </w:rPr>
            </w:pPr>
            <w:r w:rsidRPr="00940446">
              <w:rPr>
                <w:rFonts w:ascii="Arial" w:eastAsiaTheme="minorEastAsia" w:cs="Arial"/>
                <w:position w:val="-4"/>
                <w:lang w:eastAsia="es-ES"/>
              </w:rPr>
              <w:object w:dxaOrig="520" w:dyaOrig="260" w14:anchorId="2D146215">
                <v:shape id="_x0000_i1342" type="#_x0000_t75" style="width:30.75pt;height:15.75pt" o:ole="">
                  <v:imagedata r:id="rId636" o:title=""/>
                </v:shape>
                <o:OLEObject Type="Embed" ProgID="Equation.DSMT4" ShapeID="_x0000_i1342" DrawAspect="Content" ObjectID="_1706015023" r:id="rId637"/>
              </w:object>
            </w:r>
            <w:r>
              <w:rPr>
                <w:rFonts w:eastAsiaTheme="minorEastAsia" w:cs="Arial"/>
              </w:rPr>
              <w:t xml:space="preserve"> </w:t>
            </w:r>
          </w:p>
        </w:tc>
      </w:tr>
      <w:tr w:rsidR="000F7773" w14:paraId="0D848EE7" w14:textId="77777777" w:rsidTr="00504B4C">
        <w:trPr>
          <w:trHeight w:val="442"/>
          <w:jc w:val="center"/>
        </w:trPr>
        <w:tc>
          <w:tcPr>
            <w:tcW w:w="1331" w:type="dxa"/>
            <w:tcBorders>
              <w:right w:val="single" w:sz="4" w:space="0" w:color="auto"/>
            </w:tcBorders>
          </w:tcPr>
          <w:p w14:paraId="40405A53" w14:textId="77777777" w:rsidR="000F7773" w:rsidRDefault="000F7773" w:rsidP="00DB0816">
            <w:pPr>
              <w:jc w:val="left"/>
              <w:rPr>
                <w:rFonts w:eastAsiaTheme="minorEastAsia" w:cs="Arial"/>
              </w:rPr>
            </w:pPr>
            <w:r w:rsidRPr="001C285C">
              <w:rPr>
                <w:rFonts w:ascii="Arial" w:eastAsiaTheme="minorEastAsia" w:cs="Arial"/>
                <w:position w:val="-12"/>
                <w:lang w:eastAsia="es-ES"/>
              </w:rPr>
              <w:object w:dxaOrig="1060" w:dyaOrig="360" w14:anchorId="020385D7">
                <v:shape id="_x0000_i1343" type="#_x0000_t75" style="width:51.75pt;height:20.25pt" o:ole="">
                  <v:imagedata r:id="rId638" o:title=""/>
                </v:shape>
                <o:OLEObject Type="Embed" ProgID="Equation.DSMT4" ShapeID="_x0000_i1343" DrawAspect="Content" ObjectID="_1706015024" r:id="rId639"/>
              </w:object>
            </w:r>
            <w:r>
              <w:rPr>
                <w:rFonts w:eastAsiaTheme="minorEastAsia" w:cs="Arial"/>
              </w:rPr>
              <w:t xml:space="preserve"> </w:t>
            </w:r>
          </w:p>
        </w:tc>
        <w:tc>
          <w:tcPr>
            <w:tcW w:w="5300" w:type="dxa"/>
            <w:gridSpan w:val="2"/>
            <w:tcBorders>
              <w:left w:val="single" w:sz="4" w:space="0" w:color="auto"/>
            </w:tcBorders>
          </w:tcPr>
          <w:p w14:paraId="7FD5F2EC" w14:textId="5D968F55" w:rsidR="000F7773" w:rsidRDefault="00EB159A" w:rsidP="00DB0816">
            <w:pPr>
              <w:jc w:val="left"/>
              <w:rPr>
                <w:rFonts w:eastAsiaTheme="minorEastAsia" w:cs="Arial"/>
              </w:rPr>
            </w:pPr>
            <w:r w:rsidRPr="005A1626">
              <w:rPr>
                <w:rFonts w:ascii="Arial" w:eastAsiaTheme="minorEastAsia" w:cs="Arial"/>
                <w:position w:val="-14"/>
                <w:lang w:eastAsia="es-ES"/>
              </w:rPr>
              <w:object w:dxaOrig="5340" w:dyaOrig="400" w14:anchorId="5C324426">
                <v:shape id="_x0000_i1344" type="#_x0000_t75" style="width:231.75pt;height:20.25pt" o:ole="">
                  <v:imagedata r:id="rId640" o:title=""/>
                </v:shape>
                <o:OLEObject Type="Embed" ProgID="Equation.DSMT4" ShapeID="_x0000_i1344" DrawAspect="Content" ObjectID="_1706015025" r:id="rId641"/>
              </w:object>
            </w:r>
          </w:p>
        </w:tc>
        <w:tc>
          <w:tcPr>
            <w:tcW w:w="1157" w:type="dxa"/>
          </w:tcPr>
          <w:p w14:paraId="4DD54098" w14:textId="65DFB5E7" w:rsidR="000F7773" w:rsidRDefault="00290F4A" w:rsidP="00DB0816">
            <w:pPr>
              <w:jc w:val="left"/>
              <w:rPr>
                <w:rFonts w:eastAsiaTheme="minorEastAsia" w:cs="Arial"/>
              </w:rPr>
            </w:pPr>
            <w:r w:rsidRPr="00290F4A">
              <w:rPr>
                <w:rFonts w:ascii="Arial" w:eastAsiaTheme="minorEastAsia" w:cs="Arial"/>
                <w:position w:val="-6"/>
                <w:lang w:eastAsia="es-ES"/>
              </w:rPr>
              <w:object w:dxaOrig="180" w:dyaOrig="220" w14:anchorId="0A05E1C5">
                <v:shape id="_x0000_i1345" type="#_x0000_t75" style="width:10.5pt;height:10.5pt" o:ole="">
                  <v:imagedata r:id="rId642" o:title=""/>
                </v:shape>
                <o:OLEObject Type="Embed" ProgID="Equation.DSMT4" ShapeID="_x0000_i1345" DrawAspect="Content" ObjectID="_1706015026" r:id="rId643"/>
              </w:object>
            </w:r>
            <w:r>
              <w:rPr>
                <w:rFonts w:ascii="Arial" w:eastAsiaTheme="minorEastAsia" w:cs="Arial"/>
                <w:lang w:eastAsia="es-ES"/>
              </w:rPr>
              <w:t xml:space="preserve"> </w:t>
            </w:r>
          </w:p>
        </w:tc>
        <w:tc>
          <w:tcPr>
            <w:tcW w:w="1238" w:type="dxa"/>
          </w:tcPr>
          <w:p w14:paraId="091BE09D" w14:textId="77777777" w:rsidR="000F7773" w:rsidRDefault="000F7773" w:rsidP="00DB0816">
            <w:pPr>
              <w:jc w:val="left"/>
              <w:rPr>
                <w:rFonts w:eastAsiaTheme="minorEastAsia" w:cs="Arial"/>
              </w:rPr>
            </w:pPr>
            <w:r w:rsidRPr="003A7D6E">
              <w:rPr>
                <w:rFonts w:ascii="Arial" w:eastAsiaTheme="minorEastAsia" w:cs="Arial"/>
                <w:position w:val="-4"/>
                <w:lang w:eastAsia="es-ES"/>
              </w:rPr>
              <w:object w:dxaOrig="480" w:dyaOrig="260" w14:anchorId="6DF2FCD2">
                <v:shape id="_x0000_i1346" type="#_x0000_t75" style="width:30.75pt;height:15.75pt" o:ole="">
                  <v:imagedata r:id="rId644" o:title=""/>
                </v:shape>
                <o:OLEObject Type="Embed" ProgID="Equation.DSMT4" ShapeID="_x0000_i1346" DrawAspect="Content" ObjectID="_1706015027" r:id="rId645"/>
              </w:object>
            </w:r>
            <w:r>
              <w:rPr>
                <w:rFonts w:eastAsiaTheme="minorEastAsia" w:cs="Arial"/>
              </w:rPr>
              <w:t xml:space="preserve"> </w:t>
            </w:r>
          </w:p>
        </w:tc>
      </w:tr>
      <w:tr w:rsidR="000F7773" w14:paraId="34B991A8" w14:textId="77777777" w:rsidTr="00504B4C">
        <w:trPr>
          <w:trHeight w:val="442"/>
          <w:jc w:val="center"/>
        </w:trPr>
        <w:tc>
          <w:tcPr>
            <w:tcW w:w="1331" w:type="dxa"/>
            <w:tcBorders>
              <w:right w:val="single" w:sz="4" w:space="0" w:color="auto"/>
            </w:tcBorders>
          </w:tcPr>
          <w:p w14:paraId="316AD94F" w14:textId="77777777" w:rsidR="000F7773" w:rsidRDefault="000F7773" w:rsidP="00DB0816">
            <w:pPr>
              <w:jc w:val="left"/>
              <w:rPr>
                <w:rFonts w:eastAsiaTheme="minorEastAsia" w:cs="Arial"/>
              </w:rPr>
            </w:pPr>
            <w:r w:rsidRPr="00374698">
              <w:rPr>
                <w:rFonts w:ascii="Arial" w:eastAsiaTheme="minorEastAsia" w:cs="Arial"/>
                <w:position w:val="-10"/>
                <w:lang w:eastAsia="es-ES"/>
              </w:rPr>
              <w:object w:dxaOrig="1040" w:dyaOrig="320" w14:anchorId="1DD9EF4A">
                <v:shape id="_x0000_i1347" type="#_x0000_t75" style="width:51.75pt;height:15.75pt" o:ole="">
                  <v:imagedata r:id="rId646" o:title=""/>
                </v:shape>
                <o:OLEObject Type="Embed" ProgID="Equation.DSMT4" ShapeID="_x0000_i1347" DrawAspect="Content" ObjectID="_1706015028" r:id="rId647"/>
              </w:object>
            </w:r>
          </w:p>
        </w:tc>
        <w:tc>
          <w:tcPr>
            <w:tcW w:w="5300" w:type="dxa"/>
            <w:gridSpan w:val="2"/>
            <w:tcBorders>
              <w:left w:val="single" w:sz="4" w:space="0" w:color="auto"/>
            </w:tcBorders>
          </w:tcPr>
          <w:p w14:paraId="6B1F77AD" w14:textId="77777777" w:rsidR="000F7773" w:rsidRDefault="000F7773" w:rsidP="00DB0816">
            <w:pPr>
              <w:jc w:val="left"/>
              <w:rPr>
                <w:rFonts w:eastAsiaTheme="minorEastAsia" w:cs="Arial"/>
              </w:rPr>
            </w:pPr>
            <w:r w:rsidRPr="008412A7">
              <w:rPr>
                <w:rFonts w:ascii="Arial" w:eastAsiaTheme="minorEastAsia" w:cs="Arial"/>
                <w:position w:val="-28"/>
                <w:lang w:eastAsia="es-ES"/>
              </w:rPr>
              <w:object w:dxaOrig="3780" w:dyaOrig="540" w14:anchorId="4CBDAC0B">
                <v:shape id="_x0000_i1348" type="#_x0000_t75" style="width:185.25pt;height:30.75pt" o:ole="">
                  <v:imagedata r:id="rId648" o:title=""/>
                </v:shape>
                <o:OLEObject Type="Embed" ProgID="Equation.DSMT4" ShapeID="_x0000_i1348" DrawAspect="Content" ObjectID="_1706015029" r:id="rId649"/>
              </w:object>
            </w:r>
            <w:r>
              <w:rPr>
                <w:rFonts w:eastAsiaTheme="minorEastAsia" w:cs="Arial"/>
              </w:rPr>
              <w:t xml:space="preserve"> </w:t>
            </w:r>
          </w:p>
        </w:tc>
        <w:tc>
          <w:tcPr>
            <w:tcW w:w="1157" w:type="dxa"/>
          </w:tcPr>
          <w:p w14:paraId="313F08BB" w14:textId="77777777" w:rsidR="000F7773" w:rsidRDefault="000F7773" w:rsidP="00DB0816">
            <w:pPr>
              <w:jc w:val="left"/>
              <w:rPr>
                <w:rFonts w:eastAsiaTheme="minorEastAsia" w:cs="Arial"/>
              </w:rPr>
            </w:pPr>
            <w:r>
              <w:rPr>
                <w:rFonts w:eastAsiaTheme="minorEastAsia" w:cs="Arial"/>
              </w:rPr>
              <w:t>1</w:t>
            </w:r>
          </w:p>
        </w:tc>
        <w:tc>
          <w:tcPr>
            <w:tcW w:w="1238" w:type="dxa"/>
          </w:tcPr>
          <w:p w14:paraId="5A3EC287" w14:textId="77777777" w:rsidR="000F7773" w:rsidRDefault="000F7773" w:rsidP="00DB0816">
            <w:pPr>
              <w:jc w:val="left"/>
              <w:rPr>
                <w:rFonts w:eastAsiaTheme="minorEastAsia" w:cs="Arial"/>
              </w:rPr>
            </w:pPr>
            <w:r w:rsidRPr="002D53A7">
              <w:rPr>
                <w:rFonts w:ascii="Arial" w:eastAsiaTheme="minorEastAsia" w:cs="Arial"/>
                <w:position w:val="-4"/>
                <w:lang w:eastAsia="es-ES"/>
              </w:rPr>
              <w:object w:dxaOrig="740" w:dyaOrig="260" w14:anchorId="237E0ABF">
                <v:shape id="_x0000_i1349" type="#_x0000_t75" style="width:36pt;height:15.75pt" o:ole="">
                  <v:imagedata r:id="rId650" o:title=""/>
                </v:shape>
                <o:OLEObject Type="Embed" ProgID="Equation.DSMT4" ShapeID="_x0000_i1349" DrawAspect="Content" ObjectID="_1706015030" r:id="rId651"/>
              </w:object>
            </w:r>
            <w:r>
              <w:rPr>
                <w:rFonts w:eastAsiaTheme="minorEastAsia" w:cs="Arial"/>
              </w:rPr>
              <w:t xml:space="preserve"> </w:t>
            </w:r>
          </w:p>
        </w:tc>
      </w:tr>
      <w:tr w:rsidR="000F7773" w14:paraId="6876DFC4" w14:textId="77777777" w:rsidTr="00504B4C">
        <w:trPr>
          <w:trHeight w:val="442"/>
          <w:jc w:val="center"/>
        </w:trPr>
        <w:tc>
          <w:tcPr>
            <w:tcW w:w="1331" w:type="dxa"/>
            <w:tcBorders>
              <w:right w:val="single" w:sz="4" w:space="0" w:color="auto"/>
            </w:tcBorders>
          </w:tcPr>
          <w:p w14:paraId="4E15A0FD" w14:textId="77777777" w:rsidR="000F7773" w:rsidRDefault="000F7773" w:rsidP="00DB0816">
            <w:pPr>
              <w:jc w:val="left"/>
              <w:rPr>
                <w:rFonts w:eastAsiaTheme="minorEastAsia" w:cs="Arial"/>
              </w:rPr>
            </w:pPr>
            <w:r w:rsidRPr="00DC2095">
              <w:rPr>
                <w:rFonts w:ascii="Arial" w:eastAsiaTheme="minorEastAsia" w:cs="Arial"/>
                <w:position w:val="-10"/>
                <w:lang w:eastAsia="es-ES"/>
              </w:rPr>
              <w:object w:dxaOrig="980" w:dyaOrig="320" w14:anchorId="356F18AE">
                <v:shape id="_x0000_i1350" type="#_x0000_t75" style="width:51.75pt;height:15.75pt" o:ole="">
                  <v:imagedata r:id="rId652" o:title=""/>
                </v:shape>
                <o:OLEObject Type="Embed" ProgID="Equation.DSMT4" ShapeID="_x0000_i1350" DrawAspect="Content" ObjectID="_1706015031" r:id="rId653"/>
              </w:object>
            </w:r>
            <w:r>
              <w:rPr>
                <w:rFonts w:eastAsiaTheme="minorEastAsia" w:cs="Arial"/>
              </w:rPr>
              <w:t xml:space="preserve"> </w:t>
            </w:r>
          </w:p>
        </w:tc>
        <w:tc>
          <w:tcPr>
            <w:tcW w:w="5300" w:type="dxa"/>
            <w:gridSpan w:val="2"/>
            <w:tcBorders>
              <w:left w:val="single" w:sz="4" w:space="0" w:color="auto"/>
            </w:tcBorders>
          </w:tcPr>
          <w:p w14:paraId="2ECDE446" w14:textId="77777777" w:rsidR="000F7773" w:rsidRDefault="000F7773" w:rsidP="00DB0816">
            <w:pPr>
              <w:jc w:val="left"/>
              <w:rPr>
                <w:rFonts w:eastAsiaTheme="minorEastAsia" w:cs="Arial"/>
              </w:rPr>
            </w:pPr>
            <w:r w:rsidRPr="008412A7">
              <w:rPr>
                <w:rFonts w:ascii="Arial" w:eastAsiaTheme="minorEastAsia" w:cs="Arial"/>
                <w:position w:val="-28"/>
                <w:lang w:eastAsia="es-ES"/>
              </w:rPr>
              <w:object w:dxaOrig="3560" w:dyaOrig="540" w14:anchorId="02129625">
                <v:shape id="_x0000_i1351" type="#_x0000_t75" style="width:180pt;height:30.75pt" o:ole="">
                  <v:imagedata r:id="rId654" o:title=""/>
                </v:shape>
                <o:OLEObject Type="Embed" ProgID="Equation.DSMT4" ShapeID="_x0000_i1351" DrawAspect="Content" ObjectID="_1706015032" r:id="rId655"/>
              </w:object>
            </w:r>
          </w:p>
        </w:tc>
        <w:tc>
          <w:tcPr>
            <w:tcW w:w="1157" w:type="dxa"/>
          </w:tcPr>
          <w:p w14:paraId="2BBB2D85" w14:textId="77777777" w:rsidR="000F7773" w:rsidRDefault="000F7773" w:rsidP="00DB0816">
            <w:pPr>
              <w:jc w:val="left"/>
              <w:rPr>
                <w:rFonts w:eastAsiaTheme="minorEastAsia" w:cs="Arial"/>
              </w:rPr>
            </w:pPr>
            <w:r>
              <w:rPr>
                <w:rFonts w:eastAsiaTheme="minorEastAsia" w:cs="Arial"/>
              </w:rPr>
              <w:t>1</w:t>
            </w:r>
          </w:p>
        </w:tc>
        <w:tc>
          <w:tcPr>
            <w:tcW w:w="1238" w:type="dxa"/>
          </w:tcPr>
          <w:p w14:paraId="46CE03DC" w14:textId="77777777" w:rsidR="000F7773" w:rsidRDefault="000F7773" w:rsidP="00DB0816">
            <w:pPr>
              <w:jc w:val="left"/>
              <w:rPr>
                <w:rFonts w:eastAsiaTheme="minorEastAsia" w:cs="Arial"/>
              </w:rPr>
            </w:pPr>
            <w:r w:rsidRPr="002D53A7">
              <w:rPr>
                <w:rFonts w:ascii="Arial" w:eastAsiaTheme="minorEastAsia" w:cs="Arial"/>
                <w:position w:val="-4"/>
                <w:lang w:eastAsia="es-ES"/>
              </w:rPr>
              <w:object w:dxaOrig="700" w:dyaOrig="260" w14:anchorId="1E16AF22">
                <v:shape id="_x0000_i1352" type="#_x0000_t75" style="width:36pt;height:15.75pt" o:ole="">
                  <v:imagedata r:id="rId656" o:title=""/>
                </v:shape>
                <o:OLEObject Type="Embed" ProgID="Equation.DSMT4" ShapeID="_x0000_i1352" DrawAspect="Content" ObjectID="_1706015033" r:id="rId657"/>
              </w:object>
            </w:r>
            <w:r>
              <w:rPr>
                <w:rFonts w:eastAsiaTheme="minorEastAsia" w:cs="Arial"/>
              </w:rPr>
              <w:t xml:space="preserve"> </w:t>
            </w:r>
          </w:p>
        </w:tc>
      </w:tr>
      <w:tr w:rsidR="000F7773" w14:paraId="2DFB48C3" w14:textId="77777777" w:rsidTr="00504B4C">
        <w:trPr>
          <w:trHeight w:val="442"/>
          <w:jc w:val="center"/>
        </w:trPr>
        <w:tc>
          <w:tcPr>
            <w:tcW w:w="1331" w:type="dxa"/>
            <w:tcBorders>
              <w:right w:val="single" w:sz="4" w:space="0" w:color="auto"/>
            </w:tcBorders>
          </w:tcPr>
          <w:p w14:paraId="33736208" w14:textId="77777777" w:rsidR="000F7773" w:rsidRDefault="000F7773" w:rsidP="00DB0816">
            <w:pPr>
              <w:jc w:val="left"/>
              <w:rPr>
                <w:rFonts w:eastAsiaTheme="minorEastAsia" w:cs="Arial"/>
              </w:rPr>
            </w:pPr>
            <w:r w:rsidRPr="00BC3948">
              <w:rPr>
                <w:rFonts w:ascii="Arial" w:eastAsiaTheme="minorEastAsia" w:cs="Arial"/>
                <w:position w:val="-10"/>
                <w:lang w:eastAsia="es-ES"/>
              </w:rPr>
              <w:object w:dxaOrig="960" w:dyaOrig="320" w14:anchorId="67496CD7">
                <v:shape id="_x0000_i1353" type="#_x0000_t75" style="width:41.25pt;height:15.75pt" o:ole="">
                  <v:imagedata r:id="rId658" o:title=""/>
                </v:shape>
                <o:OLEObject Type="Embed" ProgID="Equation.DSMT4" ShapeID="_x0000_i1353" DrawAspect="Content" ObjectID="_1706015034" r:id="rId659"/>
              </w:object>
            </w:r>
            <w:r>
              <w:rPr>
                <w:rFonts w:eastAsiaTheme="minorEastAsia" w:cs="Arial"/>
              </w:rPr>
              <w:t xml:space="preserve"> </w:t>
            </w:r>
          </w:p>
        </w:tc>
        <w:tc>
          <w:tcPr>
            <w:tcW w:w="5300" w:type="dxa"/>
            <w:gridSpan w:val="2"/>
            <w:tcBorders>
              <w:left w:val="single" w:sz="4" w:space="0" w:color="auto"/>
            </w:tcBorders>
          </w:tcPr>
          <w:p w14:paraId="6C84A219" w14:textId="77777777" w:rsidR="000F7773" w:rsidRDefault="000F7773" w:rsidP="00DB0816">
            <w:pPr>
              <w:jc w:val="left"/>
              <w:rPr>
                <w:rFonts w:eastAsiaTheme="minorEastAsia" w:cs="Arial"/>
              </w:rPr>
            </w:pPr>
            <w:r w:rsidRPr="008412A7">
              <w:rPr>
                <w:rFonts w:ascii="Arial" w:eastAsiaTheme="minorEastAsia" w:cs="Arial"/>
                <w:position w:val="-28"/>
                <w:lang w:eastAsia="es-ES"/>
              </w:rPr>
              <w:object w:dxaOrig="3019" w:dyaOrig="540" w14:anchorId="06E15B83">
                <v:shape id="_x0000_i1354" type="#_x0000_t75" style="width:149.25pt;height:30.75pt" o:ole="">
                  <v:imagedata r:id="rId660" o:title=""/>
                </v:shape>
                <o:OLEObject Type="Embed" ProgID="Equation.DSMT4" ShapeID="_x0000_i1354" DrawAspect="Content" ObjectID="_1706015035" r:id="rId661"/>
              </w:object>
            </w:r>
          </w:p>
        </w:tc>
        <w:tc>
          <w:tcPr>
            <w:tcW w:w="1157" w:type="dxa"/>
          </w:tcPr>
          <w:p w14:paraId="374B8714" w14:textId="77777777" w:rsidR="000F7773" w:rsidRDefault="000F7773" w:rsidP="00DB0816">
            <w:pPr>
              <w:jc w:val="left"/>
              <w:rPr>
                <w:rFonts w:eastAsiaTheme="minorEastAsia" w:cs="Arial"/>
              </w:rPr>
            </w:pPr>
            <w:r>
              <w:rPr>
                <w:rFonts w:eastAsiaTheme="minorEastAsia" w:cs="Arial"/>
              </w:rPr>
              <w:t>1</w:t>
            </w:r>
          </w:p>
        </w:tc>
        <w:tc>
          <w:tcPr>
            <w:tcW w:w="1238" w:type="dxa"/>
          </w:tcPr>
          <w:p w14:paraId="6789D69E" w14:textId="77777777" w:rsidR="000F7773" w:rsidRDefault="000F7773" w:rsidP="00DB0816">
            <w:pPr>
              <w:jc w:val="left"/>
              <w:rPr>
                <w:rFonts w:eastAsiaTheme="minorEastAsia" w:cs="Arial"/>
              </w:rPr>
            </w:pPr>
            <w:r w:rsidRPr="002D53A7">
              <w:rPr>
                <w:rFonts w:ascii="Arial" w:eastAsiaTheme="minorEastAsia" w:cs="Arial"/>
                <w:position w:val="-6"/>
                <w:lang w:eastAsia="es-ES"/>
              </w:rPr>
              <w:object w:dxaOrig="660" w:dyaOrig="279" w14:anchorId="0E80572E">
                <v:shape id="_x0000_i1355" type="#_x0000_t75" style="width:30.75pt;height:15.75pt" o:ole="">
                  <v:imagedata r:id="rId662" o:title=""/>
                </v:shape>
                <o:OLEObject Type="Embed" ProgID="Equation.DSMT4" ShapeID="_x0000_i1355" DrawAspect="Content" ObjectID="_1706015036" r:id="rId663"/>
              </w:object>
            </w:r>
            <w:r>
              <w:rPr>
                <w:rFonts w:eastAsiaTheme="minorEastAsia" w:cs="Arial"/>
              </w:rPr>
              <w:t xml:space="preserve"> </w:t>
            </w:r>
          </w:p>
        </w:tc>
      </w:tr>
      <w:tr w:rsidR="000F7773" w14:paraId="4D102314" w14:textId="77777777" w:rsidTr="00504B4C">
        <w:trPr>
          <w:trHeight w:val="442"/>
          <w:jc w:val="center"/>
        </w:trPr>
        <w:tc>
          <w:tcPr>
            <w:tcW w:w="1331" w:type="dxa"/>
            <w:tcBorders>
              <w:right w:val="single" w:sz="4" w:space="0" w:color="auto"/>
            </w:tcBorders>
          </w:tcPr>
          <w:p w14:paraId="1C2320C2" w14:textId="77777777" w:rsidR="000F7773" w:rsidRDefault="000F7773" w:rsidP="00DB0816">
            <w:pPr>
              <w:jc w:val="left"/>
              <w:rPr>
                <w:rFonts w:eastAsiaTheme="minorEastAsia" w:cs="Arial"/>
              </w:rPr>
            </w:pPr>
            <w:r w:rsidRPr="008B216B">
              <w:rPr>
                <w:rFonts w:ascii="Arial" w:eastAsiaTheme="minorEastAsia" w:cs="Arial"/>
                <w:position w:val="-10"/>
                <w:lang w:eastAsia="es-ES"/>
              </w:rPr>
              <w:object w:dxaOrig="1080" w:dyaOrig="320" w14:anchorId="6C9D4817">
                <v:shape id="_x0000_i1356" type="#_x0000_t75" style="width:56.25pt;height:15.75pt" o:ole="">
                  <v:imagedata r:id="rId664" o:title=""/>
                </v:shape>
                <o:OLEObject Type="Embed" ProgID="Equation.DSMT4" ShapeID="_x0000_i1356" DrawAspect="Content" ObjectID="_1706015037" r:id="rId665"/>
              </w:object>
            </w:r>
            <w:r>
              <w:rPr>
                <w:rFonts w:eastAsiaTheme="minorEastAsia" w:cs="Arial"/>
              </w:rPr>
              <w:t xml:space="preserve"> </w:t>
            </w:r>
          </w:p>
        </w:tc>
        <w:tc>
          <w:tcPr>
            <w:tcW w:w="5300" w:type="dxa"/>
            <w:gridSpan w:val="2"/>
            <w:tcBorders>
              <w:left w:val="single" w:sz="4" w:space="0" w:color="auto"/>
            </w:tcBorders>
          </w:tcPr>
          <w:p w14:paraId="0AAC63A2" w14:textId="77777777" w:rsidR="000F7773" w:rsidRDefault="000F7773" w:rsidP="00DB0816">
            <w:pPr>
              <w:jc w:val="left"/>
              <w:rPr>
                <w:rFonts w:eastAsiaTheme="minorEastAsia" w:cs="Arial"/>
              </w:rPr>
            </w:pPr>
            <w:r w:rsidRPr="00057E27">
              <w:rPr>
                <w:rFonts w:ascii="Arial" w:eastAsiaTheme="minorEastAsia" w:cs="Arial"/>
                <w:position w:val="-28"/>
                <w:lang w:eastAsia="es-ES"/>
              </w:rPr>
              <w:object w:dxaOrig="3140" w:dyaOrig="540" w14:anchorId="68E38606">
                <v:shape id="_x0000_i1357" type="#_x0000_t75" style="width:159.75pt;height:30.75pt" o:ole="">
                  <v:imagedata r:id="rId666" o:title=""/>
                </v:shape>
                <o:OLEObject Type="Embed" ProgID="Equation.DSMT4" ShapeID="_x0000_i1357" DrawAspect="Content" ObjectID="_1706015038" r:id="rId667"/>
              </w:object>
            </w:r>
            <w:r>
              <w:rPr>
                <w:rFonts w:eastAsiaTheme="minorEastAsia" w:cs="Arial"/>
              </w:rPr>
              <w:t xml:space="preserve"> </w:t>
            </w:r>
          </w:p>
        </w:tc>
        <w:tc>
          <w:tcPr>
            <w:tcW w:w="1157" w:type="dxa"/>
          </w:tcPr>
          <w:p w14:paraId="1276F753" w14:textId="77777777" w:rsidR="000F7773" w:rsidRDefault="000F7773" w:rsidP="00DB0816">
            <w:pPr>
              <w:jc w:val="left"/>
              <w:rPr>
                <w:rFonts w:eastAsiaTheme="minorEastAsia" w:cs="Arial"/>
              </w:rPr>
            </w:pPr>
            <w:r>
              <w:rPr>
                <w:rFonts w:eastAsiaTheme="minorEastAsia" w:cs="Arial"/>
              </w:rPr>
              <w:t>1</w:t>
            </w:r>
          </w:p>
        </w:tc>
        <w:tc>
          <w:tcPr>
            <w:tcW w:w="1238" w:type="dxa"/>
          </w:tcPr>
          <w:p w14:paraId="78FAEAD7" w14:textId="77777777" w:rsidR="000F7773" w:rsidRDefault="000F7773" w:rsidP="00DB0816">
            <w:pPr>
              <w:jc w:val="left"/>
              <w:rPr>
                <w:rFonts w:eastAsiaTheme="minorEastAsia" w:cs="Arial"/>
              </w:rPr>
            </w:pPr>
            <w:r w:rsidRPr="002D53A7">
              <w:rPr>
                <w:rFonts w:ascii="Arial" w:eastAsiaTheme="minorEastAsia" w:cs="Arial"/>
                <w:position w:val="-6"/>
                <w:lang w:eastAsia="es-ES"/>
              </w:rPr>
              <w:object w:dxaOrig="780" w:dyaOrig="279" w14:anchorId="7B999521">
                <v:shape id="_x0000_i1358" type="#_x0000_t75" style="width:41.25pt;height:15.75pt" o:ole="">
                  <v:imagedata r:id="rId668" o:title=""/>
                </v:shape>
                <o:OLEObject Type="Embed" ProgID="Equation.DSMT4" ShapeID="_x0000_i1358" DrawAspect="Content" ObjectID="_1706015039" r:id="rId669"/>
              </w:object>
            </w:r>
            <w:r>
              <w:rPr>
                <w:rFonts w:eastAsiaTheme="minorEastAsia" w:cs="Arial"/>
              </w:rPr>
              <w:t xml:space="preserve"> </w:t>
            </w:r>
          </w:p>
        </w:tc>
      </w:tr>
      <w:tr w:rsidR="000F7773" w14:paraId="2BB1C684" w14:textId="77777777" w:rsidTr="00504B4C">
        <w:trPr>
          <w:trHeight w:val="442"/>
          <w:jc w:val="center"/>
        </w:trPr>
        <w:tc>
          <w:tcPr>
            <w:tcW w:w="1331" w:type="dxa"/>
            <w:tcBorders>
              <w:right w:val="single" w:sz="4" w:space="0" w:color="auto"/>
            </w:tcBorders>
          </w:tcPr>
          <w:p w14:paraId="7F1EA289" w14:textId="77777777" w:rsidR="000F7773" w:rsidRDefault="000F7773" w:rsidP="00DB0816">
            <w:pPr>
              <w:jc w:val="left"/>
              <w:rPr>
                <w:rFonts w:eastAsiaTheme="minorEastAsia" w:cs="Arial"/>
              </w:rPr>
            </w:pPr>
            <w:r w:rsidRPr="008B216B">
              <w:rPr>
                <w:rFonts w:ascii="Arial" w:eastAsiaTheme="minorEastAsia" w:cs="Arial"/>
                <w:position w:val="-10"/>
                <w:lang w:eastAsia="es-ES"/>
              </w:rPr>
              <w:object w:dxaOrig="960" w:dyaOrig="320" w14:anchorId="4DFB03FB">
                <v:shape id="_x0000_i1359" type="#_x0000_t75" style="width:41.25pt;height:15.75pt" o:ole="">
                  <v:imagedata r:id="rId670" o:title=""/>
                </v:shape>
                <o:OLEObject Type="Embed" ProgID="Equation.DSMT4" ShapeID="_x0000_i1359" DrawAspect="Content" ObjectID="_1706015040" r:id="rId671"/>
              </w:object>
            </w:r>
            <w:r>
              <w:rPr>
                <w:rFonts w:eastAsiaTheme="minorEastAsia" w:cs="Arial"/>
              </w:rPr>
              <w:t xml:space="preserve"> </w:t>
            </w:r>
            <w:r w:rsidRPr="008B216B">
              <w:rPr>
                <w:rFonts w:ascii="Arial" w:eastAsiaTheme="minorEastAsia" w:cs="Arial"/>
                <w:position w:val="-4"/>
                <w:lang w:eastAsia="es-ES"/>
              </w:rPr>
              <w:object w:dxaOrig="180" w:dyaOrig="279" w14:anchorId="31D48ABA">
                <v:shape id="_x0000_i1360" type="#_x0000_t75" style="width:5.25pt;height:15.75pt" o:ole="">
                  <v:imagedata r:id="rId377" o:title=""/>
                </v:shape>
                <o:OLEObject Type="Embed" ProgID="Equation.DSMT4" ShapeID="_x0000_i1360" DrawAspect="Content" ObjectID="_1706015041" r:id="rId672"/>
              </w:object>
            </w:r>
            <w:r>
              <w:rPr>
                <w:rFonts w:eastAsiaTheme="minorEastAsia" w:cs="Arial"/>
              </w:rPr>
              <w:t xml:space="preserve"> </w:t>
            </w:r>
          </w:p>
        </w:tc>
        <w:tc>
          <w:tcPr>
            <w:tcW w:w="5300" w:type="dxa"/>
            <w:gridSpan w:val="2"/>
            <w:tcBorders>
              <w:left w:val="single" w:sz="4" w:space="0" w:color="auto"/>
            </w:tcBorders>
          </w:tcPr>
          <w:p w14:paraId="554E4DAA" w14:textId="45A1B86C" w:rsidR="000F7773" w:rsidRDefault="00406EEA" w:rsidP="00DB0816">
            <w:pPr>
              <w:jc w:val="left"/>
              <w:rPr>
                <w:rFonts w:eastAsiaTheme="minorEastAsia" w:cs="Arial"/>
              </w:rPr>
            </w:pPr>
            <w:r w:rsidRPr="00C62957">
              <w:rPr>
                <w:rFonts w:ascii="Arial" w:eastAsiaTheme="minorEastAsia" w:cs="Arial"/>
                <w:position w:val="-28"/>
                <w:lang w:eastAsia="es-ES"/>
              </w:rPr>
              <w:object w:dxaOrig="4760" w:dyaOrig="560" w14:anchorId="41DAD38B">
                <v:shape id="_x0000_i1361" type="#_x0000_t75" style="width:235.5pt;height:30.75pt" o:ole="">
                  <v:imagedata r:id="rId673" o:title=""/>
                </v:shape>
                <o:OLEObject Type="Embed" ProgID="Equation.DSMT4" ShapeID="_x0000_i1361" DrawAspect="Content" ObjectID="_1706015042" r:id="rId674"/>
              </w:object>
            </w:r>
            <w:r w:rsidR="000F7773">
              <w:rPr>
                <w:rFonts w:eastAsiaTheme="minorEastAsia" w:cs="Arial"/>
              </w:rPr>
              <w:t xml:space="preserve"> </w:t>
            </w:r>
          </w:p>
        </w:tc>
        <w:tc>
          <w:tcPr>
            <w:tcW w:w="1157" w:type="dxa"/>
          </w:tcPr>
          <w:p w14:paraId="3806622D" w14:textId="77777777" w:rsidR="000F7773" w:rsidRDefault="000F7773" w:rsidP="00DB0816">
            <w:pPr>
              <w:jc w:val="left"/>
              <w:rPr>
                <w:rFonts w:eastAsiaTheme="minorEastAsia" w:cs="Arial"/>
              </w:rPr>
            </w:pPr>
            <w:r>
              <w:rPr>
                <w:rFonts w:eastAsiaTheme="minorEastAsia" w:cs="Arial"/>
              </w:rPr>
              <w:t>1</w:t>
            </w:r>
          </w:p>
        </w:tc>
        <w:tc>
          <w:tcPr>
            <w:tcW w:w="1238" w:type="dxa"/>
          </w:tcPr>
          <w:p w14:paraId="67F13602" w14:textId="77777777" w:rsidR="000F7773" w:rsidRDefault="000F7773" w:rsidP="00DB0816">
            <w:pPr>
              <w:jc w:val="left"/>
              <w:rPr>
                <w:rFonts w:eastAsiaTheme="minorEastAsia" w:cs="Arial"/>
              </w:rPr>
            </w:pPr>
            <w:r w:rsidRPr="00BB5DAC">
              <w:rPr>
                <w:rFonts w:ascii="Arial" w:eastAsiaTheme="minorEastAsia" w:cs="Arial"/>
                <w:position w:val="-6"/>
                <w:lang w:eastAsia="es-ES"/>
              </w:rPr>
              <w:object w:dxaOrig="660" w:dyaOrig="279" w14:anchorId="02F24A66">
                <v:shape id="_x0000_i1362" type="#_x0000_t75" style="width:30.75pt;height:15.75pt" o:ole="">
                  <v:imagedata r:id="rId675" o:title=""/>
                </v:shape>
                <o:OLEObject Type="Embed" ProgID="Equation.DSMT4" ShapeID="_x0000_i1362" DrawAspect="Content" ObjectID="_1706015043" r:id="rId676"/>
              </w:object>
            </w:r>
            <w:r>
              <w:rPr>
                <w:rFonts w:eastAsiaTheme="minorEastAsia" w:cs="Arial"/>
              </w:rPr>
              <w:t xml:space="preserve"> </w:t>
            </w:r>
          </w:p>
        </w:tc>
      </w:tr>
      <w:tr w:rsidR="000F7773" w14:paraId="233A36D0" w14:textId="77777777" w:rsidTr="00504B4C">
        <w:trPr>
          <w:trHeight w:val="442"/>
          <w:jc w:val="center"/>
        </w:trPr>
        <w:tc>
          <w:tcPr>
            <w:tcW w:w="1331" w:type="dxa"/>
            <w:tcBorders>
              <w:right w:val="single" w:sz="4" w:space="0" w:color="auto"/>
            </w:tcBorders>
          </w:tcPr>
          <w:p w14:paraId="5E197CFC" w14:textId="77777777" w:rsidR="000F7773" w:rsidRDefault="000F7773" w:rsidP="00DB0816">
            <w:pPr>
              <w:jc w:val="left"/>
              <w:rPr>
                <w:rFonts w:eastAsiaTheme="minorEastAsia" w:cs="Arial"/>
              </w:rPr>
            </w:pPr>
            <w:r w:rsidRPr="00CC67B7">
              <w:rPr>
                <w:rFonts w:ascii="Arial" w:eastAsiaTheme="minorEastAsia" w:cs="Arial"/>
                <w:position w:val="-10"/>
                <w:lang w:eastAsia="es-ES"/>
              </w:rPr>
              <w:object w:dxaOrig="1120" w:dyaOrig="320" w14:anchorId="241CE8CC">
                <v:shape id="_x0000_i1363" type="#_x0000_t75" style="width:56.25pt;height:15.75pt" o:ole="">
                  <v:imagedata r:id="rId677" o:title=""/>
                </v:shape>
                <o:OLEObject Type="Embed" ProgID="Equation.DSMT4" ShapeID="_x0000_i1363" DrawAspect="Content" ObjectID="_1706015044" r:id="rId678"/>
              </w:object>
            </w:r>
            <w:r>
              <w:rPr>
                <w:rFonts w:eastAsiaTheme="minorEastAsia" w:cs="Arial"/>
              </w:rPr>
              <w:t xml:space="preserve"> </w:t>
            </w:r>
          </w:p>
        </w:tc>
        <w:tc>
          <w:tcPr>
            <w:tcW w:w="5300" w:type="dxa"/>
            <w:gridSpan w:val="2"/>
            <w:tcBorders>
              <w:left w:val="single" w:sz="4" w:space="0" w:color="auto"/>
            </w:tcBorders>
          </w:tcPr>
          <w:p w14:paraId="12DCB0E2" w14:textId="77777777" w:rsidR="000F7773" w:rsidRDefault="000F7773" w:rsidP="00DB0816">
            <w:pPr>
              <w:jc w:val="left"/>
              <w:rPr>
                <w:rFonts w:eastAsiaTheme="minorEastAsia" w:cs="Arial"/>
              </w:rPr>
            </w:pPr>
            <w:r w:rsidRPr="00940B65">
              <w:rPr>
                <w:rFonts w:ascii="Arial" w:eastAsiaTheme="minorEastAsia" w:cs="Arial"/>
                <w:position w:val="-28"/>
                <w:lang w:eastAsia="es-ES"/>
              </w:rPr>
              <w:object w:dxaOrig="3379" w:dyaOrig="540" w14:anchorId="041BA75E">
                <v:shape id="_x0000_i1364" type="#_x0000_t75" style="width:174.75pt;height:30.75pt" o:ole="">
                  <v:imagedata r:id="rId679" o:title=""/>
                </v:shape>
                <o:OLEObject Type="Embed" ProgID="Equation.DSMT4" ShapeID="_x0000_i1364" DrawAspect="Content" ObjectID="_1706015045" r:id="rId680"/>
              </w:object>
            </w:r>
            <w:r>
              <w:rPr>
                <w:rFonts w:eastAsiaTheme="minorEastAsia" w:cs="Arial"/>
              </w:rPr>
              <w:t xml:space="preserve"> </w:t>
            </w:r>
          </w:p>
        </w:tc>
        <w:tc>
          <w:tcPr>
            <w:tcW w:w="1157" w:type="dxa"/>
          </w:tcPr>
          <w:p w14:paraId="377A7FB4" w14:textId="77777777" w:rsidR="000F7773" w:rsidRDefault="000F7773" w:rsidP="00DB0816">
            <w:pPr>
              <w:jc w:val="left"/>
              <w:rPr>
                <w:rFonts w:eastAsiaTheme="minorEastAsia" w:cs="Arial"/>
              </w:rPr>
            </w:pPr>
            <w:r>
              <w:rPr>
                <w:rFonts w:eastAsiaTheme="minorEastAsia" w:cs="Arial"/>
              </w:rPr>
              <w:t>1</w:t>
            </w:r>
          </w:p>
        </w:tc>
        <w:tc>
          <w:tcPr>
            <w:tcW w:w="1238" w:type="dxa"/>
          </w:tcPr>
          <w:p w14:paraId="7181FFAB" w14:textId="77777777" w:rsidR="000F7773" w:rsidRDefault="000F7773" w:rsidP="00DB0816">
            <w:pPr>
              <w:jc w:val="left"/>
              <w:rPr>
                <w:rFonts w:eastAsiaTheme="minorEastAsia" w:cs="Arial"/>
              </w:rPr>
            </w:pPr>
            <w:r w:rsidRPr="00BB5DAC">
              <w:rPr>
                <w:rFonts w:ascii="Arial" w:eastAsiaTheme="minorEastAsia" w:cs="Arial"/>
                <w:position w:val="-4"/>
                <w:lang w:eastAsia="es-ES"/>
              </w:rPr>
              <w:object w:dxaOrig="840" w:dyaOrig="260" w14:anchorId="33F06FAE">
                <v:shape id="_x0000_i1365" type="#_x0000_t75" style="width:41.25pt;height:15.75pt" o:ole="">
                  <v:imagedata r:id="rId681" o:title=""/>
                </v:shape>
                <o:OLEObject Type="Embed" ProgID="Equation.DSMT4" ShapeID="_x0000_i1365" DrawAspect="Content" ObjectID="_1706015046" r:id="rId682"/>
              </w:object>
            </w:r>
            <w:r>
              <w:rPr>
                <w:rFonts w:eastAsiaTheme="minorEastAsia" w:cs="Arial"/>
              </w:rPr>
              <w:t xml:space="preserve"> </w:t>
            </w:r>
          </w:p>
        </w:tc>
      </w:tr>
      <w:tr w:rsidR="000F7773" w14:paraId="5E747757" w14:textId="77777777" w:rsidTr="00504B4C">
        <w:trPr>
          <w:trHeight w:val="442"/>
          <w:jc w:val="center"/>
        </w:trPr>
        <w:tc>
          <w:tcPr>
            <w:tcW w:w="1331" w:type="dxa"/>
            <w:tcBorders>
              <w:right w:val="single" w:sz="4" w:space="0" w:color="auto"/>
            </w:tcBorders>
          </w:tcPr>
          <w:p w14:paraId="0B558E6D" w14:textId="77777777" w:rsidR="000F7773" w:rsidRDefault="000F7773" w:rsidP="00DB0816">
            <w:pPr>
              <w:jc w:val="left"/>
              <w:rPr>
                <w:rFonts w:eastAsiaTheme="minorEastAsia" w:cs="Arial"/>
              </w:rPr>
            </w:pPr>
            <w:r w:rsidRPr="00CC67B7">
              <w:rPr>
                <w:rFonts w:ascii="Arial" w:eastAsiaTheme="minorEastAsia" w:cs="Arial"/>
                <w:position w:val="-10"/>
                <w:lang w:eastAsia="es-ES"/>
              </w:rPr>
              <w:object w:dxaOrig="920" w:dyaOrig="320" w14:anchorId="29F93856">
                <v:shape id="_x0000_i1366" type="#_x0000_t75" style="width:41.25pt;height:15.75pt" o:ole="">
                  <v:imagedata r:id="rId683" o:title=""/>
                </v:shape>
                <o:OLEObject Type="Embed" ProgID="Equation.DSMT4" ShapeID="_x0000_i1366" DrawAspect="Content" ObjectID="_1706015047" r:id="rId684"/>
              </w:object>
            </w:r>
            <w:r>
              <w:rPr>
                <w:rFonts w:eastAsiaTheme="minorEastAsia" w:cs="Arial"/>
              </w:rPr>
              <w:t xml:space="preserve"> </w:t>
            </w:r>
          </w:p>
        </w:tc>
        <w:tc>
          <w:tcPr>
            <w:tcW w:w="5300" w:type="dxa"/>
            <w:gridSpan w:val="2"/>
            <w:tcBorders>
              <w:left w:val="single" w:sz="4" w:space="0" w:color="auto"/>
            </w:tcBorders>
          </w:tcPr>
          <w:p w14:paraId="6C459C4C" w14:textId="77777777" w:rsidR="000F7773" w:rsidRDefault="000F7773" w:rsidP="00DB0816">
            <w:pPr>
              <w:jc w:val="left"/>
              <w:rPr>
                <w:rFonts w:eastAsiaTheme="minorEastAsia" w:cs="Arial"/>
              </w:rPr>
            </w:pPr>
            <w:r w:rsidRPr="006A45B1">
              <w:rPr>
                <w:rFonts w:ascii="Arial" w:eastAsiaTheme="minorEastAsia" w:cs="Arial"/>
                <w:position w:val="-28"/>
                <w:lang w:eastAsia="es-ES"/>
              </w:rPr>
              <w:object w:dxaOrig="2940" w:dyaOrig="540" w14:anchorId="58F2F1B7">
                <v:shape id="_x0000_i1367" type="#_x0000_t75" style="width:149.25pt;height:30.75pt" o:ole="">
                  <v:imagedata r:id="rId685" o:title=""/>
                </v:shape>
                <o:OLEObject Type="Embed" ProgID="Equation.DSMT4" ShapeID="_x0000_i1367" DrawAspect="Content" ObjectID="_1706015048" r:id="rId686"/>
              </w:object>
            </w:r>
            <w:r>
              <w:rPr>
                <w:rFonts w:eastAsiaTheme="minorEastAsia" w:cs="Arial"/>
              </w:rPr>
              <w:t xml:space="preserve"> </w:t>
            </w:r>
          </w:p>
        </w:tc>
        <w:tc>
          <w:tcPr>
            <w:tcW w:w="1157" w:type="dxa"/>
          </w:tcPr>
          <w:p w14:paraId="458A125C" w14:textId="77777777" w:rsidR="000F7773" w:rsidRDefault="000F7773" w:rsidP="00DB0816">
            <w:pPr>
              <w:jc w:val="left"/>
              <w:rPr>
                <w:rFonts w:eastAsiaTheme="minorEastAsia" w:cs="Arial"/>
              </w:rPr>
            </w:pPr>
            <w:r>
              <w:rPr>
                <w:rFonts w:eastAsiaTheme="minorEastAsia" w:cs="Arial"/>
              </w:rPr>
              <w:t>1</w:t>
            </w:r>
          </w:p>
        </w:tc>
        <w:tc>
          <w:tcPr>
            <w:tcW w:w="1238" w:type="dxa"/>
          </w:tcPr>
          <w:p w14:paraId="5CEF2BE9" w14:textId="77777777" w:rsidR="000F7773" w:rsidRDefault="000F7773" w:rsidP="00DB0816">
            <w:pPr>
              <w:jc w:val="left"/>
              <w:rPr>
                <w:rFonts w:eastAsiaTheme="minorEastAsia" w:cs="Arial"/>
              </w:rPr>
            </w:pPr>
            <w:r w:rsidRPr="00F06491">
              <w:rPr>
                <w:rFonts w:ascii="Arial" w:eastAsiaTheme="minorEastAsia" w:cs="Arial"/>
                <w:position w:val="-4"/>
                <w:lang w:eastAsia="es-ES"/>
              </w:rPr>
              <w:object w:dxaOrig="620" w:dyaOrig="260" w14:anchorId="7B2FD557">
                <v:shape id="_x0000_i1368" type="#_x0000_t75" style="width:30.75pt;height:15.75pt" o:ole="">
                  <v:imagedata r:id="rId687" o:title=""/>
                </v:shape>
                <o:OLEObject Type="Embed" ProgID="Equation.DSMT4" ShapeID="_x0000_i1368" DrawAspect="Content" ObjectID="_1706015049" r:id="rId688"/>
              </w:object>
            </w:r>
            <w:r>
              <w:rPr>
                <w:rFonts w:eastAsiaTheme="minorEastAsia" w:cs="Arial"/>
              </w:rPr>
              <w:t xml:space="preserve"> </w:t>
            </w:r>
          </w:p>
        </w:tc>
      </w:tr>
      <w:tr w:rsidR="000F7773" w14:paraId="544E6102" w14:textId="77777777" w:rsidTr="00504B4C">
        <w:trPr>
          <w:trHeight w:val="442"/>
          <w:jc w:val="center"/>
        </w:trPr>
        <w:tc>
          <w:tcPr>
            <w:tcW w:w="1331" w:type="dxa"/>
            <w:tcBorders>
              <w:right w:val="single" w:sz="4" w:space="0" w:color="auto"/>
            </w:tcBorders>
          </w:tcPr>
          <w:p w14:paraId="35131B73" w14:textId="77777777" w:rsidR="000F7773" w:rsidRDefault="000F7773" w:rsidP="00DB0816">
            <w:pPr>
              <w:jc w:val="left"/>
              <w:rPr>
                <w:rFonts w:eastAsiaTheme="minorEastAsia" w:cs="Arial"/>
              </w:rPr>
            </w:pPr>
            <w:r w:rsidRPr="005822F9">
              <w:rPr>
                <w:rFonts w:ascii="Arial" w:eastAsiaTheme="minorEastAsia" w:cs="Arial"/>
                <w:position w:val="-10"/>
                <w:lang w:eastAsia="es-ES"/>
              </w:rPr>
              <w:object w:dxaOrig="980" w:dyaOrig="320" w14:anchorId="75185EF7">
                <v:shape id="_x0000_i1369" type="#_x0000_t75" style="width:51.75pt;height:15.75pt" o:ole="">
                  <v:imagedata r:id="rId689" o:title=""/>
                </v:shape>
                <o:OLEObject Type="Embed" ProgID="Equation.DSMT4" ShapeID="_x0000_i1369" DrawAspect="Content" ObjectID="_1706015050" r:id="rId690"/>
              </w:object>
            </w:r>
            <w:r>
              <w:rPr>
                <w:rFonts w:eastAsiaTheme="minorEastAsia" w:cs="Arial"/>
              </w:rPr>
              <w:t xml:space="preserve"> </w:t>
            </w:r>
          </w:p>
        </w:tc>
        <w:tc>
          <w:tcPr>
            <w:tcW w:w="5300" w:type="dxa"/>
            <w:gridSpan w:val="2"/>
            <w:tcBorders>
              <w:left w:val="single" w:sz="4" w:space="0" w:color="auto"/>
            </w:tcBorders>
          </w:tcPr>
          <w:p w14:paraId="3910D242" w14:textId="77777777" w:rsidR="000F7773" w:rsidRDefault="000F7773" w:rsidP="00DB0816">
            <w:pPr>
              <w:jc w:val="left"/>
              <w:rPr>
                <w:rFonts w:eastAsiaTheme="minorEastAsia" w:cs="Arial"/>
              </w:rPr>
            </w:pPr>
            <w:r w:rsidRPr="00AB38A4">
              <w:rPr>
                <w:rFonts w:ascii="Arial" w:eastAsiaTheme="minorEastAsia" w:cs="Arial"/>
                <w:position w:val="-30"/>
                <w:lang w:eastAsia="es-ES"/>
              </w:rPr>
              <w:object w:dxaOrig="4459" w:dyaOrig="580" w14:anchorId="43002D61">
                <v:shape id="_x0000_i1370" type="#_x0000_t75" style="width:221.25pt;height:30.75pt" o:ole="">
                  <v:imagedata r:id="rId691" o:title=""/>
                </v:shape>
                <o:OLEObject Type="Embed" ProgID="Equation.DSMT4" ShapeID="_x0000_i1370" DrawAspect="Content" ObjectID="_1706015051" r:id="rId692"/>
              </w:object>
            </w:r>
            <w:r>
              <w:rPr>
                <w:rFonts w:eastAsiaTheme="minorEastAsia" w:cs="Arial"/>
              </w:rPr>
              <w:t xml:space="preserve"> </w:t>
            </w:r>
          </w:p>
        </w:tc>
        <w:tc>
          <w:tcPr>
            <w:tcW w:w="1157" w:type="dxa"/>
          </w:tcPr>
          <w:p w14:paraId="555F12C1" w14:textId="77777777" w:rsidR="000F7773" w:rsidRDefault="000F7773" w:rsidP="00DB0816">
            <w:pPr>
              <w:jc w:val="left"/>
              <w:rPr>
                <w:rFonts w:eastAsiaTheme="minorEastAsia" w:cs="Arial"/>
              </w:rPr>
            </w:pPr>
            <w:r>
              <w:rPr>
                <w:rFonts w:eastAsiaTheme="minorEastAsia" w:cs="Arial"/>
              </w:rPr>
              <w:t>1</w:t>
            </w:r>
          </w:p>
        </w:tc>
        <w:tc>
          <w:tcPr>
            <w:tcW w:w="1238" w:type="dxa"/>
          </w:tcPr>
          <w:p w14:paraId="3B5F5BB7" w14:textId="77777777" w:rsidR="000F7773" w:rsidRDefault="000F7773" w:rsidP="00DB0816">
            <w:pPr>
              <w:jc w:val="left"/>
              <w:rPr>
                <w:rFonts w:eastAsiaTheme="minorEastAsia" w:cs="Arial"/>
              </w:rPr>
            </w:pPr>
            <w:r w:rsidRPr="00F06491">
              <w:rPr>
                <w:rFonts w:ascii="Arial" w:eastAsiaTheme="minorEastAsia" w:cs="Arial"/>
                <w:position w:val="-4"/>
                <w:lang w:eastAsia="es-ES"/>
              </w:rPr>
              <w:object w:dxaOrig="700" w:dyaOrig="260" w14:anchorId="78D9C19E">
                <v:shape id="_x0000_i1371" type="#_x0000_t75" style="width:36pt;height:15.75pt" o:ole="">
                  <v:imagedata r:id="rId693" o:title=""/>
                </v:shape>
                <o:OLEObject Type="Embed" ProgID="Equation.DSMT4" ShapeID="_x0000_i1371" DrawAspect="Content" ObjectID="_1706015052" r:id="rId694"/>
              </w:object>
            </w:r>
            <w:r>
              <w:rPr>
                <w:rFonts w:eastAsiaTheme="minorEastAsia" w:cs="Arial"/>
              </w:rPr>
              <w:t xml:space="preserve"> </w:t>
            </w:r>
          </w:p>
        </w:tc>
      </w:tr>
      <w:tr w:rsidR="000F7773" w14:paraId="5E95EF52" w14:textId="77777777" w:rsidTr="00504B4C">
        <w:trPr>
          <w:trHeight w:val="442"/>
          <w:jc w:val="center"/>
        </w:trPr>
        <w:tc>
          <w:tcPr>
            <w:tcW w:w="1331" w:type="dxa"/>
            <w:tcBorders>
              <w:right w:val="single" w:sz="4" w:space="0" w:color="auto"/>
            </w:tcBorders>
          </w:tcPr>
          <w:p w14:paraId="5DEC6849" w14:textId="77777777" w:rsidR="000F7773" w:rsidRDefault="000F7773" w:rsidP="00DB0816">
            <w:pPr>
              <w:jc w:val="left"/>
              <w:rPr>
                <w:rFonts w:eastAsiaTheme="minorEastAsia" w:cs="Arial"/>
              </w:rPr>
            </w:pPr>
            <w:r w:rsidRPr="004E7217">
              <w:rPr>
                <w:rFonts w:ascii="Arial" w:eastAsiaTheme="minorEastAsia" w:cs="Arial"/>
                <w:position w:val="-10"/>
                <w:lang w:eastAsia="es-ES"/>
              </w:rPr>
              <w:object w:dxaOrig="1100" w:dyaOrig="320" w14:anchorId="54E5D35E">
                <v:shape id="_x0000_i1372" type="#_x0000_t75" style="width:56.25pt;height:15.75pt" o:ole="">
                  <v:imagedata r:id="rId695" o:title=""/>
                </v:shape>
                <o:OLEObject Type="Embed" ProgID="Equation.DSMT4" ShapeID="_x0000_i1372" DrawAspect="Content" ObjectID="_1706015053" r:id="rId696"/>
              </w:object>
            </w:r>
            <w:r>
              <w:rPr>
                <w:rFonts w:eastAsiaTheme="minorEastAsia" w:cs="Arial"/>
              </w:rPr>
              <w:t xml:space="preserve"> </w:t>
            </w:r>
          </w:p>
        </w:tc>
        <w:tc>
          <w:tcPr>
            <w:tcW w:w="5300" w:type="dxa"/>
            <w:gridSpan w:val="2"/>
            <w:tcBorders>
              <w:left w:val="single" w:sz="4" w:space="0" w:color="auto"/>
            </w:tcBorders>
          </w:tcPr>
          <w:p w14:paraId="51699B33" w14:textId="77777777" w:rsidR="000F7773" w:rsidRDefault="000F7773" w:rsidP="00DB0816">
            <w:pPr>
              <w:jc w:val="left"/>
              <w:rPr>
                <w:rFonts w:eastAsiaTheme="minorEastAsia" w:cs="Arial"/>
              </w:rPr>
            </w:pPr>
            <w:r w:rsidRPr="00CE0467">
              <w:rPr>
                <w:rFonts w:ascii="Arial" w:eastAsiaTheme="minorEastAsia" w:cs="Arial"/>
                <w:position w:val="-30"/>
                <w:lang w:eastAsia="es-ES"/>
              </w:rPr>
              <w:object w:dxaOrig="4120" w:dyaOrig="580" w14:anchorId="0FEA987D">
                <v:shape id="_x0000_i1373" type="#_x0000_t75" style="width:210.75pt;height:30.75pt" o:ole="">
                  <v:imagedata r:id="rId697" o:title=""/>
                </v:shape>
                <o:OLEObject Type="Embed" ProgID="Equation.DSMT4" ShapeID="_x0000_i1373" DrawAspect="Content" ObjectID="_1706015054" r:id="rId698"/>
              </w:object>
            </w:r>
            <w:r>
              <w:rPr>
                <w:rFonts w:eastAsiaTheme="minorEastAsia" w:cs="Arial"/>
              </w:rPr>
              <w:t xml:space="preserve"> </w:t>
            </w:r>
          </w:p>
        </w:tc>
        <w:tc>
          <w:tcPr>
            <w:tcW w:w="1157" w:type="dxa"/>
          </w:tcPr>
          <w:p w14:paraId="5B73D5D5" w14:textId="77777777" w:rsidR="000F7773" w:rsidRDefault="000F7773" w:rsidP="00DB0816">
            <w:pPr>
              <w:jc w:val="left"/>
              <w:rPr>
                <w:rFonts w:eastAsiaTheme="minorEastAsia" w:cs="Arial"/>
              </w:rPr>
            </w:pPr>
            <w:r>
              <w:rPr>
                <w:rFonts w:eastAsiaTheme="minorEastAsia" w:cs="Arial"/>
              </w:rPr>
              <w:t>1</w:t>
            </w:r>
          </w:p>
        </w:tc>
        <w:tc>
          <w:tcPr>
            <w:tcW w:w="1238" w:type="dxa"/>
          </w:tcPr>
          <w:p w14:paraId="05DF3236" w14:textId="77777777" w:rsidR="000F7773" w:rsidRDefault="000F7773" w:rsidP="00DB0816">
            <w:pPr>
              <w:jc w:val="left"/>
              <w:rPr>
                <w:rFonts w:eastAsiaTheme="minorEastAsia" w:cs="Arial"/>
              </w:rPr>
            </w:pPr>
            <w:r w:rsidRPr="00F06491">
              <w:rPr>
                <w:rFonts w:ascii="Arial" w:eastAsiaTheme="minorEastAsia" w:cs="Arial"/>
                <w:position w:val="-4"/>
                <w:lang w:eastAsia="es-ES"/>
              </w:rPr>
              <w:object w:dxaOrig="820" w:dyaOrig="260" w14:anchorId="35E8B6FF">
                <v:shape id="_x0000_i1374" type="#_x0000_t75" style="width:41.25pt;height:15.75pt" o:ole="">
                  <v:imagedata r:id="rId699" o:title=""/>
                </v:shape>
                <o:OLEObject Type="Embed" ProgID="Equation.DSMT4" ShapeID="_x0000_i1374" DrawAspect="Content" ObjectID="_1706015055" r:id="rId700"/>
              </w:object>
            </w:r>
            <w:r>
              <w:rPr>
                <w:rFonts w:eastAsiaTheme="minorEastAsia" w:cs="Arial"/>
              </w:rPr>
              <w:t xml:space="preserve"> </w:t>
            </w:r>
          </w:p>
        </w:tc>
      </w:tr>
      <w:tr w:rsidR="000F7773" w14:paraId="75BE3C5F" w14:textId="77777777" w:rsidTr="00504B4C">
        <w:trPr>
          <w:trHeight w:val="442"/>
          <w:jc w:val="center"/>
        </w:trPr>
        <w:tc>
          <w:tcPr>
            <w:tcW w:w="1331" w:type="dxa"/>
            <w:tcBorders>
              <w:bottom w:val="single" w:sz="4" w:space="0" w:color="auto"/>
              <w:right w:val="single" w:sz="4" w:space="0" w:color="auto"/>
            </w:tcBorders>
          </w:tcPr>
          <w:p w14:paraId="390B1559" w14:textId="77777777" w:rsidR="000F7773" w:rsidRDefault="000F7773" w:rsidP="00DB0816">
            <w:pPr>
              <w:rPr>
                <w:rFonts w:eastAsiaTheme="minorEastAsia" w:cs="Arial"/>
              </w:rPr>
            </w:pPr>
            <w:r w:rsidRPr="00EC0406">
              <w:rPr>
                <w:rFonts w:ascii="Arial" w:eastAsiaTheme="minorEastAsia" w:cs="Arial"/>
                <w:position w:val="-10"/>
                <w:lang w:eastAsia="es-ES"/>
              </w:rPr>
              <w:object w:dxaOrig="999" w:dyaOrig="320" w14:anchorId="3BC12855">
                <v:shape id="_x0000_i1375" type="#_x0000_t75" style="width:51.75pt;height:15.75pt" o:ole="">
                  <v:imagedata r:id="rId701" o:title=""/>
                </v:shape>
                <o:OLEObject Type="Embed" ProgID="Equation.DSMT4" ShapeID="_x0000_i1375" DrawAspect="Content" ObjectID="_1706015056" r:id="rId702"/>
              </w:object>
            </w:r>
            <w:r>
              <w:rPr>
                <w:rFonts w:eastAsiaTheme="minorEastAsia" w:cs="Arial"/>
              </w:rPr>
              <w:t xml:space="preserve"> </w:t>
            </w:r>
          </w:p>
        </w:tc>
        <w:tc>
          <w:tcPr>
            <w:tcW w:w="5300" w:type="dxa"/>
            <w:gridSpan w:val="2"/>
            <w:tcBorders>
              <w:left w:val="single" w:sz="4" w:space="0" w:color="auto"/>
              <w:bottom w:val="single" w:sz="4" w:space="0" w:color="auto"/>
            </w:tcBorders>
          </w:tcPr>
          <w:p w14:paraId="793EDB22" w14:textId="77777777" w:rsidR="000F7773" w:rsidRDefault="000F7773" w:rsidP="00DB0816">
            <w:pPr>
              <w:rPr>
                <w:rFonts w:eastAsiaTheme="minorEastAsia" w:cs="Arial"/>
              </w:rPr>
            </w:pPr>
            <w:r w:rsidRPr="004C3B3D">
              <w:rPr>
                <w:rFonts w:ascii="Arial" w:eastAsiaTheme="minorEastAsia" w:cs="Arial"/>
                <w:position w:val="-28"/>
                <w:lang w:eastAsia="es-ES"/>
              </w:rPr>
              <w:object w:dxaOrig="4160" w:dyaOrig="540" w14:anchorId="7C351A98">
                <v:shape id="_x0000_i1376" type="#_x0000_t75" style="width:210.75pt;height:30.75pt" o:ole="">
                  <v:imagedata r:id="rId703" o:title=""/>
                </v:shape>
                <o:OLEObject Type="Embed" ProgID="Equation.DSMT4" ShapeID="_x0000_i1376" DrawAspect="Content" ObjectID="_1706015057" r:id="rId704"/>
              </w:object>
            </w:r>
            <w:r>
              <w:rPr>
                <w:rFonts w:eastAsiaTheme="minorEastAsia" w:cs="Arial"/>
              </w:rPr>
              <w:t xml:space="preserve"> </w:t>
            </w:r>
          </w:p>
        </w:tc>
        <w:tc>
          <w:tcPr>
            <w:tcW w:w="1157" w:type="dxa"/>
            <w:tcBorders>
              <w:bottom w:val="single" w:sz="4" w:space="0" w:color="auto"/>
            </w:tcBorders>
          </w:tcPr>
          <w:p w14:paraId="7B69A574" w14:textId="77777777" w:rsidR="000F7773" w:rsidRDefault="000F7773" w:rsidP="00DB0816">
            <w:pPr>
              <w:rPr>
                <w:rFonts w:eastAsiaTheme="minorEastAsia" w:cs="Arial"/>
              </w:rPr>
            </w:pPr>
            <w:r>
              <w:rPr>
                <w:rFonts w:eastAsiaTheme="minorEastAsia" w:cs="Arial"/>
              </w:rPr>
              <w:t>1</w:t>
            </w:r>
          </w:p>
        </w:tc>
        <w:tc>
          <w:tcPr>
            <w:tcW w:w="1238" w:type="dxa"/>
            <w:tcBorders>
              <w:bottom w:val="single" w:sz="4" w:space="0" w:color="auto"/>
            </w:tcBorders>
          </w:tcPr>
          <w:p w14:paraId="1EFD47F5" w14:textId="77777777" w:rsidR="000F7773" w:rsidRDefault="000F7773" w:rsidP="00DB0816">
            <w:pPr>
              <w:rPr>
                <w:rFonts w:eastAsiaTheme="minorEastAsia" w:cs="Arial"/>
              </w:rPr>
            </w:pPr>
            <w:r w:rsidRPr="00F06491">
              <w:rPr>
                <w:rFonts w:ascii="Arial" w:eastAsiaTheme="minorEastAsia" w:cs="Arial"/>
                <w:position w:val="-4"/>
                <w:lang w:eastAsia="es-ES"/>
              </w:rPr>
              <w:object w:dxaOrig="720" w:dyaOrig="260" w14:anchorId="1C4A31A2">
                <v:shape id="_x0000_i1377" type="#_x0000_t75" style="width:36pt;height:15.75pt" o:ole="">
                  <v:imagedata r:id="rId705" o:title=""/>
                </v:shape>
                <o:OLEObject Type="Embed" ProgID="Equation.DSMT4" ShapeID="_x0000_i1377" DrawAspect="Content" ObjectID="_1706015058" r:id="rId706"/>
              </w:object>
            </w:r>
            <w:r>
              <w:rPr>
                <w:rFonts w:eastAsiaTheme="minorEastAsia" w:cs="Arial"/>
              </w:rPr>
              <w:t xml:space="preserve"> </w:t>
            </w:r>
          </w:p>
        </w:tc>
      </w:tr>
    </w:tbl>
    <w:p w14:paraId="24BB678A" w14:textId="1A0926B4" w:rsidR="000F7773" w:rsidRDefault="000F7773" w:rsidP="000F7773">
      <w:pPr>
        <w:rPr>
          <w:rFonts w:cs="Arial"/>
          <w:sz w:val="18"/>
        </w:rPr>
      </w:pPr>
      <w:r w:rsidRPr="00220F06">
        <w:rPr>
          <w:rFonts w:cs="Arial"/>
          <w:sz w:val="18"/>
        </w:rPr>
        <w:t xml:space="preserve">Fuente: </w:t>
      </w:r>
      <w:r w:rsidRPr="00220F06">
        <w:rPr>
          <w:rFonts w:cs="Arial"/>
          <w:sz w:val="18"/>
        </w:rPr>
        <w:fldChar w:fldCharType="begin" w:fldLock="1"/>
      </w:r>
      <w:r w:rsidR="00475856">
        <w:rPr>
          <w:rFonts w:cs="Arial"/>
          <w:sz w:val="18"/>
        </w:rPr>
        <w:instrText>ADDIN CSL_CITATION {"citationItems":[{"id":"ITEM-1","itemData":{"author":[{"dropping-particle":"","family":"McDonald","given":"Scott","non-dropping-particle":"","parse-names":false,"suffix":""},{"dropping-particle":"","family":"Thierfelder","given":"Karen","non-dropping-particle":"","parse-names":false,"suffix":""}],"id":"ITEM-1","issue":"January","issued":{"date-parts":[["2017"]]},"number-of-pages":"1-89","title":"A Static Applied General Equilibrium Model: Technical Documentation - STAGE_int Version","type":"report"},"uris":["http://www.mendeley.com/documents/?uuid=83316eb5-e8df-4029-aa83-a2c1fd511a0d"]}],"mendeley":{"formattedCitation":"(McDonald &amp; Thierfelder, 2017)","manualFormatting":"McDonald &amp; Thierfelder (2017)","plainTextFormattedCitation":"(McDonald &amp; Thierfelder, 2017)","previouslyFormattedCitation":"(McDonald &amp; Thierfelder, 2017)"},"properties":{"noteIndex":0},"schema":"https://github.com/citation-style-language/schema/raw/master/csl-citation.json"}</w:instrText>
      </w:r>
      <w:r w:rsidRPr="00220F06">
        <w:rPr>
          <w:rFonts w:cs="Arial"/>
          <w:sz w:val="18"/>
        </w:rPr>
        <w:fldChar w:fldCharType="separate"/>
      </w:r>
      <w:r w:rsidRPr="00220F06">
        <w:rPr>
          <w:rFonts w:cs="Arial"/>
          <w:noProof/>
          <w:sz w:val="18"/>
        </w:rPr>
        <w:t>McDonald &amp; Thierfelder (2017)</w:t>
      </w:r>
      <w:r w:rsidRPr="00220F06">
        <w:rPr>
          <w:rFonts w:cs="Arial"/>
          <w:sz w:val="18"/>
        </w:rPr>
        <w:fldChar w:fldCharType="end"/>
      </w:r>
      <w:r w:rsidR="00406EEA">
        <w:rPr>
          <w:rFonts w:cs="Arial"/>
          <w:sz w:val="18"/>
        </w:rPr>
        <w:t>, con modificaciones</w:t>
      </w:r>
      <w:r w:rsidRPr="00220F06">
        <w:rPr>
          <w:rFonts w:cs="Arial"/>
          <w:sz w:val="18"/>
        </w:rPr>
        <w:t>.</w:t>
      </w:r>
    </w:p>
    <w:p w14:paraId="447FF166" w14:textId="1AB3F4FA" w:rsidR="000F7773" w:rsidRPr="008752BA" w:rsidRDefault="000F7773" w:rsidP="00FB4C93">
      <w:pPr>
        <w:spacing w:line="240" w:lineRule="auto"/>
        <w:rPr>
          <w:rFonts w:cs="Arial"/>
        </w:rPr>
      </w:pPr>
      <w:r w:rsidRPr="008752BA">
        <w:rPr>
          <w:rFonts w:cs="Arial"/>
        </w:rPr>
        <w:t>El gobierno recibe los ingresos de los impuestos</w:t>
      </w:r>
      <w:r>
        <w:rPr>
          <w:rFonts w:cs="Arial"/>
        </w:rPr>
        <w:t>,</w:t>
      </w:r>
      <w:r w:rsidRPr="008752BA">
        <w:rPr>
          <w:rFonts w:cs="Arial"/>
        </w:rPr>
        <w:t xml:space="preserve"> además</w:t>
      </w:r>
      <w:r>
        <w:rPr>
          <w:rFonts w:cs="Arial"/>
        </w:rPr>
        <w:t xml:space="preserve"> por</w:t>
      </w:r>
      <w:r w:rsidRPr="008752BA">
        <w:rPr>
          <w:rFonts w:cs="Arial"/>
        </w:rPr>
        <w:t xml:space="preserve"> ingreso de sus factores, dividendos de sus empresas y transferencias del resto del mundo (</w:t>
      </w:r>
      <w:r w:rsidRPr="008752BA">
        <w:rPr>
          <w:position w:val="-14"/>
        </w:rPr>
        <w:object w:dxaOrig="1280" w:dyaOrig="380" w14:anchorId="655EC36E">
          <v:shape id="_x0000_i1378" type="#_x0000_t75" style="width:66.75pt;height:20.25pt" o:ole="">
            <v:imagedata r:id="rId707" o:title=""/>
          </v:shape>
          <o:OLEObject Type="Embed" ProgID="Equation.DSMT4" ShapeID="_x0000_i1378" DrawAspect="Content" ObjectID="_1706015059" r:id="rId708"/>
        </w:object>
      </w:r>
      <w:r w:rsidRPr="008752BA">
        <w:t>,</w:t>
      </w:r>
      <w:r w:rsidRPr="008752BA">
        <w:rPr>
          <w:position w:val="-6"/>
        </w:rPr>
        <w:object w:dxaOrig="1040" w:dyaOrig="279" w14:anchorId="7F7C39E9">
          <v:shape id="_x0000_i1379" type="#_x0000_t75" style="width:51.75pt;height:15.75pt" o:ole="">
            <v:imagedata r:id="rId709" o:title=""/>
          </v:shape>
          <o:OLEObject Type="Embed" ProgID="Equation.DSMT4" ShapeID="_x0000_i1379" DrawAspect="Content" ObjectID="_1706015060" r:id="rId710"/>
        </w:object>
      </w:r>
      <w:r w:rsidRPr="008752BA">
        <w:t>,</w:t>
      </w:r>
      <w:r w:rsidRPr="008752BA">
        <w:rPr>
          <w:position w:val="-10"/>
        </w:rPr>
        <w:object w:dxaOrig="820" w:dyaOrig="260" w14:anchorId="5BC68F83">
          <v:shape id="_x0000_i1380" type="#_x0000_t75" style="width:41.25pt;height:15.75pt" o:ole="">
            <v:imagedata r:id="rId711" o:title=""/>
          </v:shape>
          <o:OLEObject Type="Embed" ProgID="Equation.DSMT4" ShapeID="_x0000_i1380" DrawAspect="Content" ObjectID="_1706015061" r:id="rId712"/>
        </w:object>
      </w:r>
      <w:r w:rsidRPr="008752BA">
        <w:t>). El gasto del gobierno se compone de</w:t>
      </w:r>
      <w:r>
        <w:t>:</w:t>
      </w:r>
      <w:r w:rsidRPr="008752BA">
        <w:t xml:space="preserve"> los bienes y servicios que consume</w:t>
      </w:r>
      <w:r>
        <w:t xml:space="preserve"> (</w:t>
      </w:r>
      <w:r w:rsidRPr="00593072">
        <w:rPr>
          <w:position w:val="-6"/>
        </w:rPr>
        <w:object w:dxaOrig="560" w:dyaOrig="279" w14:anchorId="6B7C75C5">
          <v:shape id="_x0000_i1381" type="#_x0000_t75" style="width:30.75pt;height:15.75pt" o:ole="">
            <v:imagedata r:id="rId713" o:title=""/>
          </v:shape>
          <o:OLEObject Type="Embed" ProgID="Equation.DSMT4" ShapeID="_x0000_i1381" DrawAspect="Content" ObjectID="_1706015062" r:id="rId714"/>
        </w:object>
      </w:r>
      <w:r>
        <w:t>)</w:t>
      </w:r>
      <w:r w:rsidRPr="008752BA">
        <w:t>, transferencias a empresas</w:t>
      </w:r>
      <w:r>
        <w:t xml:space="preserve"> (</w:t>
      </w:r>
      <w:r w:rsidRPr="00871449">
        <w:rPr>
          <w:position w:val="-12"/>
        </w:rPr>
        <w:object w:dxaOrig="1280" w:dyaOrig="360" w14:anchorId="20BEF6F6">
          <v:shape id="_x0000_i1382" type="#_x0000_t75" style="width:66.75pt;height:20.25pt" o:ole="">
            <v:imagedata r:id="rId715" o:title=""/>
          </v:shape>
          <o:OLEObject Type="Embed" ProgID="Equation.DSMT4" ShapeID="_x0000_i1382" DrawAspect="Content" ObjectID="_1706015063" r:id="rId716"/>
        </w:object>
      </w:r>
      <w:r>
        <w:t>)</w:t>
      </w:r>
      <w:r w:rsidRPr="008752BA">
        <w:t xml:space="preserve"> y hogares</w:t>
      </w:r>
      <w:r>
        <w:t xml:space="preserve"> (</w:t>
      </w:r>
      <w:r w:rsidRPr="00FB0FB4">
        <w:rPr>
          <w:position w:val="-12"/>
        </w:rPr>
        <w:object w:dxaOrig="1240" w:dyaOrig="360" w14:anchorId="59150086">
          <v:shape id="_x0000_i1383" type="#_x0000_t75" style="width:66.75pt;height:20.25pt" o:ole="">
            <v:imagedata r:id="rId717" o:title=""/>
          </v:shape>
          <o:OLEObject Type="Embed" ProgID="Equation.DSMT4" ShapeID="_x0000_i1383" DrawAspect="Content" ObjectID="_1706015064" r:id="rId718"/>
        </w:object>
      </w:r>
      <w:r>
        <w:t>)</w:t>
      </w:r>
      <w:r w:rsidRPr="008752BA">
        <w:t>, las cuales se pueden modificar de manera multiplicativa mediante las variables con sufijo</w:t>
      </w:r>
      <w:r w:rsidRPr="008752BA">
        <w:rPr>
          <w:position w:val="-6"/>
        </w:rPr>
        <w:object w:dxaOrig="760" w:dyaOrig="279" w14:anchorId="15C2079F">
          <v:shape id="_x0000_i1384" type="#_x0000_t75" style="width:36pt;height:15.75pt" o:ole="">
            <v:imagedata r:id="rId719" o:title=""/>
          </v:shape>
          <o:OLEObject Type="Embed" ProgID="Equation.DSMT4" ShapeID="_x0000_i1384" DrawAspect="Content" ObjectID="_1706015065" r:id="rId720"/>
        </w:object>
      </w:r>
      <w:r w:rsidR="00A77D30">
        <w:t xml:space="preserve">, como se muestra en la </w:t>
      </w:r>
      <w:r w:rsidR="00A77D30">
        <w:fldChar w:fldCharType="begin"/>
      </w:r>
      <w:r w:rsidR="00A77D30">
        <w:instrText xml:space="preserve"> REF _Ref525024192 \h </w:instrText>
      </w:r>
      <w:r w:rsidR="00A77D30">
        <w:rPr>
          <w:rFonts w:eastAsiaTheme="minorEastAsia" w:cs="Arial"/>
        </w:rPr>
        <w:instrText xml:space="preserve"> </w:instrText>
      </w:r>
      <w:r w:rsidR="00A77D30">
        <w:instrText xml:space="preserve">\* lower </w:instrText>
      </w:r>
      <w:r w:rsidR="00A77D30">
        <w:fldChar w:fldCharType="separate"/>
      </w:r>
      <w:r w:rsidR="00A95E32">
        <w:t xml:space="preserve">tabla </w:t>
      </w:r>
      <w:r w:rsidR="00A95E32">
        <w:rPr>
          <w:noProof/>
        </w:rPr>
        <w:t>14</w:t>
      </w:r>
      <w:r w:rsidR="00A77D30">
        <w:fldChar w:fldCharType="end"/>
      </w:r>
      <w:r w:rsidRPr="008752BA">
        <w:t xml:space="preserve">. </w:t>
      </w:r>
    </w:p>
    <w:p w14:paraId="2DAC77AD" w14:textId="205725C8" w:rsidR="000F7773" w:rsidRDefault="000F7773" w:rsidP="000F7773">
      <w:pPr>
        <w:pStyle w:val="Caption"/>
      </w:pPr>
      <w:bookmarkStart w:id="119" w:name="_Ref525024192"/>
      <w:bookmarkStart w:id="120" w:name="_Toc524946952"/>
      <w:bookmarkStart w:id="121" w:name="_Toc525033956"/>
      <w:bookmarkStart w:id="122" w:name="_Toc526175257"/>
      <w:bookmarkStart w:id="123" w:name="_Toc2853704"/>
      <w:r>
        <w:t xml:space="preserve">Tabla </w:t>
      </w:r>
      <w:r w:rsidR="00F700CF">
        <w:rPr>
          <w:noProof/>
        </w:rPr>
        <w:fldChar w:fldCharType="begin"/>
      </w:r>
      <w:r w:rsidR="00F700CF">
        <w:rPr>
          <w:noProof/>
        </w:rPr>
        <w:instrText xml:space="preserve"> SEQ Tabla \* ARABIC </w:instrText>
      </w:r>
      <w:r w:rsidR="00F700CF">
        <w:rPr>
          <w:noProof/>
        </w:rPr>
        <w:fldChar w:fldCharType="separate"/>
      </w:r>
      <w:r w:rsidR="00A95E32">
        <w:rPr>
          <w:noProof/>
        </w:rPr>
        <w:t>14</w:t>
      </w:r>
      <w:r w:rsidR="00F700CF">
        <w:rPr>
          <w:noProof/>
        </w:rPr>
        <w:fldChar w:fldCharType="end"/>
      </w:r>
      <w:bookmarkEnd w:id="119"/>
      <w:r>
        <w:t xml:space="preserve"> </w:t>
      </w:r>
      <w:r>
        <w:br/>
      </w:r>
      <w:r w:rsidRPr="007F2F7B">
        <w:t>Bloque del gobierno</w:t>
      </w:r>
      <w:bookmarkEnd w:id="120"/>
      <w:bookmarkEnd w:id="121"/>
      <w:bookmarkEnd w:id="122"/>
      <w:bookmarkEnd w:id="123"/>
    </w:p>
    <w:tbl>
      <w:tblPr>
        <w:tblStyle w:val="TableGrid"/>
        <w:tblW w:w="8817"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37"/>
        <w:gridCol w:w="5368"/>
        <w:gridCol w:w="1354"/>
        <w:gridCol w:w="1134"/>
      </w:tblGrid>
      <w:tr w:rsidR="000F7773" w14:paraId="29A0C373" w14:textId="77777777" w:rsidTr="00700471">
        <w:trPr>
          <w:trHeight w:val="603"/>
          <w:jc w:val="center"/>
        </w:trPr>
        <w:tc>
          <w:tcPr>
            <w:tcW w:w="1072" w:type="dxa"/>
            <w:tcBorders>
              <w:top w:val="single" w:sz="4" w:space="0" w:color="auto"/>
              <w:bottom w:val="single" w:sz="4" w:space="0" w:color="auto"/>
            </w:tcBorders>
          </w:tcPr>
          <w:p w14:paraId="4C77EE34" w14:textId="77777777" w:rsidR="000F7773" w:rsidRPr="00113BD7" w:rsidRDefault="000F7773" w:rsidP="00DB0816">
            <w:pPr>
              <w:rPr>
                <w:rFonts w:ascii="Arial" w:eastAsiaTheme="minorEastAsia" w:cs="Arial"/>
                <w:sz w:val="22"/>
              </w:rPr>
            </w:pPr>
            <w:r w:rsidRPr="00113BD7">
              <w:rPr>
                <w:rFonts w:ascii="Arial" w:eastAsiaTheme="minorEastAsia" w:cs="Arial"/>
                <w:sz w:val="22"/>
              </w:rPr>
              <w:t>Nombre</w:t>
            </w:r>
          </w:p>
        </w:tc>
        <w:tc>
          <w:tcPr>
            <w:tcW w:w="5469" w:type="dxa"/>
            <w:tcBorders>
              <w:top w:val="single" w:sz="4" w:space="0" w:color="auto"/>
              <w:bottom w:val="single" w:sz="4" w:space="0" w:color="auto"/>
            </w:tcBorders>
          </w:tcPr>
          <w:p w14:paraId="2FFA303C" w14:textId="77777777" w:rsidR="000F7773" w:rsidRPr="00113BD7" w:rsidRDefault="000F7773" w:rsidP="00DB0816">
            <w:pPr>
              <w:rPr>
                <w:rFonts w:ascii="Arial" w:eastAsiaTheme="minorEastAsia" w:cs="Arial"/>
                <w:sz w:val="22"/>
              </w:rPr>
            </w:pPr>
            <w:r w:rsidRPr="00113BD7">
              <w:rPr>
                <w:rFonts w:ascii="Arial" w:eastAsiaTheme="minorEastAsia" w:cs="Arial"/>
                <w:sz w:val="22"/>
              </w:rPr>
              <w:t xml:space="preserve">Ecuación </w:t>
            </w:r>
          </w:p>
        </w:tc>
        <w:tc>
          <w:tcPr>
            <w:tcW w:w="1219" w:type="dxa"/>
            <w:tcBorders>
              <w:top w:val="single" w:sz="4" w:space="0" w:color="auto"/>
              <w:bottom w:val="single" w:sz="4" w:space="0" w:color="auto"/>
            </w:tcBorders>
          </w:tcPr>
          <w:p w14:paraId="2C19447E" w14:textId="77777777" w:rsidR="000F7773" w:rsidRPr="00113BD7" w:rsidRDefault="000F7773" w:rsidP="00DB0816">
            <w:pPr>
              <w:rPr>
                <w:rFonts w:ascii="Arial" w:eastAsiaTheme="minorEastAsia" w:cs="Arial"/>
                <w:sz w:val="22"/>
              </w:rPr>
            </w:pPr>
            <w:r w:rsidRPr="00113BD7">
              <w:rPr>
                <w:rFonts w:ascii="Arial" w:eastAsiaTheme="minorEastAsia" w:cs="Arial"/>
                <w:sz w:val="22"/>
              </w:rPr>
              <w:t>Ecuaciones</w:t>
            </w:r>
          </w:p>
        </w:tc>
        <w:tc>
          <w:tcPr>
            <w:tcW w:w="1057" w:type="dxa"/>
            <w:tcBorders>
              <w:top w:val="single" w:sz="4" w:space="0" w:color="auto"/>
              <w:bottom w:val="single" w:sz="4" w:space="0" w:color="auto"/>
            </w:tcBorders>
          </w:tcPr>
          <w:p w14:paraId="60654F51" w14:textId="77777777" w:rsidR="000F7773" w:rsidRPr="00113BD7" w:rsidRDefault="000F7773" w:rsidP="00DB0816">
            <w:pPr>
              <w:rPr>
                <w:rFonts w:ascii="Arial" w:eastAsiaTheme="minorEastAsia" w:cs="Arial"/>
                <w:sz w:val="22"/>
              </w:rPr>
            </w:pPr>
            <w:r w:rsidRPr="00113BD7">
              <w:rPr>
                <w:rFonts w:ascii="Arial" w:eastAsiaTheme="minorEastAsia" w:cs="Arial"/>
                <w:sz w:val="22"/>
              </w:rPr>
              <w:t>Variables</w:t>
            </w:r>
          </w:p>
        </w:tc>
      </w:tr>
      <w:tr w:rsidR="000F7773" w14:paraId="610BFC14" w14:textId="77777777" w:rsidTr="00700471">
        <w:trPr>
          <w:trHeight w:val="535"/>
          <w:jc w:val="center"/>
        </w:trPr>
        <w:tc>
          <w:tcPr>
            <w:tcW w:w="1072" w:type="dxa"/>
            <w:tcBorders>
              <w:top w:val="single" w:sz="4" w:space="0" w:color="auto"/>
            </w:tcBorders>
          </w:tcPr>
          <w:p w14:paraId="1776D145" w14:textId="77777777" w:rsidR="000F7773" w:rsidRDefault="000F7773" w:rsidP="00DB0816">
            <w:pPr>
              <w:rPr>
                <w:rFonts w:eastAsiaTheme="minorEastAsia" w:cs="Arial"/>
              </w:rPr>
            </w:pPr>
            <w:r w:rsidRPr="00BE0890">
              <w:rPr>
                <w:rFonts w:ascii="Arial" w:eastAsiaTheme="minorEastAsia" w:cs="Arial"/>
                <w:position w:val="-10"/>
                <w:lang w:eastAsia="es-ES"/>
              </w:rPr>
              <w:object w:dxaOrig="680" w:dyaOrig="320" w14:anchorId="4FAB2AAA">
                <v:shape id="_x0000_i1385" type="#_x0000_t75" style="width:36pt;height:15.75pt" o:ole="">
                  <v:imagedata r:id="rId721" o:title=""/>
                </v:shape>
                <o:OLEObject Type="Embed" ProgID="Equation.DSMT4" ShapeID="_x0000_i1385" DrawAspect="Content" ObjectID="_1706015066" r:id="rId722"/>
              </w:object>
            </w:r>
            <w:r>
              <w:rPr>
                <w:rFonts w:eastAsiaTheme="minorEastAsia" w:cs="Arial"/>
              </w:rPr>
              <w:t xml:space="preserve"> </w:t>
            </w:r>
          </w:p>
        </w:tc>
        <w:tc>
          <w:tcPr>
            <w:tcW w:w="5469" w:type="dxa"/>
            <w:tcBorders>
              <w:top w:val="single" w:sz="4" w:space="0" w:color="auto"/>
            </w:tcBorders>
          </w:tcPr>
          <w:p w14:paraId="44470A46" w14:textId="33477B55" w:rsidR="000F7773" w:rsidRPr="007704AF" w:rsidRDefault="00EB159A" w:rsidP="00DB0816">
            <w:pPr>
              <w:rPr>
                <w:rFonts w:eastAsiaTheme="minorEastAsia" w:cs="Arial"/>
                <w:lang w:val="en-US"/>
              </w:rPr>
            </w:pPr>
            <w:r w:rsidRPr="00BD7AC9">
              <w:rPr>
                <w:rFonts w:ascii="Arial" w:eastAsiaTheme="minorEastAsia" w:cs="Arial"/>
                <w:position w:val="-90"/>
                <w:lang w:eastAsia="es-ES"/>
              </w:rPr>
              <w:object w:dxaOrig="5679" w:dyaOrig="1480" w14:anchorId="749095AB">
                <v:shape id="_x0000_i1386" type="#_x0000_t75" style="width:257.25pt;height:1in" o:ole="">
                  <v:imagedata r:id="rId723" o:title=""/>
                </v:shape>
                <o:OLEObject Type="Embed" ProgID="Equation.DSMT4" ShapeID="_x0000_i1386" DrawAspect="Content" ObjectID="_1706015067" r:id="rId724"/>
              </w:object>
            </w:r>
            <w:r w:rsidR="000F7773">
              <w:rPr>
                <w:rFonts w:eastAsiaTheme="minorEastAsia" w:cs="Arial"/>
              </w:rPr>
              <w:t xml:space="preserve"> </w:t>
            </w:r>
          </w:p>
        </w:tc>
        <w:tc>
          <w:tcPr>
            <w:tcW w:w="1219" w:type="dxa"/>
            <w:tcBorders>
              <w:top w:val="single" w:sz="4" w:space="0" w:color="auto"/>
            </w:tcBorders>
          </w:tcPr>
          <w:p w14:paraId="746200D5" w14:textId="77777777" w:rsidR="000F7773" w:rsidRDefault="000F7773" w:rsidP="00DB0816">
            <w:pPr>
              <w:rPr>
                <w:rFonts w:eastAsiaTheme="minorEastAsia" w:cs="Arial"/>
              </w:rPr>
            </w:pPr>
            <w:r>
              <w:rPr>
                <w:rFonts w:eastAsiaTheme="minorEastAsia" w:cs="Arial"/>
              </w:rPr>
              <w:t>1</w:t>
            </w:r>
          </w:p>
        </w:tc>
        <w:tc>
          <w:tcPr>
            <w:tcW w:w="1057" w:type="dxa"/>
            <w:tcBorders>
              <w:top w:val="single" w:sz="4" w:space="0" w:color="auto"/>
            </w:tcBorders>
          </w:tcPr>
          <w:p w14:paraId="6EC6F0AC" w14:textId="77777777" w:rsidR="000F7773" w:rsidRDefault="000F7773" w:rsidP="00DB0816">
            <w:pPr>
              <w:rPr>
                <w:rFonts w:eastAsiaTheme="minorEastAsia" w:cs="Arial"/>
              </w:rPr>
            </w:pPr>
            <w:r w:rsidRPr="00834384">
              <w:rPr>
                <w:rFonts w:ascii="Arial" w:eastAsiaTheme="minorEastAsia" w:cs="Arial"/>
                <w:position w:val="-6"/>
                <w:lang w:eastAsia="es-ES"/>
              </w:rPr>
              <w:object w:dxaOrig="380" w:dyaOrig="279" w14:anchorId="69CAC01F">
                <v:shape id="_x0000_i1387" type="#_x0000_t75" style="width:20.25pt;height:15.75pt" o:ole="">
                  <v:imagedata r:id="rId725" o:title=""/>
                </v:shape>
                <o:OLEObject Type="Embed" ProgID="Equation.DSMT4" ShapeID="_x0000_i1387" DrawAspect="Content" ObjectID="_1706015068" r:id="rId726"/>
              </w:object>
            </w:r>
            <w:r>
              <w:rPr>
                <w:rFonts w:eastAsiaTheme="minorEastAsia" w:cs="Arial"/>
              </w:rPr>
              <w:t xml:space="preserve"> </w:t>
            </w:r>
          </w:p>
        </w:tc>
      </w:tr>
      <w:tr w:rsidR="000F7773" w14:paraId="3D9C3E94" w14:textId="77777777" w:rsidTr="00700471">
        <w:trPr>
          <w:trHeight w:val="668"/>
          <w:jc w:val="center"/>
        </w:trPr>
        <w:tc>
          <w:tcPr>
            <w:tcW w:w="1072" w:type="dxa"/>
          </w:tcPr>
          <w:p w14:paraId="23D28660" w14:textId="77777777" w:rsidR="000F7773" w:rsidRDefault="000F7773" w:rsidP="00DB0816">
            <w:pPr>
              <w:rPr>
                <w:rFonts w:eastAsiaTheme="minorEastAsia" w:cs="Arial"/>
              </w:rPr>
            </w:pPr>
            <w:r w:rsidRPr="00C817E7">
              <w:rPr>
                <w:rFonts w:ascii="Arial" w:eastAsiaTheme="minorEastAsia" w:cs="Arial"/>
                <w:position w:val="-12"/>
                <w:lang w:eastAsia="es-ES"/>
              </w:rPr>
              <w:object w:dxaOrig="960" w:dyaOrig="360" w14:anchorId="223960F8">
                <v:shape id="_x0000_i1388" type="#_x0000_t75" style="width:41.25pt;height:20.25pt" o:ole="">
                  <v:imagedata r:id="rId727" o:title=""/>
                </v:shape>
                <o:OLEObject Type="Embed" ProgID="Equation.DSMT4" ShapeID="_x0000_i1388" DrawAspect="Content" ObjectID="_1706015069" r:id="rId728"/>
              </w:object>
            </w:r>
            <w:r>
              <w:rPr>
                <w:rFonts w:eastAsiaTheme="minorEastAsia" w:cs="Arial"/>
              </w:rPr>
              <w:t xml:space="preserve"> </w:t>
            </w:r>
          </w:p>
        </w:tc>
        <w:tc>
          <w:tcPr>
            <w:tcW w:w="5469" w:type="dxa"/>
          </w:tcPr>
          <w:p w14:paraId="5E79D50F" w14:textId="77777777" w:rsidR="000F7773" w:rsidRDefault="000F7773" w:rsidP="00DB0816">
            <w:pPr>
              <w:rPr>
                <w:rFonts w:eastAsiaTheme="minorEastAsia" w:cs="Arial"/>
              </w:rPr>
            </w:pPr>
            <w:r w:rsidRPr="00B9602F">
              <w:rPr>
                <w:rFonts w:ascii="Arial" w:eastAsiaTheme="minorEastAsia" w:cs="Arial"/>
                <w:position w:val="-12"/>
                <w:lang w:eastAsia="es-ES"/>
              </w:rPr>
              <w:object w:dxaOrig="3000" w:dyaOrig="360" w14:anchorId="0E49DFAA">
                <v:shape id="_x0000_i1389" type="#_x0000_t75" style="width:149.25pt;height:20.25pt" o:ole="">
                  <v:imagedata r:id="rId729" o:title=""/>
                </v:shape>
                <o:OLEObject Type="Embed" ProgID="Equation.DSMT4" ShapeID="_x0000_i1389" DrawAspect="Content" ObjectID="_1706015070" r:id="rId730"/>
              </w:object>
            </w:r>
            <w:r>
              <w:rPr>
                <w:rFonts w:eastAsiaTheme="minorEastAsia" w:cs="Arial"/>
              </w:rPr>
              <w:t xml:space="preserve"> </w:t>
            </w:r>
          </w:p>
        </w:tc>
        <w:tc>
          <w:tcPr>
            <w:tcW w:w="1219" w:type="dxa"/>
          </w:tcPr>
          <w:p w14:paraId="02EF8588" w14:textId="68A4F626" w:rsidR="000F7773" w:rsidRDefault="00EB159A" w:rsidP="00DB0816">
            <w:pPr>
              <w:rPr>
                <w:rFonts w:eastAsiaTheme="minorEastAsia" w:cs="Arial"/>
              </w:rPr>
            </w:pPr>
            <w:r w:rsidRPr="00EB159A">
              <w:rPr>
                <w:rFonts w:ascii="Arial" w:eastAsiaTheme="minorEastAsia" w:cs="Arial"/>
                <w:position w:val="-6"/>
                <w:lang w:eastAsia="es-ES"/>
              </w:rPr>
              <w:object w:dxaOrig="180" w:dyaOrig="220" w14:anchorId="5DDCBF2B">
                <v:shape id="_x0000_i1390" type="#_x0000_t75" style="width:10.5pt;height:10.5pt" o:ole="">
                  <v:imagedata r:id="rId731" o:title=""/>
                </v:shape>
                <o:OLEObject Type="Embed" ProgID="Equation.DSMT4" ShapeID="_x0000_i1390" DrawAspect="Content" ObjectID="_1706015071" r:id="rId732"/>
              </w:object>
            </w:r>
            <w:r>
              <w:rPr>
                <w:rFonts w:ascii="Arial" w:eastAsiaTheme="minorEastAsia" w:cs="Arial"/>
                <w:lang w:eastAsia="es-ES"/>
              </w:rPr>
              <w:t xml:space="preserve"> </w:t>
            </w:r>
          </w:p>
        </w:tc>
        <w:tc>
          <w:tcPr>
            <w:tcW w:w="1057" w:type="dxa"/>
          </w:tcPr>
          <w:p w14:paraId="39E26728" w14:textId="77777777" w:rsidR="000F7773" w:rsidRDefault="000F7773" w:rsidP="00DB0816">
            <w:pPr>
              <w:rPr>
                <w:rFonts w:eastAsiaTheme="minorEastAsia" w:cs="Arial"/>
              </w:rPr>
            </w:pPr>
            <w:r w:rsidRPr="007E493E">
              <w:rPr>
                <w:rFonts w:ascii="Arial" w:eastAsiaTheme="minorEastAsia" w:cs="Arial"/>
                <w:position w:val="-12"/>
                <w:lang w:eastAsia="es-ES"/>
              </w:rPr>
              <w:object w:dxaOrig="639" w:dyaOrig="360" w14:anchorId="47C362C2">
                <v:shape id="_x0000_i1391" type="#_x0000_t75" style="width:30.75pt;height:20.25pt" o:ole="">
                  <v:imagedata r:id="rId733" o:title=""/>
                </v:shape>
                <o:OLEObject Type="Embed" ProgID="Equation.DSMT4" ShapeID="_x0000_i1391" DrawAspect="Content" ObjectID="_1706015072" r:id="rId734"/>
              </w:object>
            </w:r>
            <w:r>
              <w:rPr>
                <w:rFonts w:eastAsiaTheme="minorEastAsia" w:cs="Arial"/>
              </w:rPr>
              <w:t xml:space="preserve"> </w:t>
            </w:r>
          </w:p>
        </w:tc>
      </w:tr>
      <w:tr w:rsidR="000F7773" w14:paraId="6B63A439" w14:textId="77777777" w:rsidTr="00700471">
        <w:trPr>
          <w:trHeight w:val="497"/>
          <w:jc w:val="center"/>
        </w:trPr>
        <w:tc>
          <w:tcPr>
            <w:tcW w:w="1072" w:type="dxa"/>
          </w:tcPr>
          <w:p w14:paraId="2E198477" w14:textId="77777777" w:rsidR="000F7773" w:rsidRDefault="000F7773" w:rsidP="00DB0816">
            <w:pPr>
              <w:rPr>
                <w:rFonts w:eastAsiaTheme="minorEastAsia" w:cs="Arial"/>
              </w:rPr>
            </w:pPr>
            <w:r w:rsidRPr="002843F0">
              <w:rPr>
                <w:rFonts w:ascii="Arial" w:eastAsiaTheme="minorEastAsia" w:cs="Arial"/>
                <w:position w:val="-10"/>
                <w:lang w:eastAsia="es-ES"/>
              </w:rPr>
              <w:object w:dxaOrig="859" w:dyaOrig="320" w14:anchorId="2DB08BB6">
                <v:shape id="_x0000_i1392" type="#_x0000_t75" style="width:41.25pt;height:15.75pt" o:ole="">
                  <v:imagedata r:id="rId735" o:title=""/>
                </v:shape>
                <o:OLEObject Type="Embed" ProgID="Equation.DSMT4" ShapeID="_x0000_i1392" DrawAspect="Content" ObjectID="_1706015073" r:id="rId736"/>
              </w:object>
            </w:r>
            <w:r>
              <w:rPr>
                <w:rFonts w:eastAsiaTheme="minorEastAsia" w:cs="Arial"/>
              </w:rPr>
              <w:t xml:space="preserve"> </w:t>
            </w:r>
          </w:p>
        </w:tc>
        <w:tc>
          <w:tcPr>
            <w:tcW w:w="5469" w:type="dxa"/>
          </w:tcPr>
          <w:p w14:paraId="23FB94C3" w14:textId="77777777" w:rsidR="000F7773" w:rsidRDefault="000F7773" w:rsidP="00DB0816">
            <w:pPr>
              <w:tabs>
                <w:tab w:val="left" w:pos="980"/>
              </w:tabs>
              <w:rPr>
                <w:rFonts w:eastAsiaTheme="minorEastAsia" w:cs="Arial"/>
              </w:rPr>
            </w:pPr>
            <w:r w:rsidRPr="00A01553">
              <w:rPr>
                <w:rFonts w:ascii="Arial" w:eastAsiaTheme="minorEastAsia" w:cs="Arial"/>
                <w:position w:val="-30"/>
                <w:lang w:eastAsia="es-ES"/>
              </w:rPr>
              <w:object w:dxaOrig="2659" w:dyaOrig="720" w14:anchorId="68EC99C9">
                <v:shape id="_x0000_i1393" type="#_x0000_t75" style="width:138.75pt;height:36pt" o:ole="">
                  <v:imagedata r:id="rId737" o:title=""/>
                </v:shape>
                <o:OLEObject Type="Embed" ProgID="Equation.DSMT4" ShapeID="_x0000_i1393" DrawAspect="Content" ObjectID="_1706015074" r:id="rId738"/>
              </w:object>
            </w:r>
            <w:r>
              <w:rPr>
                <w:rFonts w:eastAsiaTheme="minorEastAsia" w:cs="Arial"/>
              </w:rPr>
              <w:t xml:space="preserve"> </w:t>
            </w:r>
            <w:r>
              <w:rPr>
                <w:rFonts w:eastAsiaTheme="minorEastAsia" w:cs="Arial"/>
              </w:rPr>
              <w:tab/>
            </w:r>
          </w:p>
        </w:tc>
        <w:tc>
          <w:tcPr>
            <w:tcW w:w="1219" w:type="dxa"/>
          </w:tcPr>
          <w:p w14:paraId="0586B3EB" w14:textId="77777777" w:rsidR="000F7773" w:rsidRDefault="000F7773" w:rsidP="00DB0816">
            <w:pPr>
              <w:rPr>
                <w:rFonts w:eastAsiaTheme="minorEastAsia" w:cs="Arial"/>
              </w:rPr>
            </w:pPr>
            <w:r>
              <w:rPr>
                <w:rFonts w:eastAsiaTheme="minorEastAsia" w:cs="Arial"/>
              </w:rPr>
              <w:t>1</w:t>
            </w:r>
          </w:p>
        </w:tc>
        <w:tc>
          <w:tcPr>
            <w:tcW w:w="1057" w:type="dxa"/>
          </w:tcPr>
          <w:p w14:paraId="1BB0DEE4" w14:textId="77777777" w:rsidR="000F7773" w:rsidRDefault="000F7773" w:rsidP="00DB0816">
            <w:pPr>
              <w:rPr>
                <w:rFonts w:eastAsiaTheme="minorEastAsia" w:cs="Arial"/>
              </w:rPr>
            </w:pPr>
            <w:r w:rsidRPr="00834384">
              <w:rPr>
                <w:rFonts w:ascii="Arial" w:eastAsiaTheme="minorEastAsia" w:cs="Arial"/>
                <w:position w:val="-10"/>
                <w:lang w:eastAsia="es-ES"/>
              </w:rPr>
              <w:object w:dxaOrig="720" w:dyaOrig="320" w14:anchorId="57D49799">
                <v:shape id="_x0000_i1394" type="#_x0000_t75" style="width:36pt;height:15.75pt" o:ole="">
                  <v:imagedata r:id="rId739" o:title=""/>
                </v:shape>
                <o:OLEObject Type="Embed" ProgID="Equation.DSMT4" ShapeID="_x0000_i1394" DrawAspect="Content" ObjectID="_1706015075" r:id="rId740"/>
              </w:object>
            </w:r>
            <w:r>
              <w:rPr>
                <w:rFonts w:eastAsiaTheme="minorEastAsia" w:cs="Arial"/>
              </w:rPr>
              <w:t xml:space="preserve"> </w:t>
            </w:r>
          </w:p>
        </w:tc>
      </w:tr>
      <w:tr w:rsidR="000F7773" w14:paraId="12D60F5D" w14:textId="77777777" w:rsidTr="00700471">
        <w:trPr>
          <w:trHeight w:val="497"/>
          <w:jc w:val="center"/>
        </w:trPr>
        <w:tc>
          <w:tcPr>
            <w:tcW w:w="1072" w:type="dxa"/>
            <w:tcBorders>
              <w:bottom w:val="single" w:sz="4" w:space="0" w:color="auto"/>
            </w:tcBorders>
          </w:tcPr>
          <w:p w14:paraId="689FFEEA" w14:textId="77777777" w:rsidR="000F7773" w:rsidRDefault="000F7773" w:rsidP="00DB0816">
            <w:pPr>
              <w:rPr>
                <w:rFonts w:eastAsiaTheme="minorEastAsia" w:cs="Arial"/>
              </w:rPr>
            </w:pPr>
            <w:r w:rsidRPr="002843F0">
              <w:rPr>
                <w:rFonts w:ascii="Arial" w:eastAsiaTheme="minorEastAsia" w:cs="Arial"/>
                <w:position w:val="-10"/>
                <w:lang w:eastAsia="es-ES"/>
              </w:rPr>
              <w:object w:dxaOrig="720" w:dyaOrig="320" w14:anchorId="11C8B1C9">
                <v:shape id="_x0000_i1395" type="#_x0000_t75" style="width:36pt;height:15.75pt" o:ole="">
                  <v:imagedata r:id="rId741" o:title=""/>
                </v:shape>
                <o:OLEObject Type="Embed" ProgID="Equation.DSMT4" ShapeID="_x0000_i1395" DrawAspect="Content" ObjectID="_1706015076" r:id="rId742"/>
              </w:object>
            </w:r>
            <w:r>
              <w:rPr>
                <w:rFonts w:eastAsiaTheme="minorEastAsia" w:cs="Arial"/>
              </w:rPr>
              <w:t xml:space="preserve"> </w:t>
            </w:r>
          </w:p>
        </w:tc>
        <w:tc>
          <w:tcPr>
            <w:tcW w:w="5469" w:type="dxa"/>
            <w:tcBorders>
              <w:bottom w:val="single" w:sz="4" w:space="0" w:color="auto"/>
            </w:tcBorders>
          </w:tcPr>
          <w:p w14:paraId="5D033989" w14:textId="4BCECC4A" w:rsidR="000F7773" w:rsidRDefault="00B63A5B" w:rsidP="00DB0816">
            <w:pPr>
              <w:rPr>
                <w:rFonts w:eastAsiaTheme="minorEastAsia" w:cs="Arial"/>
              </w:rPr>
            </w:pPr>
            <w:r w:rsidRPr="004C2ACE">
              <w:rPr>
                <w:rFonts w:ascii="Arial" w:eastAsiaTheme="minorEastAsia" w:cs="Arial"/>
                <w:position w:val="-66"/>
                <w:lang w:eastAsia="es-ES"/>
              </w:rPr>
              <w:object w:dxaOrig="6039" w:dyaOrig="1440" w14:anchorId="5B592065">
                <v:shape id="_x0000_i1396" type="#_x0000_t75" style="width:257.25pt;height:1in" o:ole="">
                  <v:imagedata r:id="rId743" o:title=""/>
                </v:shape>
                <o:OLEObject Type="Embed" ProgID="Equation.DSMT4" ShapeID="_x0000_i1396" DrawAspect="Content" ObjectID="_1706015077" r:id="rId744"/>
              </w:object>
            </w:r>
            <w:r w:rsidR="000F7773">
              <w:rPr>
                <w:rFonts w:eastAsiaTheme="minorEastAsia" w:cs="Arial"/>
              </w:rPr>
              <w:t xml:space="preserve"> </w:t>
            </w:r>
          </w:p>
        </w:tc>
        <w:tc>
          <w:tcPr>
            <w:tcW w:w="1219" w:type="dxa"/>
            <w:tcBorders>
              <w:bottom w:val="single" w:sz="4" w:space="0" w:color="auto"/>
            </w:tcBorders>
          </w:tcPr>
          <w:p w14:paraId="5FC33780" w14:textId="77777777" w:rsidR="000F7773" w:rsidRDefault="000F7773" w:rsidP="00DB0816">
            <w:pPr>
              <w:rPr>
                <w:rFonts w:eastAsiaTheme="minorEastAsia" w:cs="Arial"/>
              </w:rPr>
            </w:pPr>
            <w:r>
              <w:rPr>
                <w:rFonts w:eastAsiaTheme="minorEastAsia" w:cs="Arial"/>
              </w:rPr>
              <w:t>1</w:t>
            </w:r>
          </w:p>
        </w:tc>
        <w:tc>
          <w:tcPr>
            <w:tcW w:w="1057" w:type="dxa"/>
            <w:tcBorders>
              <w:bottom w:val="single" w:sz="4" w:space="0" w:color="auto"/>
            </w:tcBorders>
          </w:tcPr>
          <w:p w14:paraId="5F351791" w14:textId="77777777" w:rsidR="000F7773" w:rsidRDefault="000F7773" w:rsidP="00DB0816">
            <w:pPr>
              <w:rPr>
                <w:rFonts w:eastAsiaTheme="minorEastAsia" w:cs="Arial"/>
              </w:rPr>
            </w:pPr>
            <w:r w:rsidRPr="00834384">
              <w:rPr>
                <w:rFonts w:ascii="Arial" w:eastAsiaTheme="minorEastAsia" w:cs="Arial"/>
                <w:position w:val="-6"/>
                <w:lang w:eastAsia="es-ES"/>
              </w:rPr>
              <w:object w:dxaOrig="420" w:dyaOrig="279" w14:anchorId="053C9B43">
                <v:shape id="_x0000_i1397" type="#_x0000_t75" style="width:20.25pt;height:15.75pt" o:ole="">
                  <v:imagedata r:id="rId745" o:title=""/>
                </v:shape>
                <o:OLEObject Type="Embed" ProgID="Equation.DSMT4" ShapeID="_x0000_i1397" DrawAspect="Content" ObjectID="_1706015078" r:id="rId746"/>
              </w:object>
            </w:r>
            <w:r>
              <w:rPr>
                <w:rFonts w:eastAsiaTheme="minorEastAsia" w:cs="Arial"/>
              </w:rPr>
              <w:t xml:space="preserve"> </w:t>
            </w:r>
          </w:p>
        </w:tc>
      </w:tr>
    </w:tbl>
    <w:p w14:paraId="6C03DB0B" w14:textId="29A8D50F" w:rsidR="000F7773" w:rsidRPr="00700471" w:rsidRDefault="000F7773" w:rsidP="000F7773">
      <w:pPr>
        <w:rPr>
          <w:rFonts w:cs="Arial"/>
          <w:sz w:val="18"/>
        </w:rPr>
      </w:pPr>
      <w:r w:rsidRPr="00220F06">
        <w:rPr>
          <w:rFonts w:cs="Arial"/>
          <w:sz w:val="18"/>
        </w:rPr>
        <w:t xml:space="preserve">Fuente: </w:t>
      </w:r>
      <w:r w:rsidRPr="00220F06">
        <w:rPr>
          <w:rFonts w:cs="Arial"/>
          <w:sz w:val="18"/>
        </w:rPr>
        <w:fldChar w:fldCharType="begin" w:fldLock="1"/>
      </w:r>
      <w:r w:rsidR="00475856">
        <w:rPr>
          <w:rFonts w:cs="Arial"/>
          <w:sz w:val="18"/>
        </w:rPr>
        <w:instrText>ADDIN CSL_CITATION {"citationItems":[{"id":"ITEM-1","itemData":{"author":[{"dropping-particle":"","family":"McDonald","given":"Scott","non-dropping-particle":"","parse-names":false,"suffix":""},{"dropping-particle":"","family":"Thierfelder","given":"Karen","non-dropping-particle":"","parse-names":false,"suffix":""}],"id":"ITEM-1","issue":"January","issued":{"date-parts":[["2017"]]},"number-of-pages":"1-89","title":"A Static Applied General Equilibrium Model: Technical Documentation - STAGE_int Version","type":"report"},"uris":["http://www.mendeley.com/documents/?uuid=83316eb5-e8df-4029-aa83-a2c1fd511a0d"]}],"mendeley":{"formattedCitation":"(McDonald &amp; Thierfelder, 2017)","manualFormatting":"McDonald &amp; Thierfelder (2017)","plainTextFormattedCitation":"(McDonald &amp; Thierfelder, 2017)","previouslyFormattedCitation":"(McDonald &amp; Thierfelder, 2017)"},"properties":{"noteIndex":0},"schema":"https://github.com/citation-style-language/schema/raw/master/csl-citation.json"}</w:instrText>
      </w:r>
      <w:r w:rsidRPr="00220F06">
        <w:rPr>
          <w:rFonts w:cs="Arial"/>
          <w:sz w:val="18"/>
        </w:rPr>
        <w:fldChar w:fldCharType="separate"/>
      </w:r>
      <w:r w:rsidRPr="00220F06">
        <w:rPr>
          <w:rFonts w:cs="Arial"/>
          <w:noProof/>
          <w:sz w:val="18"/>
        </w:rPr>
        <w:t>McDonald &amp; Thierfelder (2017)</w:t>
      </w:r>
      <w:r w:rsidRPr="00220F06">
        <w:rPr>
          <w:rFonts w:cs="Arial"/>
          <w:sz w:val="18"/>
        </w:rPr>
        <w:fldChar w:fldCharType="end"/>
      </w:r>
      <w:r w:rsidRPr="00220F06">
        <w:rPr>
          <w:rFonts w:cs="Arial"/>
          <w:sz w:val="18"/>
        </w:rPr>
        <w:t>.</w:t>
      </w:r>
    </w:p>
    <w:p w14:paraId="27E0815D" w14:textId="45790603" w:rsidR="000F7773" w:rsidRPr="00F50A50" w:rsidRDefault="000F7773" w:rsidP="00FB4C93">
      <w:pPr>
        <w:spacing w:line="240" w:lineRule="auto"/>
        <w:rPr>
          <w:rFonts w:eastAsiaTheme="minorEastAsia" w:cs="Arial"/>
        </w:rPr>
      </w:pPr>
      <w:r w:rsidRPr="00CA6693">
        <w:rPr>
          <w:rFonts w:eastAsiaTheme="minorEastAsia" w:cs="Arial"/>
        </w:rPr>
        <w:t xml:space="preserve">El ahorro se define </w:t>
      </w:r>
      <w:r>
        <w:rPr>
          <w:rFonts w:eastAsiaTheme="minorEastAsia" w:cs="Arial"/>
        </w:rPr>
        <w:t>mediante el residuo de</w:t>
      </w:r>
      <w:r w:rsidRPr="00CA6693">
        <w:rPr>
          <w:rFonts w:eastAsiaTheme="minorEastAsia" w:cs="Arial"/>
        </w:rPr>
        <w:t xml:space="preserve"> los hogares</w:t>
      </w:r>
      <w:r w:rsidR="00774D9C">
        <w:rPr>
          <w:rFonts w:eastAsiaTheme="minorEastAsia" w:cs="Arial"/>
        </w:rPr>
        <w:t xml:space="preserve"> (</w:t>
      </w:r>
      <w:r w:rsidR="004804CA">
        <w:rPr>
          <w:rFonts w:eastAsiaTheme="minorEastAsia" w:cs="Arial"/>
        </w:rPr>
        <w:t>proporción no consumida)</w:t>
      </w:r>
      <w:r w:rsidRPr="00CA6693">
        <w:rPr>
          <w:rFonts w:eastAsiaTheme="minorEastAsia" w:cs="Arial"/>
        </w:rPr>
        <w:t xml:space="preserve"> y de las empresas</w:t>
      </w:r>
      <w:r w:rsidR="00EE3D2A">
        <w:rPr>
          <w:rFonts w:eastAsiaTheme="minorEastAsia" w:cs="Arial"/>
        </w:rPr>
        <w:t xml:space="preserve"> (diferencia entre ingresos y gastos)</w:t>
      </w:r>
      <w:r w:rsidRPr="00CA6693">
        <w:rPr>
          <w:rFonts w:eastAsiaTheme="minorEastAsia" w:cs="Arial"/>
        </w:rPr>
        <w:t>, donde las tasas utilizan los parámetros y variables de manera similar a las tasas de los impuestos, los parámetros con terminación en</w:t>
      </w:r>
      <w:r w:rsidR="004D112F">
        <w:rPr>
          <w:rFonts w:eastAsiaTheme="minorEastAsia" w:cs="Arial"/>
        </w:rPr>
        <w:t xml:space="preserve"> </w:t>
      </w:r>
      <w:r w:rsidRPr="00CA6693">
        <w:rPr>
          <w:position w:val="-6"/>
        </w:rPr>
        <w:object w:dxaOrig="400" w:dyaOrig="279" w14:anchorId="011D0148">
          <v:shape id="_x0000_i1398" type="#_x0000_t75" style="width:20.25pt;height:15.75pt" o:ole="">
            <v:imagedata r:id="rId747" o:title=""/>
          </v:shape>
          <o:OLEObject Type="Embed" ProgID="Equation.DSMT4" ShapeID="_x0000_i1398" DrawAspect="Content" ObjectID="_1706015079" r:id="rId748"/>
        </w:object>
      </w:r>
      <w:r w:rsidR="008C0664">
        <w:t xml:space="preserve"> son la tasa base</w:t>
      </w:r>
      <w:r w:rsidRPr="00CA6693">
        <w:t xml:space="preserve">. Además, es necesario agregar: la depreciación de los factores, el ahorro del gobierno y </w:t>
      </w:r>
      <w:r w:rsidRPr="00CA6693">
        <w:rPr>
          <w:rFonts w:eastAsiaTheme="minorEastAsia" w:cs="Arial"/>
        </w:rPr>
        <w:t>el balance de la cuenta corriente (</w:t>
      </w:r>
      <w:r w:rsidRPr="00CA6693">
        <w:rPr>
          <w:position w:val="-14"/>
        </w:rPr>
        <w:object w:dxaOrig="820" w:dyaOrig="380" w14:anchorId="50C6D383">
          <v:shape id="_x0000_i1399" type="#_x0000_t75" style="width:41.25pt;height:20.25pt" o:ole="">
            <v:imagedata r:id="rId749" o:title=""/>
          </v:shape>
          <o:OLEObject Type="Embed" ProgID="Equation.DSMT4" ShapeID="_x0000_i1399" DrawAspect="Content" ObjectID="_1706015080" r:id="rId750"/>
        </w:object>
      </w:r>
      <w:r w:rsidRPr="00CA6693">
        <w:t>,</w:t>
      </w:r>
      <w:r w:rsidRPr="00CA6693">
        <w:rPr>
          <w:position w:val="-6"/>
        </w:rPr>
        <w:object w:dxaOrig="1060" w:dyaOrig="279" w14:anchorId="76AD36CF">
          <v:shape id="_x0000_i1400" type="#_x0000_t75" style="width:51.75pt;height:15.75pt" o:ole="">
            <v:imagedata r:id="rId751" o:title=""/>
          </v:shape>
          <o:OLEObject Type="Embed" ProgID="Equation.DSMT4" ShapeID="_x0000_i1400" DrawAspect="Content" ObjectID="_1706015081" r:id="rId752"/>
        </w:object>
      </w:r>
      <w:r w:rsidRPr="00CA6693">
        <w:t>,</w:t>
      </w:r>
      <w:r w:rsidRPr="00CA6693">
        <w:rPr>
          <w:position w:val="-6"/>
        </w:rPr>
        <w:object w:dxaOrig="1040" w:dyaOrig="279" w14:anchorId="6E1C8FEB">
          <v:shape id="_x0000_i1401" type="#_x0000_t75" style="width:51.75pt;height:15.75pt" o:ole="">
            <v:imagedata r:id="rId753" o:title=""/>
          </v:shape>
          <o:OLEObject Type="Embed" ProgID="Equation.DSMT4" ShapeID="_x0000_i1401" DrawAspect="Content" ObjectID="_1706015082" r:id="rId754"/>
        </w:object>
      </w:r>
      <w:r w:rsidRPr="00CA6693">
        <w:rPr>
          <w:rFonts w:eastAsiaTheme="minorEastAsia" w:cs="Arial"/>
        </w:rPr>
        <w:t xml:space="preserve">). La inversión en bienes se puede modificar de manera multiplicativa con la variable </w:t>
      </w:r>
      <w:r w:rsidRPr="00CA6693">
        <w:rPr>
          <w:position w:val="-6"/>
        </w:rPr>
        <w:object w:dxaOrig="820" w:dyaOrig="279" w14:anchorId="58CA19CA">
          <v:shape id="_x0000_i1402" type="#_x0000_t75" style="width:41.25pt;height:15.75pt" o:ole="">
            <v:imagedata r:id="rId755" o:title=""/>
          </v:shape>
          <o:OLEObject Type="Embed" ProgID="Equation.DSMT4" ShapeID="_x0000_i1402" DrawAspect="Content" ObjectID="_1706015083" r:id="rId756"/>
        </w:object>
      </w:r>
      <w:r>
        <w:t xml:space="preserve"> en la ecuación </w:t>
      </w:r>
      <w:r w:rsidRPr="00B51CD9">
        <w:rPr>
          <w:position w:val="-12"/>
        </w:rPr>
        <w:object w:dxaOrig="1180" w:dyaOrig="360" w14:anchorId="5C4C381E">
          <v:shape id="_x0000_i1403" type="#_x0000_t75" style="width:56.25pt;height:20.25pt" o:ole="">
            <v:imagedata r:id="rId757" o:title=""/>
          </v:shape>
          <o:OLEObject Type="Embed" ProgID="Equation.DSMT4" ShapeID="_x0000_i1403" DrawAspect="Content" ObjectID="_1706015084" r:id="rId758"/>
        </w:object>
      </w:r>
      <w:r>
        <w:t xml:space="preserve"> de la</w:t>
      </w:r>
      <w:r w:rsidR="00A77D30">
        <w:t xml:space="preserve"> </w:t>
      </w:r>
      <w:r w:rsidR="00A77D30">
        <w:fldChar w:fldCharType="begin"/>
      </w:r>
      <w:r w:rsidR="00A77D30">
        <w:instrText xml:space="preserve"> REF _Ref524944727 \h </w:instrText>
      </w:r>
      <w:r w:rsidR="00A77D30">
        <w:rPr>
          <w:rFonts w:eastAsiaTheme="minorEastAsia" w:cs="Arial"/>
        </w:rPr>
        <w:instrText xml:space="preserve"> </w:instrText>
      </w:r>
      <w:r w:rsidR="00A77D30">
        <w:instrText xml:space="preserve">\* lower </w:instrText>
      </w:r>
      <w:r w:rsidR="00A77D30">
        <w:fldChar w:fldCharType="separate"/>
      </w:r>
      <w:r w:rsidR="00A95E32">
        <w:t xml:space="preserve">tabla </w:t>
      </w:r>
      <w:r w:rsidR="00A95E32">
        <w:rPr>
          <w:noProof/>
        </w:rPr>
        <w:t>15</w:t>
      </w:r>
      <w:r w:rsidR="00A77D30">
        <w:fldChar w:fldCharType="end"/>
      </w:r>
      <w:r>
        <w:t>, modificando de esta manera la inversión total</w:t>
      </w:r>
      <w:r w:rsidRPr="00CA6693">
        <w:t>.</w:t>
      </w:r>
      <w:r w:rsidRPr="00CA6693">
        <w:rPr>
          <w:rFonts w:eastAsiaTheme="minorEastAsia" w:cs="Arial"/>
        </w:rPr>
        <w:t xml:space="preserve"> </w:t>
      </w:r>
    </w:p>
    <w:p w14:paraId="6ACF9563" w14:textId="01755D4A" w:rsidR="000F7773" w:rsidRPr="00547661" w:rsidRDefault="000F7773" w:rsidP="000F7773">
      <w:pPr>
        <w:pStyle w:val="Caption"/>
      </w:pPr>
      <w:bookmarkStart w:id="124" w:name="_Ref524944727"/>
      <w:bookmarkStart w:id="125" w:name="_Toc524946953"/>
      <w:bookmarkStart w:id="126" w:name="_Toc525033957"/>
      <w:bookmarkStart w:id="127" w:name="_Toc526175258"/>
      <w:bookmarkStart w:id="128" w:name="_Toc2853705"/>
      <w:r>
        <w:t xml:space="preserve">Tabla </w:t>
      </w:r>
      <w:r w:rsidR="00F700CF">
        <w:rPr>
          <w:noProof/>
        </w:rPr>
        <w:fldChar w:fldCharType="begin"/>
      </w:r>
      <w:r w:rsidR="00F700CF">
        <w:rPr>
          <w:noProof/>
        </w:rPr>
        <w:instrText xml:space="preserve"> SEQ Tabla \* ARABIC </w:instrText>
      </w:r>
      <w:r w:rsidR="00F700CF">
        <w:rPr>
          <w:noProof/>
        </w:rPr>
        <w:fldChar w:fldCharType="separate"/>
      </w:r>
      <w:r w:rsidR="00A95E32">
        <w:rPr>
          <w:noProof/>
        </w:rPr>
        <w:t>15</w:t>
      </w:r>
      <w:r w:rsidR="00F700CF">
        <w:rPr>
          <w:noProof/>
        </w:rPr>
        <w:fldChar w:fldCharType="end"/>
      </w:r>
      <w:bookmarkEnd w:id="124"/>
      <w:r>
        <w:t xml:space="preserve"> </w:t>
      </w:r>
      <w:r>
        <w:br/>
      </w:r>
      <w:r w:rsidRPr="00B06224">
        <w:t>Bloque de inversión</w:t>
      </w:r>
      <w:bookmarkEnd w:id="125"/>
      <w:bookmarkEnd w:id="126"/>
      <w:bookmarkEnd w:id="127"/>
      <w:bookmarkEnd w:id="128"/>
    </w:p>
    <w:tbl>
      <w:tblPr>
        <w:tblStyle w:val="TableGrid"/>
        <w:tblW w:w="9026"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338"/>
        <w:gridCol w:w="5052"/>
        <w:gridCol w:w="1440"/>
        <w:gridCol w:w="1196"/>
      </w:tblGrid>
      <w:tr w:rsidR="000F7773" w:rsidRPr="00504B4C" w14:paraId="12D69AA7" w14:textId="77777777" w:rsidTr="00504B4C">
        <w:trPr>
          <w:trHeight w:val="359"/>
          <w:jc w:val="center"/>
        </w:trPr>
        <w:tc>
          <w:tcPr>
            <w:tcW w:w="1338" w:type="dxa"/>
            <w:tcBorders>
              <w:top w:val="single" w:sz="4" w:space="0" w:color="auto"/>
              <w:bottom w:val="single" w:sz="4" w:space="0" w:color="auto"/>
            </w:tcBorders>
          </w:tcPr>
          <w:p w14:paraId="38A2F78B" w14:textId="77777777" w:rsidR="000F7773" w:rsidRPr="00504B4C" w:rsidRDefault="000F7773" w:rsidP="00DB0816">
            <w:pPr>
              <w:rPr>
                <w:rFonts w:ascii="Arial" w:eastAsiaTheme="minorEastAsia" w:cs="Arial"/>
                <w:sz w:val="22"/>
              </w:rPr>
            </w:pPr>
            <w:r w:rsidRPr="00504B4C">
              <w:rPr>
                <w:rFonts w:ascii="Arial" w:eastAsiaTheme="minorEastAsia" w:cs="Arial"/>
                <w:sz w:val="22"/>
              </w:rPr>
              <w:t>Nombre</w:t>
            </w:r>
          </w:p>
        </w:tc>
        <w:tc>
          <w:tcPr>
            <w:tcW w:w="5052" w:type="dxa"/>
            <w:tcBorders>
              <w:top w:val="single" w:sz="4" w:space="0" w:color="auto"/>
              <w:bottom w:val="single" w:sz="4" w:space="0" w:color="auto"/>
            </w:tcBorders>
          </w:tcPr>
          <w:p w14:paraId="5EFF5DA5" w14:textId="77777777" w:rsidR="000F7773" w:rsidRPr="00504B4C" w:rsidRDefault="000F7773" w:rsidP="00DB0816">
            <w:pPr>
              <w:rPr>
                <w:rFonts w:ascii="Arial" w:eastAsiaTheme="minorEastAsia" w:cs="Arial"/>
                <w:sz w:val="22"/>
              </w:rPr>
            </w:pPr>
            <w:r w:rsidRPr="00504B4C">
              <w:rPr>
                <w:rFonts w:ascii="Arial" w:eastAsiaTheme="minorEastAsia" w:cs="Arial"/>
                <w:sz w:val="22"/>
              </w:rPr>
              <w:t xml:space="preserve">Ecuación </w:t>
            </w:r>
          </w:p>
        </w:tc>
        <w:tc>
          <w:tcPr>
            <w:tcW w:w="1440" w:type="dxa"/>
            <w:tcBorders>
              <w:top w:val="single" w:sz="4" w:space="0" w:color="auto"/>
              <w:bottom w:val="single" w:sz="4" w:space="0" w:color="auto"/>
            </w:tcBorders>
          </w:tcPr>
          <w:p w14:paraId="05B86E18" w14:textId="77777777" w:rsidR="000F7773" w:rsidRPr="00504B4C" w:rsidRDefault="000F7773" w:rsidP="00DB0816">
            <w:pPr>
              <w:rPr>
                <w:rFonts w:ascii="Arial" w:eastAsiaTheme="minorEastAsia" w:cs="Arial"/>
                <w:sz w:val="22"/>
              </w:rPr>
            </w:pPr>
            <w:r w:rsidRPr="00504B4C">
              <w:rPr>
                <w:rFonts w:ascii="Arial" w:eastAsiaTheme="minorEastAsia" w:cs="Arial"/>
                <w:sz w:val="22"/>
              </w:rPr>
              <w:t>Ecuaciones</w:t>
            </w:r>
          </w:p>
        </w:tc>
        <w:tc>
          <w:tcPr>
            <w:tcW w:w="1196" w:type="dxa"/>
            <w:tcBorders>
              <w:top w:val="single" w:sz="4" w:space="0" w:color="auto"/>
              <w:bottom w:val="single" w:sz="4" w:space="0" w:color="auto"/>
            </w:tcBorders>
          </w:tcPr>
          <w:p w14:paraId="0F643875" w14:textId="77777777" w:rsidR="000F7773" w:rsidRPr="00504B4C" w:rsidRDefault="000F7773" w:rsidP="00DB0816">
            <w:pPr>
              <w:rPr>
                <w:rFonts w:ascii="Arial" w:eastAsiaTheme="minorEastAsia" w:cs="Arial"/>
                <w:sz w:val="22"/>
              </w:rPr>
            </w:pPr>
            <w:r w:rsidRPr="00504B4C">
              <w:rPr>
                <w:rFonts w:ascii="Arial" w:eastAsiaTheme="minorEastAsia" w:cs="Arial"/>
                <w:sz w:val="22"/>
              </w:rPr>
              <w:t>Variables</w:t>
            </w:r>
          </w:p>
        </w:tc>
      </w:tr>
      <w:tr w:rsidR="000F7773" w14:paraId="5DD68B0C" w14:textId="77777777" w:rsidTr="00504B4C">
        <w:trPr>
          <w:trHeight w:val="454"/>
          <w:jc w:val="center"/>
        </w:trPr>
        <w:tc>
          <w:tcPr>
            <w:tcW w:w="1338" w:type="dxa"/>
            <w:tcBorders>
              <w:top w:val="single" w:sz="4" w:space="0" w:color="auto"/>
            </w:tcBorders>
          </w:tcPr>
          <w:p w14:paraId="4DF7AA58" w14:textId="77777777" w:rsidR="000F7773" w:rsidRDefault="000F7773" w:rsidP="00DB0816">
            <w:pPr>
              <w:rPr>
                <w:rFonts w:eastAsiaTheme="minorEastAsia" w:cs="Arial"/>
              </w:rPr>
            </w:pPr>
            <w:r w:rsidRPr="00950C8C">
              <w:rPr>
                <w:rFonts w:ascii="Arial" w:eastAsiaTheme="minorEastAsia" w:cs="Arial"/>
                <w:position w:val="-12"/>
                <w:lang w:eastAsia="es-ES"/>
              </w:rPr>
              <w:object w:dxaOrig="1060" w:dyaOrig="360" w14:anchorId="7311B9A7">
                <v:shape id="_x0000_i1404" type="#_x0000_t75" style="width:51.75pt;height:20.25pt" o:ole="">
                  <v:imagedata r:id="rId759" o:title=""/>
                </v:shape>
                <o:OLEObject Type="Embed" ProgID="Equation.DSMT4" ShapeID="_x0000_i1404" DrawAspect="Content" ObjectID="_1706015085" r:id="rId760"/>
              </w:object>
            </w:r>
            <w:r>
              <w:rPr>
                <w:rFonts w:eastAsiaTheme="minorEastAsia" w:cs="Arial"/>
              </w:rPr>
              <w:t xml:space="preserve"> </w:t>
            </w:r>
          </w:p>
        </w:tc>
        <w:tc>
          <w:tcPr>
            <w:tcW w:w="5052" w:type="dxa"/>
            <w:tcBorders>
              <w:top w:val="single" w:sz="4" w:space="0" w:color="auto"/>
            </w:tcBorders>
          </w:tcPr>
          <w:p w14:paraId="314EDC38" w14:textId="77777777" w:rsidR="000F7773" w:rsidRPr="007704AF" w:rsidRDefault="000F7773" w:rsidP="00DB0816">
            <w:pPr>
              <w:rPr>
                <w:rFonts w:eastAsiaTheme="minorEastAsia" w:cs="Arial"/>
                <w:lang w:val="en-US"/>
              </w:rPr>
            </w:pPr>
            <w:r w:rsidRPr="0025531A">
              <w:rPr>
                <w:rFonts w:ascii="Arial" w:eastAsiaTheme="minorEastAsia" w:cs="Arial"/>
                <w:position w:val="-32"/>
                <w:lang w:eastAsia="es-ES"/>
              </w:rPr>
              <w:object w:dxaOrig="4440" w:dyaOrig="760" w14:anchorId="0A0C24F2">
                <v:shape id="_x0000_i1405" type="#_x0000_t75" style="width:221.25pt;height:36pt" o:ole="">
                  <v:imagedata r:id="rId761" o:title=""/>
                </v:shape>
                <o:OLEObject Type="Embed" ProgID="Equation.DSMT4" ShapeID="_x0000_i1405" DrawAspect="Content" ObjectID="_1706015086" r:id="rId762"/>
              </w:object>
            </w:r>
            <w:r>
              <w:rPr>
                <w:rFonts w:eastAsiaTheme="minorEastAsia" w:cs="Arial"/>
              </w:rPr>
              <w:t xml:space="preserve"> </w:t>
            </w:r>
          </w:p>
        </w:tc>
        <w:tc>
          <w:tcPr>
            <w:tcW w:w="1440" w:type="dxa"/>
            <w:tcBorders>
              <w:top w:val="single" w:sz="4" w:space="0" w:color="auto"/>
            </w:tcBorders>
          </w:tcPr>
          <w:p w14:paraId="3963198D" w14:textId="14BBA064" w:rsidR="000F7773" w:rsidRDefault="00FC7387" w:rsidP="00DB0816">
            <w:pPr>
              <w:rPr>
                <w:rFonts w:eastAsiaTheme="minorEastAsia" w:cs="Arial"/>
              </w:rPr>
            </w:pPr>
            <w:r w:rsidRPr="009020D8">
              <w:rPr>
                <w:rFonts w:ascii="Arial" w:eastAsiaTheme="minorEastAsia" w:cs="Arial"/>
                <w:position w:val="-6"/>
                <w:lang w:eastAsia="es-ES"/>
              </w:rPr>
              <w:object w:dxaOrig="200" w:dyaOrig="279" w14:anchorId="52F70E19">
                <v:shape id="_x0000_i1406" type="#_x0000_t75" style="width:10.5pt;height:15.75pt" o:ole="">
                  <v:imagedata r:id="rId763" o:title=""/>
                </v:shape>
                <o:OLEObject Type="Embed" ProgID="Equation.DSMT4" ShapeID="_x0000_i1406" DrawAspect="Content" ObjectID="_1706015087" r:id="rId764"/>
              </w:object>
            </w:r>
            <w:r w:rsidR="009020D8">
              <w:rPr>
                <w:rFonts w:ascii="Arial" w:eastAsiaTheme="minorEastAsia" w:cs="Arial"/>
                <w:lang w:eastAsia="es-ES"/>
              </w:rPr>
              <w:t xml:space="preserve"> </w:t>
            </w:r>
          </w:p>
        </w:tc>
        <w:tc>
          <w:tcPr>
            <w:tcW w:w="1196" w:type="dxa"/>
            <w:tcBorders>
              <w:top w:val="single" w:sz="4" w:space="0" w:color="auto"/>
            </w:tcBorders>
          </w:tcPr>
          <w:p w14:paraId="29D7FB75" w14:textId="77777777" w:rsidR="000F7773" w:rsidRDefault="000F7773" w:rsidP="00DB0816">
            <w:pPr>
              <w:rPr>
                <w:rFonts w:eastAsiaTheme="minorEastAsia" w:cs="Arial"/>
              </w:rPr>
            </w:pPr>
            <w:r w:rsidRPr="008D7DAA">
              <w:rPr>
                <w:rFonts w:ascii="Arial" w:eastAsiaTheme="minorEastAsia" w:cs="Arial"/>
                <w:position w:val="-6"/>
                <w:lang w:eastAsia="es-ES"/>
              </w:rPr>
              <w:object w:dxaOrig="580" w:dyaOrig="279" w14:anchorId="77DC7F4A">
                <v:shape id="_x0000_i1407" type="#_x0000_t75" style="width:30.75pt;height:15.75pt" o:ole="">
                  <v:imagedata r:id="rId765" o:title=""/>
                </v:shape>
                <o:OLEObject Type="Embed" ProgID="Equation.DSMT4" ShapeID="_x0000_i1407" DrawAspect="Content" ObjectID="_1706015088" r:id="rId766"/>
              </w:object>
            </w:r>
            <w:r>
              <w:rPr>
                <w:rFonts w:eastAsiaTheme="minorEastAsia" w:cs="Arial"/>
              </w:rPr>
              <w:t xml:space="preserve"> </w:t>
            </w:r>
          </w:p>
        </w:tc>
      </w:tr>
      <w:tr w:rsidR="000F7773" w14:paraId="2FFF2F55" w14:textId="77777777" w:rsidTr="00504B4C">
        <w:trPr>
          <w:trHeight w:val="567"/>
          <w:jc w:val="center"/>
        </w:trPr>
        <w:tc>
          <w:tcPr>
            <w:tcW w:w="1338" w:type="dxa"/>
          </w:tcPr>
          <w:p w14:paraId="0AA13982" w14:textId="77777777" w:rsidR="000F7773" w:rsidRDefault="000F7773" w:rsidP="00DB0816">
            <w:pPr>
              <w:rPr>
                <w:rFonts w:eastAsiaTheme="minorEastAsia" w:cs="Arial"/>
              </w:rPr>
            </w:pPr>
            <w:r w:rsidRPr="00C817E7">
              <w:rPr>
                <w:rFonts w:ascii="Arial" w:eastAsiaTheme="minorEastAsia" w:cs="Arial"/>
                <w:position w:val="-12"/>
                <w:lang w:eastAsia="es-ES"/>
              </w:rPr>
              <w:object w:dxaOrig="1020" w:dyaOrig="360" w14:anchorId="610C2ACC">
                <v:shape id="_x0000_i1408" type="#_x0000_t75" style="width:51.75pt;height:20.25pt" o:ole="">
                  <v:imagedata r:id="rId767" o:title=""/>
                </v:shape>
                <o:OLEObject Type="Embed" ProgID="Equation.DSMT4" ShapeID="_x0000_i1408" DrawAspect="Content" ObjectID="_1706015089" r:id="rId768"/>
              </w:object>
            </w:r>
            <w:r>
              <w:rPr>
                <w:rFonts w:eastAsiaTheme="minorEastAsia" w:cs="Arial"/>
              </w:rPr>
              <w:t xml:space="preserve"> </w:t>
            </w:r>
          </w:p>
        </w:tc>
        <w:tc>
          <w:tcPr>
            <w:tcW w:w="5052" w:type="dxa"/>
          </w:tcPr>
          <w:p w14:paraId="6627E426" w14:textId="459EF1FF" w:rsidR="000F7773" w:rsidRDefault="009020D8" w:rsidP="00DB0816">
            <w:pPr>
              <w:rPr>
                <w:rFonts w:eastAsiaTheme="minorEastAsia" w:cs="Arial"/>
              </w:rPr>
            </w:pPr>
            <w:r w:rsidRPr="006E4864">
              <w:rPr>
                <w:rFonts w:ascii="Arial" w:eastAsiaTheme="minorEastAsia" w:cs="Arial"/>
                <w:position w:val="-14"/>
                <w:lang w:eastAsia="es-ES"/>
              </w:rPr>
              <w:object w:dxaOrig="6580" w:dyaOrig="400" w14:anchorId="2AD2CA20">
                <v:shape id="_x0000_i1409" type="#_x0000_t75" style="width:242.25pt;height:20.25pt" o:ole="">
                  <v:imagedata r:id="rId769" o:title=""/>
                </v:shape>
                <o:OLEObject Type="Embed" ProgID="Equation.DSMT4" ShapeID="_x0000_i1409" DrawAspect="Content" ObjectID="_1706015090" r:id="rId770"/>
              </w:object>
            </w:r>
            <w:r w:rsidR="000F7773">
              <w:rPr>
                <w:rFonts w:eastAsiaTheme="minorEastAsia" w:cs="Arial"/>
              </w:rPr>
              <w:t xml:space="preserve"> </w:t>
            </w:r>
          </w:p>
        </w:tc>
        <w:tc>
          <w:tcPr>
            <w:tcW w:w="1440" w:type="dxa"/>
          </w:tcPr>
          <w:p w14:paraId="2368814A" w14:textId="76FCC529" w:rsidR="000F7773" w:rsidRDefault="00EB159A" w:rsidP="00DB0816">
            <w:pPr>
              <w:rPr>
                <w:rFonts w:eastAsiaTheme="minorEastAsia" w:cs="Arial"/>
              </w:rPr>
            </w:pPr>
            <w:r w:rsidRPr="00EB159A">
              <w:rPr>
                <w:rFonts w:ascii="Arial" w:eastAsiaTheme="minorEastAsia" w:cs="Arial"/>
                <w:position w:val="-6"/>
                <w:lang w:eastAsia="es-ES"/>
              </w:rPr>
              <w:object w:dxaOrig="180" w:dyaOrig="220" w14:anchorId="42386EFB">
                <v:shape id="_x0000_i1410" type="#_x0000_t75" style="width:10.5pt;height:10.5pt" o:ole="">
                  <v:imagedata r:id="rId771" o:title=""/>
                </v:shape>
                <o:OLEObject Type="Embed" ProgID="Equation.DSMT4" ShapeID="_x0000_i1410" DrawAspect="Content" ObjectID="_1706015091" r:id="rId772"/>
              </w:object>
            </w:r>
            <w:r>
              <w:rPr>
                <w:rFonts w:ascii="Arial" w:eastAsiaTheme="minorEastAsia" w:cs="Arial"/>
                <w:lang w:eastAsia="es-ES"/>
              </w:rPr>
              <w:t xml:space="preserve"> </w:t>
            </w:r>
          </w:p>
        </w:tc>
        <w:tc>
          <w:tcPr>
            <w:tcW w:w="1196" w:type="dxa"/>
          </w:tcPr>
          <w:p w14:paraId="7B34B48B" w14:textId="77777777" w:rsidR="000F7773" w:rsidRDefault="000F7773" w:rsidP="00DB0816">
            <w:pPr>
              <w:rPr>
                <w:rFonts w:eastAsiaTheme="minorEastAsia" w:cs="Arial"/>
              </w:rPr>
            </w:pPr>
            <w:r w:rsidRPr="00C61B1B">
              <w:rPr>
                <w:rFonts w:ascii="Arial" w:eastAsiaTheme="minorEastAsia" w:cs="Arial"/>
                <w:position w:val="-6"/>
                <w:lang w:eastAsia="es-ES"/>
              </w:rPr>
              <w:object w:dxaOrig="540" w:dyaOrig="279" w14:anchorId="7E640E8D">
                <v:shape id="_x0000_i1411" type="#_x0000_t75" style="width:30.75pt;height:15.75pt" o:ole="">
                  <v:imagedata r:id="rId773" o:title=""/>
                </v:shape>
                <o:OLEObject Type="Embed" ProgID="Equation.DSMT4" ShapeID="_x0000_i1411" DrawAspect="Content" ObjectID="_1706015092" r:id="rId774"/>
              </w:object>
            </w:r>
            <w:r>
              <w:rPr>
                <w:rFonts w:eastAsiaTheme="minorEastAsia" w:cs="Arial"/>
              </w:rPr>
              <w:t xml:space="preserve"> </w:t>
            </w:r>
          </w:p>
        </w:tc>
      </w:tr>
      <w:tr w:rsidR="000F7773" w14:paraId="46D0BDEF" w14:textId="77777777" w:rsidTr="00504B4C">
        <w:trPr>
          <w:trHeight w:val="422"/>
          <w:jc w:val="center"/>
        </w:trPr>
        <w:tc>
          <w:tcPr>
            <w:tcW w:w="1338" w:type="dxa"/>
          </w:tcPr>
          <w:p w14:paraId="6BC7AD03" w14:textId="77777777" w:rsidR="000F7773" w:rsidRDefault="000F7773" w:rsidP="00DB0816">
            <w:pPr>
              <w:rPr>
                <w:rFonts w:eastAsiaTheme="minorEastAsia" w:cs="Arial"/>
              </w:rPr>
            </w:pPr>
            <w:r w:rsidRPr="00A5342E">
              <w:rPr>
                <w:rFonts w:ascii="Arial" w:eastAsiaTheme="minorEastAsia" w:cs="Arial"/>
                <w:position w:val="-10"/>
                <w:lang w:eastAsia="es-ES"/>
              </w:rPr>
              <w:object w:dxaOrig="1240" w:dyaOrig="320" w14:anchorId="5F8F45A9">
                <v:shape id="_x0000_i1412" type="#_x0000_t75" style="width:51.75pt;height:15.75pt" o:ole="">
                  <v:imagedata r:id="rId775" o:title=""/>
                </v:shape>
                <o:OLEObject Type="Embed" ProgID="Equation.DSMT4" ShapeID="_x0000_i1412" DrawAspect="Content" ObjectID="_1706015093" r:id="rId776"/>
              </w:object>
            </w:r>
            <w:r>
              <w:rPr>
                <w:rFonts w:eastAsiaTheme="minorEastAsia" w:cs="Arial"/>
              </w:rPr>
              <w:t xml:space="preserve"> </w:t>
            </w:r>
          </w:p>
        </w:tc>
        <w:tc>
          <w:tcPr>
            <w:tcW w:w="5052" w:type="dxa"/>
          </w:tcPr>
          <w:p w14:paraId="664543D3" w14:textId="2CBCBCED" w:rsidR="000F7773" w:rsidRDefault="00504B4C" w:rsidP="00DB0816">
            <w:pPr>
              <w:tabs>
                <w:tab w:val="left" w:pos="980"/>
              </w:tabs>
              <w:rPr>
                <w:rFonts w:eastAsiaTheme="minorEastAsia" w:cs="Arial"/>
              </w:rPr>
            </w:pPr>
            <w:r w:rsidRPr="00BA2119">
              <w:rPr>
                <w:rFonts w:ascii="Arial" w:eastAsiaTheme="minorEastAsia" w:cs="Arial"/>
                <w:position w:val="-88"/>
                <w:lang w:eastAsia="es-ES"/>
              </w:rPr>
              <w:object w:dxaOrig="5040" w:dyaOrig="1740" w14:anchorId="167049C6">
                <v:shape id="_x0000_i1413" type="#_x0000_t75" style="width:236.25pt;height:87.75pt" o:ole="">
                  <v:imagedata r:id="rId777" o:title=""/>
                </v:shape>
                <o:OLEObject Type="Embed" ProgID="Equation.DSMT4" ShapeID="_x0000_i1413" DrawAspect="Content" ObjectID="_1706015094" r:id="rId778"/>
              </w:object>
            </w:r>
            <w:r w:rsidR="000F7773">
              <w:rPr>
                <w:rFonts w:eastAsiaTheme="minorEastAsia" w:cs="Arial"/>
              </w:rPr>
              <w:t xml:space="preserve"> </w:t>
            </w:r>
            <w:r w:rsidR="000F7773">
              <w:rPr>
                <w:rFonts w:eastAsiaTheme="minorEastAsia" w:cs="Arial"/>
              </w:rPr>
              <w:tab/>
            </w:r>
          </w:p>
        </w:tc>
        <w:tc>
          <w:tcPr>
            <w:tcW w:w="1440" w:type="dxa"/>
          </w:tcPr>
          <w:p w14:paraId="0A47D9AF" w14:textId="40F50D6E" w:rsidR="000F7773" w:rsidRDefault="00EB159A" w:rsidP="00DB0816">
            <w:pPr>
              <w:rPr>
                <w:rFonts w:eastAsiaTheme="minorEastAsia" w:cs="Arial"/>
              </w:rPr>
            </w:pPr>
            <w:r w:rsidRPr="00EB159A">
              <w:rPr>
                <w:rFonts w:ascii="Arial" w:eastAsiaTheme="minorEastAsia" w:cs="Arial"/>
                <w:position w:val="-4"/>
                <w:lang w:eastAsia="es-ES"/>
              </w:rPr>
              <w:object w:dxaOrig="139" w:dyaOrig="260" w14:anchorId="0097362D">
                <v:shape id="_x0000_i1414" type="#_x0000_t75" style="width:5.25pt;height:15.75pt" o:ole="">
                  <v:imagedata r:id="rId779" o:title=""/>
                </v:shape>
                <o:OLEObject Type="Embed" ProgID="Equation.DSMT4" ShapeID="_x0000_i1414" DrawAspect="Content" ObjectID="_1706015095" r:id="rId780"/>
              </w:object>
            </w:r>
            <w:r>
              <w:rPr>
                <w:rFonts w:ascii="Arial" w:eastAsiaTheme="minorEastAsia" w:cs="Arial"/>
                <w:lang w:eastAsia="es-ES"/>
              </w:rPr>
              <w:t xml:space="preserve"> </w:t>
            </w:r>
          </w:p>
        </w:tc>
        <w:tc>
          <w:tcPr>
            <w:tcW w:w="1196" w:type="dxa"/>
          </w:tcPr>
          <w:p w14:paraId="0176D4DC" w14:textId="77777777" w:rsidR="000F7773" w:rsidRDefault="000F7773" w:rsidP="00DB0816">
            <w:pPr>
              <w:rPr>
                <w:rFonts w:eastAsiaTheme="minorEastAsia" w:cs="Arial"/>
              </w:rPr>
            </w:pPr>
            <w:r w:rsidRPr="00C61B1B">
              <w:rPr>
                <w:rFonts w:ascii="Arial" w:eastAsiaTheme="minorEastAsia" w:cs="Arial"/>
                <w:position w:val="-6"/>
                <w:lang w:eastAsia="es-ES"/>
              </w:rPr>
              <w:object w:dxaOrig="960" w:dyaOrig="279" w14:anchorId="43076925">
                <v:shape id="_x0000_i1415" type="#_x0000_t75" style="width:41.25pt;height:15.75pt" o:ole="">
                  <v:imagedata r:id="rId781" o:title=""/>
                </v:shape>
                <o:OLEObject Type="Embed" ProgID="Equation.DSMT4" ShapeID="_x0000_i1415" DrawAspect="Content" ObjectID="_1706015096" r:id="rId782"/>
              </w:object>
            </w:r>
            <w:r>
              <w:rPr>
                <w:rFonts w:eastAsiaTheme="minorEastAsia" w:cs="Arial"/>
              </w:rPr>
              <w:t xml:space="preserve"> </w:t>
            </w:r>
          </w:p>
        </w:tc>
      </w:tr>
      <w:tr w:rsidR="000F7773" w14:paraId="20CEC12E" w14:textId="77777777" w:rsidTr="00504B4C">
        <w:trPr>
          <w:trHeight w:val="422"/>
          <w:jc w:val="center"/>
        </w:trPr>
        <w:tc>
          <w:tcPr>
            <w:tcW w:w="1338" w:type="dxa"/>
          </w:tcPr>
          <w:p w14:paraId="511354A3" w14:textId="77777777" w:rsidR="000F7773" w:rsidRDefault="000F7773" w:rsidP="00DB0816">
            <w:pPr>
              <w:rPr>
                <w:rFonts w:eastAsiaTheme="minorEastAsia" w:cs="Arial"/>
              </w:rPr>
            </w:pPr>
            <w:r w:rsidRPr="001F75AF">
              <w:rPr>
                <w:rFonts w:ascii="Arial" w:eastAsiaTheme="minorEastAsia" w:cs="Arial"/>
                <w:position w:val="-12"/>
                <w:lang w:eastAsia="es-ES"/>
              </w:rPr>
              <w:object w:dxaOrig="1180" w:dyaOrig="360" w14:anchorId="0E599214">
                <v:shape id="_x0000_i1416" type="#_x0000_t75" style="width:56.25pt;height:20.25pt" o:ole="">
                  <v:imagedata r:id="rId783" o:title=""/>
                </v:shape>
                <o:OLEObject Type="Embed" ProgID="Equation.DSMT4" ShapeID="_x0000_i1416" DrawAspect="Content" ObjectID="_1706015097" r:id="rId784"/>
              </w:object>
            </w:r>
            <w:r>
              <w:rPr>
                <w:rFonts w:eastAsiaTheme="minorEastAsia" w:cs="Arial"/>
              </w:rPr>
              <w:t xml:space="preserve"> </w:t>
            </w:r>
          </w:p>
        </w:tc>
        <w:tc>
          <w:tcPr>
            <w:tcW w:w="5052" w:type="dxa"/>
          </w:tcPr>
          <w:p w14:paraId="6DA2DC36" w14:textId="77777777" w:rsidR="000F7773" w:rsidRDefault="000F7773" w:rsidP="00DB0816">
            <w:pPr>
              <w:rPr>
                <w:rFonts w:eastAsiaTheme="minorEastAsia" w:cs="Arial"/>
              </w:rPr>
            </w:pPr>
            <w:r w:rsidRPr="004041A1">
              <w:rPr>
                <w:rFonts w:ascii="Arial" w:eastAsiaTheme="minorEastAsia" w:cs="Arial"/>
                <w:position w:val="-14"/>
                <w:lang w:eastAsia="es-ES"/>
              </w:rPr>
              <w:object w:dxaOrig="3140" w:dyaOrig="400" w14:anchorId="1D45B061">
                <v:shape id="_x0000_i1417" type="#_x0000_t75" style="width:159.75pt;height:20.25pt" o:ole="">
                  <v:imagedata r:id="rId785" o:title=""/>
                </v:shape>
                <o:OLEObject Type="Embed" ProgID="Equation.DSMT4" ShapeID="_x0000_i1417" DrawAspect="Content" ObjectID="_1706015098" r:id="rId786"/>
              </w:object>
            </w:r>
            <w:r>
              <w:rPr>
                <w:rFonts w:eastAsiaTheme="minorEastAsia" w:cs="Arial"/>
              </w:rPr>
              <w:t xml:space="preserve"> </w:t>
            </w:r>
          </w:p>
        </w:tc>
        <w:tc>
          <w:tcPr>
            <w:tcW w:w="1440" w:type="dxa"/>
          </w:tcPr>
          <w:p w14:paraId="1BE6EC25" w14:textId="0B3F2AD3" w:rsidR="000F7773" w:rsidRDefault="00EB159A" w:rsidP="00DB0816">
            <w:pPr>
              <w:rPr>
                <w:rFonts w:eastAsiaTheme="minorEastAsia" w:cs="Arial"/>
              </w:rPr>
            </w:pPr>
            <w:r w:rsidRPr="00EB159A">
              <w:rPr>
                <w:rFonts w:ascii="Arial" w:eastAsiaTheme="minorEastAsia" w:cs="Arial"/>
                <w:position w:val="-6"/>
                <w:lang w:eastAsia="es-ES"/>
              </w:rPr>
              <w:object w:dxaOrig="180" w:dyaOrig="220" w14:anchorId="5DCDA4FA">
                <v:shape id="_x0000_i1418" type="#_x0000_t75" style="width:10.5pt;height:10.5pt" o:ole="">
                  <v:imagedata r:id="rId787" o:title=""/>
                </v:shape>
                <o:OLEObject Type="Embed" ProgID="Equation.DSMT4" ShapeID="_x0000_i1418" DrawAspect="Content" ObjectID="_1706015099" r:id="rId788"/>
              </w:object>
            </w:r>
            <w:r>
              <w:rPr>
                <w:rFonts w:ascii="Arial" w:eastAsiaTheme="minorEastAsia" w:cs="Arial"/>
                <w:lang w:eastAsia="es-ES"/>
              </w:rPr>
              <w:t xml:space="preserve"> </w:t>
            </w:r>
          </w:p>
        </w:tc>
        <w:tc>
          <w:tcPr>
            <w:tcW w:w="1196" w:type="dxa"/>
          </w:tcPr>
          <w:p w14:paraId="04FE09E8" w14:textId="77777777" w:rsidR="000F7773" w:rsidRDefault="000F7773" w:rsidP="00DB0816">
            <w:pPr>
              <w:tabs>
                <w:tab w:val="center" w:pos="500"/>
                <w:tab w:val="right" w:pos="1000"/>
              </w:tabs>
              <w:rPr>
                <w:rFonts w:eastAsiaTheme="minorEastAsia" w:cs="Arial"/>
              </w:rPr>
            </w:pPr>
            <w:r w:rsidRPr="005979E3">
              <w:rPr>
                <w:rFonts w:ascii="Arial" w:eastAsiaTheme="minorEastAsia" w:cs="Arial"/>
                <w:position w:val="-12"/>
                <w:lang w:eastAsia="es-ES"/>
              </w:rPr>
              <w:object w:dxaOrig="859" w:dyaOrig="360" w14:anchorId="424DC418">
                <v:shape id="_x0000_i1419" type="#_x0000_t75" style="width:41.25pt;height:20.25pt" o:ole="">
                  <v:imagedata r:id="rId789" o:title=""/>
                </v:shape>
                <o:OLEObject Type="Embed" ProgID="Equation.DSMT4" ShapeID="_x0000_i1419" DrawAspect="Content" ObjectID="_1706015100" r:id="rId790"/>
              </w:object>
            </w:r>
            <w:r>
              <w:rPr>
                <w:rFonts w:eastAsiaTheme="minorEastAsia" w:cs="Arial"/>
              </w:rPr>
              <w:t xml:space="preserve"> </w:t>
            </w:r>
          </w:p>
        </w:tc>
      </w:tr>
      <w:tr w:rsidR="000F7773" w14:paraId="4CCC983C" w14:textId="77777777" w:rsidTr="00504B4C">
        <w:trPr>
          <w:trHeight w:val="422"/>
          <w:jc w:val="center"/>
        </w:trPr>
        <w:tc>
          <w:tcPr>
            <w:tcW w:w="1338" w:type="dxa"/>
            <w:tcBorders>
              <w:bottom w:val="single" w:sz="4" w:space="0" w:color="auto"/>
            </w:tcBorders>
          </w:tcPr>
          <w:p w14:paraId="36D5C885" w14:textId="77777777" w:rsidR="000F7773" w:rsidRDefault="000F7773" w:rsidP="00DB0816">
            <w:pPr>
              <w:rPr>
                <w:rFonts w:eastAsiaTheme="minorEastAsia" w:cs="Arial"/>
              </w:rPr>
            </w:pPr>
            <w:r w:rsidRPr="007D7ED4">
              <w:rPr>
                <w:rFonts w:ascii="Arial" w:eastAsiaTheme="minorEastAsia" w:cs="Arial"/>
                <w:position w:val="-6"/>
                <w:lang w:eastAsia="es-ES"/>
              </w:rPr>
              <w:object w:dxaOrig="900" w:dyaOrig="279" w14:anchorId="3C68A9DB">
                <v:shape id="_x0000_i1420" type="#_x0000_t75" style="width:41.25pt;height:15.75pt" o:ole="">
                  <v:imagedata r:id="rId791" o:title=""/>
                </v:shape>
                <o:OLEObject Type="Embed" ProgID="Equation.DSMT4" ShapeID="_x0000_i1420" DrawAspect="Content" ObjectID="_1706015101" r:id="rId792"/>
              </w:object>
            </w:r>
            <w:r>
              <w:rPr>
                <w:rFonts w:eastAsiaTheme="minorEastAsia" w:cs="Arial"/>
              </w:rPr>
              <w:t xml:space="preserve"> </w:t>
            </w:r>
          </w:p>
        </w:tc>
        <w:tc>
          <w:tcPr>
            <w:tcW w:w="5052" w:type="dxa"/>
            <w:tcBorders>
              <w:bottom w:val="single" w:sz="4" w:space="0" w:color="auto"/>
            </w:tcBorders>
          </w:tcPr>
          <w:p w14:paraId="427A62BE" w14:textId="77777777" w:rsidR="000F7773" w:rsidRDefault="000F7773" w:rsidP="00DB0816">
            <w:pPr>
              <w:rPr>
                <w:rFonts w:eastAsiaTheme="minorEastAsia" w:cs="Arial"/>
              </w:rPr>
            </w:pPr>
            <w:r w:rsidRPr="00B710D1">
              <w:rPr>
                <w:rFonts w:ascii="Arial" w:eastAsiaTheme="minorEastAsia" w:cs="Arial"/>
                <w:position w:val="-28"/>
                <w:lang w:eastAsia="es-ES"/>
              </w:rPr>
              <w:object w:dxaOrig="4660" w:dyaOrig="540" w14:anchorId="164907EF">
                <v:shape id="_x0000_i1421" type="#_x0000_t75" style="width:231.75pt;height:30.75pt" o:ole="">
                  <v:imagedata r:id="rId793" o:title=""/>
                </v:shape>
                <o:OLEObject Type="Embed" ProgID="Equation.DSMT4" ShapeID="_x0000_i1421" DrawAspect="Content" ObjectID="_1706015102" r:id="rId794"/>
              </w:object>
            </w:r>
            <w:r>
              <w:rPr>
                <w:rFonts w:eastAsiaTheme="minorEastAsia" w:cs="Arial"/>
              </w:rPr>
              <w:t xml:space="preserve"> </w:t>
            </w:r>
          </w:p>
        </w:tc>
        <w:tc>
          <w:tcPr>
            <w:tcW w:w="1440" w:type="dxa"/>
            <w:tcBorders>
              <w:bottom w:val="single" w:sz="4" w:space="0" w:color="auto"/>
            </w:tcBorders>
          </w:tcPr>
          <w:p w14:paraId="6C2AF75A" w14:textId="2E8EA43A" w:rsidR="000F7773" w:rsidRDefault="00EB159A" w:rsidP="00DB0816">
            <w:pPr>
              <w:rPr>
                <w:rFonts w:eastAsiaTheme="minorEastAsia" w:cs="Arial"/>
              </w:rPr>
            </w:pPr>
            <w:r w:rsidRPr="00EB159A">
              <w:rPr>
                <w:rFonts w:ascii="Arial" w:eastAsiaTheme="minorEastAsia" w:cs="Arial"/>
                <w:position w:val="-4"/>
                <w:lang w:eastAsia="es-ES"/>
              </w:rPr>
              <w:object w:dxaOrig="139" w:dyaOrig="260" w14:anchorId="3C5D79AE">
                <v:shape id="_x0000_i1422" type="#_x0000_t75" style="width:5.25pt;height:15.75pt" o:ole="">
                  <v:imagedata r:id="rId795" o:title=""/>
                </v:shape>
                <o:OLEObject Type="Embed" ProgID="Equation.DSMT4" ShapeID="_x0000_i1422" DrawAspect="Content" ObjectID="_1706015103" r:id="rId796"/>
              </w:object>
            </w:r>
            <w:r>
              <w:rPr>
                <w:rFonts w:ascii="Arial" w:eastAsiaTheme="minorEastAsia" w:cs="Arial"/>
                <w:lang w:eastAsia="es-ES"/>
              </w:rPr>
              <w:t xml:space="preserve"> </w:t>
            </w:r>
          </w:p>
        </w:tc>
        <w:tc>
          <w:tcPr>
            <w:tcW w:w="1196" w:type="dxa"/>
            <w:tcBorders>
              <w:bottom w:val="single" w:sz="4" w:space="0" w:color="auto"/>
            </w:tcBorders>
          </w:tcPr>
          <w:p w14:paraId="476019DA" w14:textId="77777777" w:rsidR="000F7773" w:rsidRDefault="000F7773" w:rsidP="00DB0816">
            <w:pPr>
              <w:rPr>
                <w:rFonts w:eastAsiaTheme="minorEastAsia" w:cs="Arial"/>
              </w:rPr>
            </w:pPr>
            <w:r w:rsidRPr="007C1807">
              <w:rPr>
                <w:rFonts w:ascii="Arial" w:eastAsiaTheme="minorEastAsia" w:cs="Arial"/>
                <w:position w:val="-6"/>
                <w:lang w:eastAsia="es-ES"/>
              </w:rPr>
              <w:object w:dxaOrig="900" w:dyaOrig="279" w14:anchorId="5352FD50">
                <v:shape id="_x0000_i1423" type="#_x0000_t75" style="width:41.25pt;height:15.75pt" o:ole="">
                  <v:imagedata r:id="rId797" o:title=""/>
                </v:shape>
                <o:OLEObject Type="Embed" ProgID="Equation.DSMT4" ShapeID="_x0000_i1423" DrawAspect="Content" ObjectID="_1706015104" r:id="rId798"/>
              </w:object>
            </w:r>
            <w:r>
              <w:rPr>
                <w:rFonts w:eastAsiaTheme="minorEastAsia" w:cs="Arial"/>
              </w:rPr>
              <w:t xml:space="preserve"> </w:t>
            </w:r>
          </w:p>
        </w:tc>
      </w:tr>
    </w:tbl>
    <w:p w14:paraId="734F3590" w14:textId="6DA0A125" w:rsidR="000F7773" w:rsidRPr="000F7773" w:rsidRDefault="000F7773" w:rsidP="000F7773">
      <w:pPr>
        <w:rPr>
          <w:rFonts w:cs="Arial"/>
          <w:sz w:val="18"/>
        </w:rPr>
      </w:pPr>
      <w:r w:rsidRPr="00220F06">
        <w:rPr>
          <w:rFonts w:cs="Arial"/>
          <w:sz w:val="18"/>
        </w:rPr>
        <w:t xml:space="preserve">Fuente: </w:t>
      </w:r>
      <w:r w:rsidRPr="00220F06">
        <w:rPr>
          <w:rFonts w:cs="Arial"/>
          <w:sz w:val="18"/>
        </w:rPr>
        <w:fldChar w:fldCharType="begin" w:fldLock="1"/>
      </w:r>
      <w:r w:rsidR="00475856">
        <w:rPr>
          <w:rFonts w:cs="Arial"/>
          <w:sz w:val="18"/>
        </w:rPr>
        <w:instrText>ADDIN CSL_CITATION {"citationItems":[{"id":"ITEM-1","itemData":{"author":[{"dropping-particle":"","family":"McDonald","given":"Scott","non-dropping-particle":"","parse-names":false,"suffix":""},{"dropping-particle":"","family":"Thierfelder","given":"Karen","non-dropping-particle":"","parse-names":false,"suffix":""}],"id":"ITEM-1","issue":"January","issued":{"date-parts":[["2017"]]},"number-of-pages":"1-89","title":"A Static Applied General Equilibrium Model: Technical Documentation - STAGE_int Version","type":"report"},"uris":["http://www.mendeley.com/documents/?uuid=83316eb5-e8df-4029-aa83-a2c1fd511a0d"]}],"mendeley":{"formattedCitation":"(McDonald &amp; Thierfelder, 2017)","manualFormatting":"McDonald &amp; Thierfelder (2017)","plainTextFormattedCitation":"(McDonald &amp; Thierfelder, 2017)","previouslyFormattedCitation":"(McDonald &amp; Thierfelder, 2017)"},"properties":{"noteIndex":0},"schema":"https://github.com/citation-style-language/schema/raw/master/csl-citation.json"}</w:instrText>
      </w:r>
      <w:r w:rsidRPr="00220F06">
        <w:rPr>
          <w:rFonts w:cs="Arial"/>
          <w:sz w:val="18"/>
        </w:rPr>
        <w:fldChar w:fldCharType="separate"/>
      </w:r>
      <w:r w:rsidRPr="00220F06">
        <w:rPr>
          <w:rFonts w:cs="Arial"/>
          <w:noProof/>
          <w:sz w:val="18"/>
        </w:rPr>
        <w:t>McDonald &amp; Thierfelder (2017)</w:t>
      </w:r>
      <w:r w:rsidRPr="00220F06">
        <w:rPr>
          <w:rFonts w:cs="Arial"/>
          <w:sz w:val="18"/>
        </w:rPr>
        <w:fldChar w:fldCharType="end"/>
      </w:r>
      <w:r w:rsidRPr="00220F06">
        <w:rPr>
          <w:rFonts w:cs="Arial"/>
          <w:sz w:val="18"/>
        </w:rPr>
        <w:t>.</w:t>
      </w:r>
    </w:p>
    <w:p w14:paraId="23E37E31" w14:textId="3A68108D" w:rsidR="000F7773" w:rsidRPr="00F86E6C" w:rsidRDefault="000F7773" w:rsidP="00FB4C93">
      <w:pPr>
        <w:spacing w:line="240" w:lineRule="auto"/>
        <w:rPr>
          <w:rFonts w:eastAsiaTheme="minorEastAsia" w:cs="Arial"/>
        </w:rPr>
      </w:pPr>
      <w:r>
        <w:rPr>
          <w:rFonts w:eastAsiaTheme="minorEastAsia" w:cs="Arial"/>
        </w:rPr>
        <w:t xml:space="preserve">La cuenta del resto del mundo de la MCS muestra relaciones de los factores en </w:t>
      </w:r>
      <w:r w:rsidR="00B06EFA">
        <w:rPr>
          <w:rFonts w:eastAsiaTheme="minorEastAsia" w:cs="Arial"/>
        </w:rPr>
        <w:t xml:space="preserve">las </w:t>
      </w:r>
      <w:r>
        <w:rPr>
          <w:rFonts w:eastAsiaTheme="minorEastAsia" w:cs="Arial"/>
        </w:rPr>
        <w:t>ecuaciones de la</w:t>
      </w:r>
      <w:r w:rsidR="00A77D30">
        <w:rPr>
          <w:rFonts w:eastAsiaTheme="minorEastAsia" w:cs="Arial"/>
        </w:rPr>
        <w:t xml:space="preserve"> </w:t>
      </w:r>
      <w:r w:rsidR="00A77D30">
        <w:rPr>
          <w:rFonts w:eastAsiaTheme="minorEastAsia" w:cs="Arial"/>
        </w:rPr>
        <w:fldChar w:fldCharType="begin"/>
      </w:r>
      <w:r w:rsidR="00A77D30">
        <w:rPr>
          <w:rFonts w:eastAsiaTheme="minorEastAsia" w:cs="Arial"/>
        </w:rPr>
        <w:instrText xml:space="preserve"> REF _Ref524944874 \h </w:instrText>
      </w:r>
      <w:r w:rsidR="00A77D30">
        <w:instrText>\* lower</w:instrText>
      </w:r>
      <w:r w:rsidR="00A77D30">
        <w:rPr>
          <w:rFonts w:eastAsiaTheme="minorEastAsia" w:cs="Arial"/>
        </w:rPr>
        <w:instrText xml:space="preserve"> </w:instrText>
      </w:r>
      <w:r w:rsidR="00A77D30">
        <w:rPr>
          <w:rFonts w:eastAsiaTheme="minorEastAsia" w:cs="Arial"/>
        </w:rPr>
      </w:r>
      <w:r w:rsidR="00A77D30">
        <w:rPr>
          <w:rFonts w:eastAsiaTheme="minorEastAsia" w:cs="Arial"/>
        </w:rPr>
        <w:fldChar w:fldCharType="separate"/>
      </w:r>
      <w:r w:rsidR="00A95E32">
        <w:t xml:space="preserve">tabla </w:t>
      </w:r>
      <w:r w:rsidR="00A95E32">
        <w:rPr>
          <w:noProof/>
        </w:rPr>
        <w:t>16</w:t>
      </w:r>
      <w:r w:rsidR="00A77D30">
        <w:rPr>
          <w:rFonts w:eastAsiaTheme="minorEastAsia" w:cs="Arial"/>
        </w:rPr>
        <w:fldChar w:fldCharType="end"/>
      </w:r>
      <w:r>
        <w:rPr>
          <w:rFonts w:eastAsiaTheme="minorEastAsia" w:cs="Arial"/>
        </w:rPr>
        <w:t xml:space="preserve">. </w:t>
      </w:r>
    </w:p>
    <w:p w14:paraId="696CE594" w14:textId="720732FA" w:rsidR="000F7773" w:rsidRPr="00547661" w:rsidRDefault="000F7773" w:rsidP="000F7773">
      <w:pPr>
        <w:pStyle w:val="Caption"/>
      </w:pPr>
      <w:bookmarkStart w:id="129" w:name="_Ref524944874"/>
      <w:bookmarkStart w:id="130" w:name="_Toc524946954"/>
      <w:bookmarkStart w:id="131" w:name="_Toc525033958"/>
      <w:bookmarkStart w:id="132" w:name="_Toc526175259"/>
      <w:bookmarkStart w:id="133" w:name="_Toc2853706"/>
      <w:r>
        <w:t xml:space="preserve">Tabla </w:t>
      </w:r>
      <w:r w:rsidR="00F700CF">
        <w:rPr>
          <w:noProof/>
        </w:rPr>
        <w:fldChar w:fldCharType="begin"/>
      </w:r>
      <w:r w:rsidR="00F700CF">
        <w:rPr>
          <w:noProof/>
        </w:rPr>
        <w:instrText xml:space="preserve"> SEQ Tabla \* ARABIC </w:instrText>
      </w:r>
      <w:r w:rsidR="00F700CF">
        <w:rPr>
          <w:noProof/>
        </w:rPr>
        <w:fldChar w:fldCharType="separate"/>
      </w:r>
      <w:r w:rsidR="00A95E32">
        <w:rPr>
          <w:noProof/>
        </w:rPr>
        <w:t>16</w:t>
      </w:r>
      <w:r w:rsidR="00F700CF">
        <w:rPr>
          <w:noProof/>
        </w:rPr>
        <w:fldChar w:fldCharType="end"/>
      </w:r>
      <w:bookmarkEnd w:id="129"/>
      <w:r>
        <w:t xml:space="preserve"> </w:t>
      </w:r>
      <w:r>
        <w:br/>
      </w:r>
      <w:r w:rsidRPr="002D7F82">
        <w:t>Bloque de institución extranjera</w:t>
      </w:r>
      <w:bookmarkEnd w:id="130"/>
      <w:bookmarkEnd w:id="131"/>
      <w:bookmarkEnd w:id="132"/>
      <w:bookmarkEnd w:id="133"/>
    </w:p>
    <w:tbl>
      <w:tblPr>
        <w:tblStyle w:val="TableGrid"/>
        <w:tblW w:w="899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6"/>
        <w:gridCol w:w="4760"/>
        <w:gridCol w:w="1457"/>
        <w:gridCol w:w="1217"/>
      </w:tblGrid>
      <w:tr w:rsidR="000F7773" w14:paraId="4A4CAB61" w14:textId="77777777" w:rsidTr="00935E8F">
        <w:trPr>
          <w:trHeight w:val="539"/>
          <w:jc w:val="center"/>
        </w:trPr>
        <w:tc>
          <w:tcPr>
            <w:tcW w:w="1447" w:type="dxa"/>
            <w:tcBorders>
              <w:top w:val="single" w:sz="4" w:space="0" w:color="auto"/>
              <w:bottom w:val="single" w:sz="4" w:space="0" w:color="auto"/>
            </w:tcBorders>
          </w:tcPr>
          <w:p w14:paraId="11B05F6C" w14:textId="77777777" w:rsidR="000F7773" w:rsidRPr="00113BD7" w:rsidRDefault="000F7773" w:rsidP="00DB0816">
            <w:pPr>
              <w:rPr>
                <w:rFonts w:ascii="Arial" w:eastAsiaTheme="minorEastAsia" w:cs="Arial"/>
              </w:rPr>
            </w:pPr>
            <w:r w:rsidRPr="00113BD7">
              <w:rPr>
                <w:rFonts w:ascii="Arial" w:eastAsiaTheme="minorEastAsia" w:cs="Arial"/>
              </w:rPr>
              <w:t>Nombre</w:t>
            </w:r>
          </w:p>
        </w:tc>
        <w:tc>
          <w:tcPr>
            <w:tcW w:w="4987" w:type="dxa"/>
            <w:tcBorders>
              <w:top w:val="single" w:sz="4" w:space="0" w:color="auto"/>
              <w:bottom w:val="single" w:sz="4" w:space="0" w:color="auto"/>
            </w:tcBorders>
          </w:tcPr>
          <w:p w14:paraId="364960FE" w14:textId="77777777" w:rsidR="000F7773" w:rsidRPr="00113BD7" w:rsidRDefault="000F7773" w:rsidP="00DB0816">
            <w:pPr>
              <w:rPr>
                <w:rFonts w:ascii="Arial" w:eastAsiaTheme="minorEastAsia" w:cs="Arial"/>
              </w:rPr>
            </w:pPr>
            <w:r w:rsidRPr="00113BD7">
              <w:rPr>
                <w:rFonts w:ascii="Arial" w:eastAsiaTheme="minorEastAsia" w:cs="Arial"/>
              </w:rPr>
              <w:t xml:space="preserve">Ecuación </w:t>
            </w:r>
          </w:p>
        </w:tc>
        <w:tc>
          <w:tcPr>
            <w:tcW w:w="1393" w:type="dxa"/>
            <w:tcBorders>
              <w:top w:val="single" w:sz="4" w:space="0" w:color="auto"/>
              <w:bottom w:val="single" w:sz="4" w:space="0" w:color="auto"/>
            </w:tcBorders>
          </w:tcPr>
          <w:p w14:paraId="381AB0F0" w14:textId="77777777" w:rsidR="000F7773" w:rsidRPr="00113BD7" w:rsidRDefault="000F7773" w:rsidP="00DB0816">
            <w:pPr>
              <w:rPr>
                <w:rFonts w:ascii="Arial" w:eastAsiaTheme="minorEastAsia" w:cs="Arial"/>
              </w:rPr>
            </w:pPr>
            <w:r w:rsidRPr="00113BD7">
              <w:rPr>
                <w:rFonts w:ascii="Arial" w:eastAsiaTheme="minorEastAsia" w:cs="Arial"/>
              </w:rPr>
              <w:t>Ecuaciones</w:t>
            </w:r>
          </w:p>
        </w:tc>
        <w:tc>
          <w:tcPr>
            <w:tcW w:w="1163" w:type="dxa"/>
            <w:tcBorders>
              <w:top w:val="single" w:sz="4" w:space="0" w:color="auto"/>
              <w:bottom w:val="single" w:sz="4" w:space="0" w:color="auto"/>
            </w:tcBorders>
          </w:tcPr>
          <w:p w14:paraId="7302B7A8" w14:textId="77777777" w:rsidR="000F7773" w:rsidRPr="00113BD7" w:rsidRDefault="000F7773" w:rsidP="00DB0816">
            <w:pPr>
              <w:rPr>
                <w:rFonts w:ascii="Arial" w:eastAsiaTheme="minorEastAsia" w:cs="Arial"/>
              </w:rPr>
            </w:pPr>
            <w:r w:rsidRPr="00113BD7">
              <w:rPr>
                <w:rFonts w:ascii="Arial" w:eastAsiaTheme="minorEastAsia" w:cs="Arial"/>
              </w:rPr>
              <w:t>Variables</w:t>
            </w:r>
          </w:p>
        </w:tc>
      </w:tr>
      <w:tr w:rsidR="000F7773" w14:paraId="6E0F95FD" w14:textId="77777777" w:rsidTr="009C1EB9">
        <w:trPr>
          <w:trHeight w:val="685"/>
          <w:jc w:val="center"/>
        </w:trPr>
        <w:tc>
          <w:tcPr>
            <w:tcW w:w="1447" w:type="dxa"/>
            <w:tcBorders>
              <w:top w:val="single" w:sz="4" w:space="0" w:color="auto"/>
              <w:bottom w:val="single" w:sz="4" w:space="0" w:color="auto"/>
            </w:tcBorders>
          </w:tcPr>
          <w:p w14:paraId="7A57921C" w14:textId="77777777" w:rsidR="000F7773" w:rsidRDefault="000F7773" w:rsidP="00DB0816">
            <w:pPr>
              <w:rPr>
                <w:rFonts w:eastAsiaTheme="minorEastAsia" w:cs="Arial"/>
              </w:rPr>
            </w:pPr>
            <w:r w:rsidRPr="007D7ED4">
              <w:rPr>
                <w:rFonts w:ascii="Arial" w:eastAsiaTheme="minorEastAsia" w:cs="Arial"/>
                <w:position w:val="-14"/>
                <w:lang w:eastAsia="es-ES"/>
              </w:rPr>
              <w:object w:dxaOrig="1260" w:dyaOrig="380" w14:anchorId="31CCD6AE">
                <v:shape id="_x0000_i1424" type="#_x0000_t75" style="width:66.75pt;height:20.25pt" o:ole="">
                  <v:imagedata r:id="rId799" o:title=""/>
                </v:shape>
                <o:OLEObject Type="Embed" ProgID="Equation.DSMT4" ShapeID="_x0000_i1424" DrawAspect="Content" ObjectID="_1706015105" r:id="rId800"/>
              </w:object>
            </w:r>
          </w:p>
        </w:tc>
        <w:tc>
          <w:tcPr>
            <w:tcW w:w="4987" w:type="dxa"/>
            <w:tcBorders>
              <w:top w:val="single" w:sz="4" w:space="0" w:color="auto"/>
              <w:bottom w:val="single" w:sz="4" w:space="0" w:color="auto"/>
            </w:tcBorders>
          </w:tcPr>
          <w:p w14:paraId="0C8D2F44" w14:textId="77777777" w:rsidR="000F7773" w:rsidRDefault="000F7773" w:rsidP="00DB0816">
            <w:pPr>
              <w:rPr>
                <w:rFonts w:eastAsiaTheme="minorEastAsia" w:cs="Arial"/>
              </w:rPr>
            </w:pPr>
            <w:r w:rsidRPr="00B710D1">
              <w:rPr>
                <w:rFonts w:ascii="Arial" w:eastAsiaTheme="minorEastAsia" w:cs="Arial"/>
                <w:position w:val="-28"/>
                <w:lang w:eastAsia="es-ES"/>
              </w:rPr>
              <w:object w:dxaOrig="2740" w:dyaOrig="540" w14:anchorId="1A54AB47">
                <v:shape id="_x0000_i1425" type="#_x0000_t75" style="width:138.75pt;height:30.75pt" o:ole="">
                  <v:imagedata r:id="rId801" o:title=""/>
                </v:shape>
                <o:OLEObject Type="Embed" ProgID="Equation.DSMT4" ShapeID="_x0000_i1425" DrawAspect="Content" ObjectID="_1706015106" r:id="rId802"/>
              </w:object>
            </w:r>
          </w:p>
        </w:tc>
        <w:tc>
          <w:tcPr>
            <w:tcW w:w="1393" w:type="dxa"/>
            <w:tcBorders>
              <w:top w:val="single" w:sz="4" w:space="0" w:color="auto"/>
              <w:bottom w:val="single" w:sz="4" w:space="0" w:color="auto"/>
            </w:tcBorders>
          </w:tcPr>
          <w:p w14:paraId="1F5AF72E" w14:textId="7956722A" w:rsidR="000F7773" w:rsidRDefault="009020D8" w:rsidP="00DB0816">
            <w:pPr>
              <w:rPr>
                <w:rFonts w:eastAsiaTheme="minorEastAsia" w:cs="Arial"/>
              </w:rPr>
            </w:pPr>
            <w:r w:rsidRPr="009020D8">
              <w:rPr>
                <w:rFonts w:ascii="Arial" w:eastAsiaTheme="minorEastAsia" w:cs="Arial"/>
                <w:position w:val="-10"/>
                <w:lang w:eastAsia="es-ES"/>
              </w:rPr>
              <w:object w:dxaOrig="240" w:dyaOrig="320" w14:anchorId="4ECF3CF0">
                <v:shape id="_x0000_i1426" type="#_x0000_t75" style="width:10.5pt;height:15.75pt" o:ole="">
                  <v:imagedata r:id="rId803" o:title=""/>
                </v:shape>
                <o:OLEObject Type="Embed" ProgID="Equation.DSMT4" ShapeID="_x0000_i1426" DrawAspect="Content" ObjectID="_1706015107" r:id="rId804"/>
              </w:object>
            </w:r>
            <w:r>
              <w:rPr>
                <w:rFonts w:ascii="Arial" w:eastAsiaTheme="minorEastAsia" w:cs="Arial"/>
                <w:lang w:eastAsia="es-ES"/>
              </w:rPr>
              <w:t xml:space="preserve"> </w:t>
            </w:r>
          </w:p>
        </w:tc>
        <w:tc>
          <w:tcPr>
            <w:tcW w:w="1163" w:type="dxa"/>
            <w:tcBorders>
              <w:top w:val="single" w:sz="4" w:space="0" w:color="auto"/>
              <w:bottom w:val="single" w:sz="4" w:space="0" w:color="auto"/>
            </w:tcBorders>
          </w:tcPr>
          <w:p w14:paraId="7FC97161" w14:textId="77777777" w:rsidR="000F7773" w:rsidRDefault="000F7773" w:rsidP="00DB0816">
            <w:pPr>
              <w:rPr>
                <w:rFonts w:eastAsiaTheme="minorEastAsia" w:cs="Arial"/>
              </w:rPr>
            </w:pPr>
            <w:r w:rsidRPr="00C61B1B">
              <w:rPr>
                <w:rFonts w:ascii="Arial" w:eastAsiaTheme="minorEastAsia" w:cs="Arial"/>
                <w:position w:val="-14"/>
                <w:lang w:eastAsia="es-ES"/>
              </w:rPr>
              <w:object w:dxaOrig="940" w:dyaOrig="380" w14:anchorId="2F1DB0C1">
                <v:shape id="_x0000_i1427" type="#_x0000_t75" style="width:41.25pt;height:20.25pt" o:ole="">
                  <v:imagedata r:id="rId805" o:title=""/>
                </v:shape>
                <o:OLEObject Type="Embed" ProgID="Equation.DSMT4" ShapeID="_x0000_i1427" DrawAspect="Content" ObjectID="_1706015108" r:id="rId806"/>
              </w:object>
            </w:r>
            <w:r>
              <w:rPr>
                <w:rFonts w:eastAsiaTheme="minorEastAsia" w:cs="Arial"/>
              </w:rPr>
              <w:t xml:space="preserve"> </w:t>
            </w:r>
          </w:p>
        </w:tc>
      </w:tr>
    </w:tbl>
    <w:p w14:paraId="1FCE7D33" w14:textId="3A10E7BB" w:rsidR="000F7773" w:rsidRPr="000F7773" w:rsidRDefault="000F7773" w:rsidP="000F7773">
      <w:pPr>
        <w:rPr>
          <w:rFonts w:cs="Arial"/>
          <w:sz w:val="18"/>
        </w:rPr>
      </w:pPr>
      <w:r w:rsidRPr="00220F06">
        <w:rPr>
          <w:rFonts w:cs="Arial"/>
          <w:sz w:val="18"/>
        </w:rPr>
        <w:t xml:space="preserve">Fuente: </w:t>
      </w:r>
      <w:r w:rsidRPr="00220F06">
        <w:rPr>
          <w:rFonts w:cs="Arial"/>
          <w:sz w:val="18"/>
        </w:rPr>
        <w:fldChar w:fldCharType="begin" w:fldLock="1"/>
      </w:r>
      <w:r w:rsidR="00475856">
        <w:rPr>
          <w:rFonts w:cs="Arial"/>
          <w:sz w:val="18"/>
        </w:rPr>
        <w:instrText>ADDIN CSL_CITATION {"citationItems":[{"id":"ITEM-1","itemData":{"author":[{"dropping-particle":"","family":"McDonald","given":"Scott","non-dropping-particle":"","parse-names":false,"suffix":""},{"dropping-particle":"","family":"Thierfelder","given":"Karen","non-dropping-particle":"","parse-names":false,"suffix":""}],"id":"ITEM-1","issue":"January","issued":{"date-parts":[["2017"]]},"number-of-pages":"1-89","title":"A Static Applied General Equilibrium Model: Technical Documentation - STAGE_int Version","type":"report"},"uris":["http://www.mendeley.com/documents/?uuid=83316eb5-e8df-4029-aa83-a2c1fd511a0d"]}],"mendeley":{"formattedCitation":"(McDonald &amp; Thierfelder, 2017)","manualFormatting":"McDonald &amp; Thierfelder (2017)","plainTextFormattedCitation":"(McDonald &amp; Thierfelder, 2017)","previouslyFormattedCitation":"(McDonald &amp; Thierfelder, 2017)"},"properties":{"noteIndex":0},"schema":"https://github.com/citation-style-language/schema/raw/master/csl-citation.json"}</w:instrText>
      </w:r>
      <w:r w:rsidRPr="00220F06">
        <w:rPr>
          <w:rFonts w:cs="Arial"/>
          <w:sz w:val="18"/>
        </w:rPr>
        <w:fldChar w:fldCharType="separate"/>
      </w:r>
      <w:r w:rsidRPr="00220F06">
        <w:rPr>
          <w:rFonts w:cs="Arial"/>
          <w:noProof/>
          <w:sz w:val="18"/>
        </w:rPr>
        <w:t>McDonald &amp; Thierfelder (2017)</w:t>
      </w:r>
      <w:r w:rsidRPr="00220F06">
        <w:rPr>
          <w:rFonts w:cs="Arial"/>
          <w:sz w:val="18"/>
        </w:rPr>
        <w:fldChar w:fldCharType="end"/>
      </w:r>
      <w:r w:rsidRPr="00220F06">
        <w:rPr>
          <w:rFonts w:cs="Arial"/>
          <w:sz w:val="18"/>
        </w:rPr>
        <w:t>.</w:t>
      </w:r>
    </w:p>
    <w:p w14:paraId="290345D5" w14:textId="0D846BCA" w:rsidR="000F7773" w:rsidRPr="000F7773" w:rsidRDefault="000F7773" w:rsidP="00FB4C93">
      <w:pPr>
        <w:spacing w:line="240" w:lineRule="auto"/>
        <w:rPr>
          <w:rFonts w:eastAsiaTheme="minorEastAsia" w:cs="Arial"/>
        </w:rPr>
      </w:pPr>
      <w:r w:rsidRPr="00B25A61">
        <w:rPr>
          <w:rFonts w:eastAsiaTheme="minorEastAsia" w:cs="Arial"/>
        </w:rPr>
        <w:lastRenderedPageBreak/>
        <w:t xml:space="preserve">Para poder llegar al equilibrio general es necesario hacer una serie de supuestos que </w:t>
      </w:r>
      <w:r w:rsidR="00B06EFA">
        <w:rPr>
          <w:rFonts w:eastAsiaTheme="minorEastAsia" w:cs="Arial"/>
        </w:rPr>
        <w:t xml:space="preserve">se </w:t>
      </w:r>
      <w:r w:rsidRPr="00B25A61">
        <w:rPr>
          <w:rFonts w:eastAsiaTheme="minorEastAsia" w:cs="Arial"/>
        </w:rPr>
        <w:t xml:space="preserve">resumen en la </w:t>
      </w:r>
      <w:r w:rsidR="00A77D30">
        <w:rPr>
          <w:rFonts w:eastAsiaTheme="minorEastAsia" w:cs="Arial"/>
        </w:rPr>
        <w:fldChar w:fldCharType="begin"/>
      </w:r>
      <w:r w:rsidR="00A77D30">
        <w:rPr>
          <w:rFonts w:eastAsiaTheme="minorEastAsia" w:cs="Arial"/>
        </w:rPr>
        <w:instrText xml:space="preserve"> REF _Ref524945008 \h </w:instrText>
      </w:r>
      <w:r w:rsidR="00A77D30">
        <w:instrText>\* lower</w:instrText>
      </w:r>
      <w:r w:rsidR="00A77D30">
        <w:rPr>
          <w:rFonts w:eastAsiaTheme="minorEastAsia" w:cs="Arial"/>
        </w:rPr>
        <w:instrText xml:space="preserve"> </w:instrText>
      </w:r>
      <w:r w:rsidR="00A77D30">
        <w:rPr>
          <w:rFonts w:eastAsiaTheme="minorEastAsia" w:cs="Arial"/>
        </w:rPr>
      </w:r>
      <w:r w:rsidR="00A77D30">
        <w:rPr>
          <w:rFonts w:eastAsiaTheme="minorEastAsia" w:cs="Arial"/>
        </w:rPr>
        <w:fldChar w:fldCharType="separate"/>
      </w:r>
      <w:r w:rsidR="00A95E32">
        <w:t xml:space="preserve">tabla </w:t>
      </w:r>
      <w:r w:rsidR="00A95E32">
        <w:rPr>
          <w:noProof/>
        </w:rPr>
        <w:t>17</w:t>
      </w:r>
      <w:r w:rsidR="00A77D30">
        <w:rPr>
          <w:rFonts w:eastAsiaTheme="minorEastAsia" w:cs="Arial"/>
        </w:rPr>
        <w:fldChar w:fldCharType="end"/>
      </w:r>
      <w:r w:rsidRPr="00B25A61">
        <w:rPr>
          <w:rFonts w:eastAsiaTheme="minorEastAsia" w:cs="Arial"/>
        </w:rPr>
        <w:t>. El primer supuesto es la demanda de factores es igual a la oferta de factores, la segunda correspondencia entre oferta de producción y demanda de bienes. La composición de la oferta bienes es igual a la demanda de bienes intermedios, consumo de los hogares, consumo de empresas, gasto del gobierno y variación en existencias (</w:t>
      </w:r>
      <w:r w:rsidRPr="00B25A61">
        <w:rPr>
          <w:position w:val="-12"/>
        </w:rPr>
        <w:object w:dxaOrig="4700" w:dyaOrig="360" w14:anchorId="2112AB77">
          <v:shape id="_x0000_i1428" type="#_x0000_t75" style="width:236.25pt;height:20.25pt" o:ole="">
            <v:imagedata r:id="rId807" o:title=""/>
          </v:shape>
          <o:OLEObject Type="Embed" ProgID="Equation.DSMT4" ShapeID="_x0000_i1428" DrawAspect="Content" ObjectID="_1706015109" r:id="rId808"/>
        </w:object>
      </w:r>
      <w:r w:rsidRPr="00B25A61">
        <w:t>). El balance del gobierno es la diferencia entre sus ingresos y gastos, de manera similar ocurre con la cuenta corriente.</w:t>
      </w:r>
      <w:r w:rsidRPr="00B25A61">
        <w:rPr>
          <w:rFonts w:eastAsiaTheme="minorEastAsia" w:cs="Arial"/>
        </w:rPr>
        <w:t xml:space="preserve"> Las demás condiciones generan proporciones del total consumo de las instituciones.</w:t>
      </w:r>
      <w:r>
        <w:rPr>
          <w:rFonts w:eastAsiaTheme="minorEastAsia" w:cs="Arial"/>
        </w:rPr>
        <w:t xml:space="preserve"> Adicionalmente, el ahorro debe ser igual a la inversión, por tanto, la variable </w:t>
      </w:r>
      <w:r w:rsidRPr="009B5FC0">
        <w:rPr>
          <w:position w:val="-6"/>
        </w:rPr>
        <w:object w:dxaOrig="1160" w:dyaOrig="279" w14:anchorId="6448B56B">
          <v:shape id="_x0000_i1429" type="#_x0000_t75" style="width:56.25pt;height:15.75pt" o:ole="">
            <v:imagedata r:id="rId809" o:title=""/>
          </v:shape>
          <o:OLEObject Type="Embed" ProgID="Equation.DSMT4" ShapeID="_x0000_i1429" DrawAspect="Content" ObjectID="_1706015110" r:id="rId810"/>
        </w:object>
      </w:r>
      <w:r>
        <w:t>es de control, siendo en cada simulación igual a cero si el modelo se especificó correctamente.</w:t>
      </w:r>
      <w:r>
        <w:rPr>
          <w:rFonts w:eastAsiaTheme="minorEastAsia" w:cs="Arial"/>
        </w:rPr>
        <w:t xml:space="preserve"> </w:t>
      </w:r>
    </w:p>
    <w:p w14:paraId="7D9ACDBF" w14:textId="1B7FA9F3" w:rsidR="000F7773" w:rsidRPr="00547661" w:rsidRDefault="000F7773" w:rsidP="000F7773">
      <w:pPr>
        <w:pStyle w:val="Caption"/>
      </w:pPr>
      <w:bookmarkStart w:id="134" w:name="_Ref524945008"/>
      <w:bookmarkStart w:id="135" w:name="_Toc524946955"/>
      <w:bookmarkStart w:id="136" w:name="_Toc525033959"/>
      <w:bookmarkStart w:id="137" w:name="_Toc526175260"/>
      <w:bookmarkStart w:id="138" w:name="_Toc2853707"/>
      <w:r>
        <w:t xml:space="preserve">Tabla </w:t>
      </w:r>
      <w:r w:rsidR="00F700CF">
        <w:rPr>
          <w:noProof/>
        </w:rPr>
        <w:fldChar w:fldCharType="begin"/>
      </w:r>
      <w:r w:rsidR="00F700CF">
        <w:rPr>
          <w:noProof/>
        </w:rPr>
        <w:instrText xml:space="preserve"> SEQ Tabla \* ARABIC </w:instrText>
      </w:r>
      <w:r w:rsidR="00F700CF">
        <w:rPr>
          <w:noProof/>
        </w:rPr>
        <w:fldChar w:fldCharType="separate"/>
      </w:r>
      <w:r w:rsidR="00A95E32">
        <w:rPr>
          <w:noProof/>
        </w:rPr>
        <w:t>17</w:t>
      </w:r>
      <w:r w:rsidR="00F700CF">
        <w:rPr>
          <w:noProof/>
        </w:rPr>
        <w:fldChar w:fldCharType="end"/>
      </w:r>
      <w:bookmarkEnd w:id="134"/>
      <w:r>
        <w:t xml:space="preserve"> </w:t>
      </w:r>
      <w:r>
        <w:br/>
      </w:r>
      <w:r w:rsidRPr="000F409C">
        <w:t>Bloque de equilibrio de Mercado</w:t>
      </w:r>
      <w:bookmarkEnd w:id="135"/>
      <w:bookmarkEnd w:id="136"/>
      <w:bookmarkEnd w:id="137"/>
      <w:bookmarkEnd w:id="138"/>
    </w:p>
    <w:tbl>
      <w:tblPr>
        <w:tblStyle w:val="TableGrid"/>
        <w:tblW w:w="9026"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05"/>
        <w:gridCol w:w="4795"/>
        <w:gridCol w:w="90"/>
        <w:gridCol w:w="1335"/>
        <w:gridCol w:w="1301"/>
      </w:tblGrid>
      <w:tr w:rsidR="00A52CCD" w14:paraId="3B3E45A0" w14:textId="77777777" w:rsidTr="00504B4C">
        <w:trPr>
          <w:trHeight w:val="499"/>
          <w:jc w:val="center"/>
        </w:trPr>
        <w:tc>
          <w:tcPr>
            <w:tcW w:w="1505" w:type="dxa"/>
            <w:tcBorders>
              <w:top w:val="single" w:sz="4" w:space="0" w:color="auto"/>
              <w:bottom w:val="single" w:sz="4" w:space="0" w:color="auto"/>
            </w:tcBorders>
          </w:tcPr>
          <w:p w14:paraId="36D422A1" w14:textId="77777777" w:rsidR="000F7773" w:rsidRPr="00504B4C" w:rsidRDefault="000F7773" w:rsidP="00DB0816">
            <w:pPr>
              <w:rPr>
                <w:rFonts w:ascii="Arial" w:eastAsiaTheme="minorEastAsia" w:cs="Arial"/>
                <w:sz w:val="22"/>
              </w:rPr>
            </w:pPr>
            <w:r w:rsidRPr="00504B4C">
              <w:rPr>
                <w:rFonts w:ascii="Arial" w:eastAsiaTheme="minorEastAsia" w:cs="Arial"/>
                <w:sz w:val="22"/>
              </w:rPr>
              <w:t>Nombre</w:t>
            </w:r>
          </w:p>
        </w:tc>
        <w:tc>
          <w:tcPr>
            <w:tcW w:w="4795" w:type="dxa"/>
            <w:tcBorders>
              <w:top w:val="single" w:sz="4" w:space="0" w:color="auto"/>
              <w:bottom w:val="single" w:sz="4" w:space="0" w:color="auto"/>
            </w:tcBorders>
          </w:tcPr>
          <w:p w14:paraId="03415947" w14:textId="0EB4BE46" w:rsidR="000F7773" w:rsidRPr="00504B4C" w:rsidRDefault="00935E8F" w:rsidP="00DB0816">
            <w:pPr>
              <w:rPr>
                <w:rFonts w:ascii="Arial" w:eastAsiaTheme="minorEastAsia" w:cs="Arial"/>
                <w:sz w:val="22"/>
              </w:rPr>
            </w:pPr>
            <w:r w:rsidRPr="00504B4C">
              <w:rPr>
                <w:rFonts w:ascii="Arial" w:eastAsiaTheme="minorEastAsia" w:cs="Arial"/>
                <w:sz w:val="22"/>
              </w:rPr>
              <w:t>Ecuación</w:t>
            </w:r>
            <w:r w:rsidR="000F7773" w:rsidRPr="00504B4C">
              <w:rPr>
                <w:rFonts w:ascii="Arial" w:eastAsiaTheme="minorEastAsia" w:cs="Arial"/>
                <w:sz w:val="22"/>
              </w:rPr>
              <w:t xml:space="preserve"> </w:t>
            </w:r>
          </w:p>
        </w:tc>
        <w:tc>
          <w:tcPr>
            <w:tcW w:w="1425" w:type="dxa"/>
            <w:gridSpan w:val="2"/>
            <w:tcBorders>
              <w:top w:val="single" w:sz="4" w:space="0" w:color="auto"/>
              <w:bottom w:val="single" w:sz="4" w:space="0" w:color="auto"/>
            </w:tcBorders>
          </w:tcPr>
          <w:p w14:paraId="7D0AA3A6" w14:textId="77777777" w:rsidR="000F7773" w:rsidRPr="00504B4C" w:rsidRDefault="000F7773" w:rsidP="00DB0816">
            <w:pPr>
              <w:rPr>
                <w:rFonts w:ascii="Arial" w:eastAsiaTheme="minorEastAsia" w:cs="Arial"/>
                <w:sz w:val="22"/>
              </w:rPr>
            </w:pPr>
            <w:r w:rsidRPr="00504B4C">
              <w:rPr>
                <w:rFonts w:ascii="Arial" w:eastAsiaTheme="minorEastAsia" w:cs="Arial"/>
                <w:sz w:val="22"/>
              </w:rPr>
              <w:t>Ecuaciones</w:t>
            </w:r>
          </w:p>
        </w:tc>
        <w:tc>
          <w:tcPr>
            <w:tcW w:w="1301" w:type="dxa"/>
            <w:tcBorders>
              <w:top w:val="single" w:sz="4" w:space="0" w:color="auto"/>
              <w:bottom w:val="single" w:sz="4" w:space="0" w:color="auto"/>
            </w:tcBorders>
          </w:tcPr>
          <w:p w14:paraId="1C35139E" w14:textId="77777777" w:rsidR="000F7773" w:rsidRPr="00504B4C" w:rsidRDefault="000F7773" w:rsidP="00DB0816">
            <w:pPr>
              <w:rPr>
                <w:rFonts w:ascii="Arial" w:eastAsiaTheme="minorEastAsia" w:cs="Arial"/>
                <w:sz w:val="22"/>
              </w:rPr>
            </w:pPr>
            <w:r w:rsidRPr="00504B4C">
              <w:rPr>
                <w:rFonts w:ascii="Arial" w:eastAsiaTheme="minorEastAsia" w:cs="Arial"/>
                <w:sz w:val="22"/>
              </w:rPr>
              <w:t>Variables</w:t>
            </w:r>
          </w:p>
        </w:tc>
      </w:tr>
      <w:tr w:rsidR="00A52CCD" w14:paraId="7A3F93FC" w14:textId="77777777" w:rsidTr="00935E8F">
        <w:trPr>
          <w:trHeight w:val="444"/>
          <w:jc w:val="center"/>
        </w:trPr>
        <w:tc>
          <w:tcPr>
            <w:tcW w:w="1505" w:type="dxa"/>
            <w:tcBorders>
              <w:top w:val="single" w:sz="4" w:space="0" w:color="auto"/>
            </w:tcBorders>
          </w:tcPr>
          <w:p w14:paraId="5F01F1ED" w14:textId="77777777" w:rsidR="000F7773" w:rsidRDefault="000F7773" w:rsidP="00DB0816">
            <w:pPr>
              <w:rPr>
                <w:rFonts w:eastAsiaTheme="minorEastAsia" w:cs="Arial"/>
              </w:rPr>
            </w:pPr>
            <w:r w:rsidRPr="00E35948">
              <w:rPr>
                <w:rFonts w:ascii="Arial" w:eastAsiaTheme="minorEastAsia" w:cs="Arial"/>
                <w:position w:val="-14"/>
                <w:lang w:eastAsia="es-ES"/>
              </w:rPr>
              <w:object w:dxaOrig="1219" w:dyaOrig="380" w14:anchorId="5464A4C2">
                <v:shape id="_x0000_i1430" type="#_x0000_t75" style="width:66.75pt;height:20.25pt" o:ole="">
                  <v:imagedata r:id="rId811" o:title=""/>
                </v:shape>
                <o:OLEObject Type="Embed" ProgID="Equation.DSMT4" ShapeID="_x0000_i1430" DrawAspect="Content" ObjectID="_1706015111" r:id="rId812"/>
              </w:object>
            </w:r>
            <w:r>
              <w:rPr>
                <w:rFonts w:eastAsiaTheme="minorEastAsia" w:cs="Arial"/>
              </w:rPr>
              <w:t xml:space="preserve"> </w:t>
            </w:r>
          </w:p>
        </w:tc>
        <w:tc>
          <w:tcPr>
            <w:tcW w:w="4885" w:type="dxa"/>
            <w:gridSpan w:val="2"/>
            <w:tcBorders>
              <w:top w:val="single" w:sz="4" w:space="0" w:color="auto"/>
            </w:tcBorders>
          </w:tcPr>
          <w:p w14:paraId="68AAF307" w14:textId="77777777" w:rsidR="000F7773" w:rsidRDefault="000F7773" w:rsidP="00DB0816">
            <w:pPr>
              <w:rPr>
                <w:rFonts w:eastAsiaTheme="minorEastAsia" w:cs="Arial"/>
              </w:rPr>
            </w:pPr>
            <w:r w:rsidRPr="00E35948">
              <w:rPr>
                <w:rFonts w:ascii="Arial" w:eastAsiaTheme="minorEastAsia" w:cs="Arial"/>
                <w:position w:val="-28"/>
                <w:lang w:eastAsia="es-ES"/>
              </w:rPr>
              <w:object w:dxaOrig="2240" w:dyaOrig="540" w14:anchorId="34118CFB">
                <v:shape id="_x0000_i1431" type="#_x0000_t75" style="width:113.25pt;height:30.75pt" o:ole="">
                  <v:imagedata r:id="rId813" o:title=""/>
                </v:shape>
                <o:OLEObject Type="Embed" ProgID="Equation.DSMT4" ShapeID="_x0000_i1431" DrawAspect="Content" ObjectID="_1706015112" r:id="rId814"/>
              </w:object>
            </w:r>
            <w:r>
              <w:rPr>
                <w:rFonts w:eastAsiaTheme="minorEastAsia" w:cs="Arial"/>
              </w:rPr>
              <w:t xml:space="preserve"> </w:t>
            </w:r>
          </w:p>
          <w:p w14:paraId="013A3CE5" w14:textId="77777777" w:rsidR="000F7773" w:rsidRPr="007704AF" w:rsidRDefault="000F7773" w:rsidP="00DB0816">
            <w:pPr>
              <w:rPr>
                <w:rFonts w:eastAsiaTheme="minorEastAsia" w:cs="Arial"/>
                <w:lang w:val="en-US"/>
              </w:rPr>
            </w:pPr>
            <w:r w:rsidRPr="00B51BFB">
              <w:rPr>
                <w:rFonts w:ascii="Arial" w:eastAsiaTheme="minorEastAsia" w:cs="Arial"/>
                <w:position w:val="-14"/>
                <w:lang w:val="en-US" w:eastAsia="es-ES"/>
              </w:rPr>
              <w:object w:dxaOrig="3220" w:dyaOrig="380" w14:anchorId="205A3F3E">
                <v:shape id="_x0000_i1432" type="#_x0000_t75" style="width:159.75pt;height:20.25pt" o:ole="">
                  <v:imagedata r:id="rId815" o:title=""/>
                </v:shape>
                <o:OLEObject Type="Embed" ProgID="Equation.DSMT4" ShapeID="_x0000_i1432" DrawAspect="Content" ObjectID="_1706015113" r:id="rId816"/>
              </w:object>
            </w:r>
            <w:r>
              <w:rPr>
                <w:rFonts w:eastAsiaTheme="minorEastAsia" w:cs="Arial"/>
                <w:lang w:val="en-US"/>
              </w:rPr>
              <w:t xml:space="preserve"> </w:t>
            </w:r>
          </w:p>
        </w:tc>
        <w:tc>
          <w:tcPr>
            <w:tcW w:w="1335" w:type="dxa"/>
            <w:tcBorders>
              <w:top w:val="single" w:sz="4" w:space="0" w:color="auto"/>
            </w:tcBorders>
          </w:tcPr>
          <w:p w14:paraId="323EDF81" w14:textId="7990E783" w:rsidR="000F7773" w:rsidRDefault="00A66306" w:rsidP="00DB0816">
            <w:pPr>
              <w:rPr>
                <w:rFonts w:eastAsiaTheme="minorEastAsia" w:cs="Arial"/>
              </w:rPr>
            </w:pPr>
            <w:r w:rsidRPr="00A66306">
              <w:rPr>
                <w:rFonts w:ascii="Arial" w:eastAsiaTheme="minorEastAsia" w:cs="Arial"/>
                <w:position w:val="-10"/>
                <w:lang w:eastAsia="es-ES"/>
              </w:rPr>
              <w:object w:dxaOrig="240" w:dyaOrig="320" w14:anchorId="72F2EF48">
                <v:shape id="_x0000_i1433" type="#_x0000_t75" style="width:10.5pt;height:15.75pt" o:ole="">
                  <v:imagedata r:id="rId817" o:title=""/>
                </v:shape>
                <o:OLEObject Type="Embed" ProgID="Equation.DSMT4" ShapeID="_x0000_i1433" DrawAspect="Content" ObjectID="_1706015114" r:id="rId818"/>
              </w:object>
            </w:r>
            <w:r>
              <w:rPr>
                <w:rFonts w:ascii="Arial" w:eastAsiaTheme="minorEastAsia" w:cs="Arial"/>
                <w:lang w:eastAsia="es-ES"/>
              </w:rPr>
              <w:t xml:space="preserve"> </w:t>
            </w:r>
          </w:p>
        </w:tc>
        <w:tc>
          <w:tcPr>
            <w:tcW w:w="1301" w:type="dxa"/>
            <w:tcBorders>
              <w:top w:val="single" w:sz="4" w:space="0" w:color="auto"/>
            </w:tcBorders>
          </w:tcPr>
          <w:p w14:paraId="31112830" w14:textId="096B37D7" w:rsidR="000F7773" w:rsidRDefault="00E2345E" w:rsidP="00DB0816">
            <w:pPr>
              <w:rPr>
                <w:rFonts w:eastAsiaTheme="minorEastAsia" w:cs="Arial"/>
              </w:rPr>
            </w:pPr>
            <w:r w:rsidRPr="007641F6">
              <w:rPr>
                <w:rFonts w:ascii="Arial" w:eastAsiaTheme="minorEastAsia" w:cs="Arial"/>
                <w:position w:val="-14"/>
                <w:lang w:eastAsia="es-ES"/>
              </w:rPr>
              <w:object w:dxaOrig="540" w:dyaOrig="380" w14:anchorId="42E7F773">
                <v:shape id="_x0000_i1434" type="#_x0000_t75" style="width:25.5pt;height:20.25pt" o:ole="">
                  <v:imagedata r:id="rId819" o:title=""/>
                </v:shape>
                <o:OLEObject Type="Embed" ProgID="Equation.DSMT4" ShapeID="_x0000_i1434" DrawAspect="Content" ObjectID="_1706015115" r:id="rId820"/>
              </w:object>
            </w:r>
            <w:r w:rsidR="000F7773">
              <w:rPr>
                <w:rFonts w:eastAsiaTheme="minorEastAsia" w:cs="Arial"/>
              </w:rPr>
              <w:t xml:space="preserve"> </w:t>
            </w:r>
          </w:p>
        </w:tc>
      </w:tr>
      <w:tr w:rsidR="00A52CCD" w14:paraId="3B597F7D" w14:textId="77777777" w:rsidTr="00935E8F">
        <w:trPr>
          <w:trHeight w:val="553"/>
          <w:jc w:val="center"/>
        </w:trPr>
        <w:tc>
          <w:tcPr>
            <w:tcW w:w="1505" w:type="dxa"/>
          </w:tcPr>
          <w:p w14:paraId="741D2B3C" w14:textId="77777777" w:rsidR="000F7773" w:rsidRDefault="000F7773" w:rsidP="00DB0816">
            <w:pPr>
              <w:rPr>
                <w:rFonts w:eastAsiaTheme="minorEastAsia" w:cs="Arial"/>
              </w:rPr>
            </w:pPr>
            <w:r w:rsidRPr="00C817E7">
              <w:rPr>
                <w:rFonts w:ascii="Arial" w:eastAsiaTheme="minorEastAsia" w:cs="Arial"/>
                <w:position w:val="-12"/>
                <w:lang w:eastAsia="es-ES"/>
              </w:rPr>
              <w:object w:dxaOrig="999" w:dyaOrig="360" w14:anchorId="580CD530">
                <v:shape id="_x0000_i1435" type="#_x0000_t75" style="width:51.75pt;height:20.25pt" o:ole="">
                  <v:imagedata r:id="rId821" o:title=""/>
                </v:shape>
                <o:OLEObject Type="Embed" ProgID="Equation.DSMT4" ShapeID="_x0000_i1435" DrawAspect="Content" ObjectID="_1706015116" r:id="rId822"/>
              </w:object>
            </w:r>
            <w:r>
              <w:rPr>
                <w:rFonts w:eastAsiaTheme="minorEastAsia" w:cs="Arial"/>
              </w:rPr>
              <w:t xml:space="preserve"> </w:t>
            </w:r>
          </w:p>
        </w:tc>
        <w:tc>
          <w:tcPr>
            <w:tcW w:w="4885" w:type="dxa"/>
            <w:gridSpan w:val="2"/>
          </w:tcPr>
          <w:p w14:paraId="1E10889F" w14:textId="77777777" w:rsidR="000F7773" w:rsidRDefault="000F7773" w:rsidP="00DB0816">
            <w:pPr>
              <w:rPr>
                <w:rFonts w:eastAsiaTheme="minorEastAsia" w:cs="Arial"/>
              </w:rPr>
            </w:pPr>
            <w:r w:rsidRPr="007C349A">
              <w:rPr>
                <w:rFonts w:ascii="Arial" w:eastAsiaTheme="minorEastAsia" w:cs="Arial"/>
                <w:position w:val="-40"/>
                <w:lang w:eastAsia="es-ES"/>
              </w:rPr>
              <w:object w:dxaOrig="4080" w:dyaOrig="920" w14:anchorId="7F5B672E">
                <v:shape id="_x0000_i1436" type="#_x0000_t75" style="width:210.75pt;height:41.25pt" o:ole="">
                  <v:imagedata r:id="rId823" o:title=""/>
                </v:shape>
                <o:OLEObject Type="Embed" ProgID="Equation.DSMT4" ShapeID="_x0000_i1436" DrawAspect="Content" ObjectID="_1706015117" r:id="rId824"/>
              </w:object>
            </w:r>
            <w:r>
              <w:rPr>
                <w:rFonts w:eastAsiaTheme="minorEastAsia" w:cs="Arial"/>
              </w:rPr>
              <w:t xml:space="preserve"> </w:t>
            </w:r>
          </w:p>
        </w:tc>
        <w:tc>
          <w:tcPr>
            <w:tcW w:w="1335" w:type="dxa"/>
          </w:tcPr>
          <w:p w14:paraId="7B55FDEC" w14:textId="1B7A1473" w:rsidR="000F7773" w:rsidRDefault="003D1637" w:rsidP="00DB0816">
            <w:pPr>
              <w:rPr>
                <w:rFonts w:eastAsiaTheme="minorEastAsia" w:cs="Arial"/>
              </w:rPr>
            </w:pPr>
            <w:r w:rsidRPr="003D1637">
              <w:rPr>
                <w:rFonts w:ascii="Arial" w:eastAsiaTheme="minorEastAsia" w:cs="Arial"/>
                <w:position w:val="-6"/>
                <w:lang w:eastAsia="es-ES"/>
              </w:rPr>
              <w:object w:dxaOrig="180" w:dyaOrig="220" w14:anchorId="54FC0B45">
                <v:shape id="_x0000_i1437" type="#_x0000_t75" style="width:10.5pt;height:10.5pt" o:ole="">
                  <v:imagedata r:id="rId825" o:title=""/>
                </v:shape>
                <o:OLEObject Type="Embed" ProgID="Equation.DSMT4" ShapeID="_x0000_i1437" DrawAspect="Content" ObjectID="_1706015118" r:id="rId826"/>
              </w:object>
            </w:r>
            <w:r>
              <w:rPr>
                <w:rFonts w:ascii="Arial" w:eastAsiaTheme="minorEastAsia" w:cs="Arial"/>
                <w:lang w:eastAsia="es-ES"/>
              </w:rPr>
              <w:t xml:space="preserve"> </w:t>
            </w:r>
          </w:p>
        </w:tc>
        <w:tc>
          <w:tcPr>
            <w:tcW w:w="1301" w:type="dxa"/>
          </w:tcPr>
          <w:p w14:paraId="2CFB2F7C" w14:textId="77777777" w:rsidR="000F7773" w:rsidRDefault="000F7773" w:rsidP="00DB0816">
            <w:pPr>
              <w:rPr>
                <w:rFonts w:eastAsiaTheme="minorEastAsia" w:cs="Arial"/>
              </w:rPr>
            </w:pPr>
          </w:p>
        </w:tc>
      </w:tr>
      <w:tr w:rsidR="00A52CCD" w14:paraId="5763F50A" w14:textId="77777777" w:rsidTr="00935E8F">
        <w:trPr>
          <w:trHeight w:val="412"/>
          <w:jc w:val="center"/>
        </w:trPr>
        <w:tc>
          <w:tcPr>
            <w:tcW w:w="1505" w:type="dxa"/>
          </w:tcPr>
          <w:p w14:paraId="737CB746" w14:textId="77777777" w:rsidR="000F7773" w:rsidRDefault="000F7773" w:rsidP="00DB0816">
            <w:pPr>
              <w:rPr>
                <w:rFonts w:eastAsiaTheme="minorEastAsia" w:cs="Arial"/>
              </w:rPr>
            </w:pPr>
            <w:r w:rsidRPr="002843F0">
              <w:rPr>
                <w:rFonts w:ascii="Arial" w:eastAsiaTheme="minorEastAsia" w:cs="Arial"/>
                <w:position w:val="-10"/>
                <w:lang w:eastAsia="es-ES"/>
              </w:rPr>
              <w:object w:dxaOrig="1340" w:dyaOrig="320" w14:anchorId="34D1DB35">
                <v:shape id="_x0000_i1438" type="#_x0000_t75" style="width:66.75pt;height:15.75pt" o:ole="">
                  <v:imagedata r:id="rId827" o:title=""/>
                </v:shape>
                <o:OLEObject Type="Embed" ProgID="Equation.DSMT4" ShapeID="_x0000_i1438" DrawAspect="Content" ObjectID="_1706015119" r:id="rId828"/>
              </w:object>
            </w:r>
            <w:r>
              <w:rPr>
                <w:rFonts w:eastAsiaTheme="minorEastAsia" w:cs="Arial"/>
              </w:rPr>
              <w:t xml:space="preserve"> </w:t>
            </w:r>
          </w:p>
        </w:tc>
        <w:tc>
          <w:tcPr>
            <w:tcW w:w="4885" w:type="dxa"/>
            <w:gridSpan w:val="2"/>
          </w:tcPr>
          <w:p w14:paraId="128FE29B" w14:textId="77777777" w:rsidR="000F7773" w:rsidRDefault="000F7773" w:rsidP="00DB0816">
            <w:pPr>
              <w:tabs>
                <w:tab w:val="left" w:pos="980"/>
              </w:tabs>
              <w:rPr>
                <w:rFonts w:eastAsiaTheme="minorEastAsia" w:cs="Arial"/>
              </w:rPr>
            </w:pPr>
            <w:r w:rsidRPr="00685509">
              <w:rPr>
                <w:rFonts w:ascii="Arial" w:eastAsiaTheme="minorEastAsia" w:cs="Arial"/>
                <w:position w:val="-6"/>
                <w:lang w:eastAsia="es-ES"/>
              </w:rPr>
              <w:object w:dxaOrig="2140" w:dyaOrig="279" w14:anchorId="71D34303">
                <v:shape id="_x0000_i1439" type="#_x0000_t75" style="width:108pt;height:15.75pt" o:ole="">
                  <v:imagedata r:id="rId829" o:title=""/>
                </v:shape>
                <o:OLEObject Type="Embed" ProgID="Equation.DSMT4" ShapeID="_x0000_i1439" DrawAspect="Content" ObjectID="_1706015120" r:id="rId830"/>
              </w:object>
            </w:r>
            <w:r>
              <w:rPr>
                <w:rFonts w:eastAsiaTheme="minorEastAsia" w:cs="Arial"/>
              </w:rPr>
              <w:t xml:space="preserve"> </w:t>
            </w:r>
            <w:r>
              <w:rPr>
                <w:rFonts w:eastAsiaTheme="minorEastAsia" w:cs="Arial"/>
              </w:rPr>
              <w:tab/>
            </w:r>
          </w:p>
        </w:tc>
        <w:tc>
          <w:tcPr>
            <w:tcW w:w="1335" w:type="dxa"/>
          </w:tcPr>
          <w:p w14:paraId="34F5169F" w14:textId="059FB263" w:rsidR="000F7773" w:rsidRDefault="00A66306" w:rsidP="00DB0816">
            <w:pPr>
              <w:rPr>
                <w:rFonts w:eastAsiaTheme="minorEastAsia" w:cs="Arial"/>
              </w:rPr>
            </w:pPr>
            <w:r w:rsidRPr="00A66306">
              <w:rPr>
                <w:rFonts w:ascii="Arial" w:eastAsiaTheme="minorEastAsia" w:cs="Arial"/>
                <w:position w:val="-4"/>
                <w:lang w:eastAsia="es-ES"/>
              </w:rPr>
              <w:object w:dxaOrig="139" w:dyaOrig="260" w14:anchorId="3FA1D013">
                <v:shape id="_x0000_i1440" type="#_x0000_t75" style="width:5.25pt;height:15.75pt" o:ole="">
                  <v:imagedata r:id="rId831" o:title=""/>
                </v:shape>
                <o:OLEObject Type="Embed" ProgID="Equation.DSMT4" ShapeID="_x0000_i1440" DrawAspect="Content" ObjectID="_1706015121" r:id="rId832"/>
              </w:object>
            </w:r>
            <w:r>
              <w:rPr>
                <w:rFonts w:ascii="Arial" w:eastAsiaTheme="minorEastAsia" w:cs="Arial"/>
                <w:lang w:eastAsia="es-ES"/>
              </w:rPr>
              <w:t xml:space="preserve"> </w:t>
            </w:r>
          </w:p>
        </w:tc>
        <w:tc>
          <w:tcPr>
            <w:tcW w:w="1301" w:type="dxa"/>
          </w:tcPr>
          <w:p w14:paraId="3971A216" w14:textId="77777777" w:rsidR="000F7773" w:rsidRDefault="000F7773" w:rsidP="00DB0816">
            <w:pPr>
              <w:rPr>
                <w:rFonts w:eastAsiaTheme="minorEastAsia" w:cs="Arial"/>
              </w:rPr>
            </w:pPr>
            <w:r w:rsidRPr="00122457">
              <w:rPr>
                <w:rFonts w:ascii="Arial" w:eastAsiaTheme="minorEastAsia" w:cs="Arial"/>
                <w:position w:val="-6"/>
                <w:lang w:eastAsia="es-ES"/>
              </w:rPr>
              <w:object w:dxaOrig="1040" w:dyaOrig="279" w14:anchorId="417A9B8B">
                <v:shape id="_x0000_i1441" type="#_x0000_t75" style="width:51.75pt;height:15.75pt" o:ole="">
                  <v:imagedata r:id="rId833" o:title=""/>
                </v:shape>
                <o:OLEObject Type="Embed" ProgID="Equation.DSMT4" ShapeID="_x0000_i1441" DrawAspect="Content" ObjectID="_1706015122" r:id="rId834"/>
              </w:object>
            </w:r>
            <w:r>
              <w:rPr>
                <w:rFonts w:eastAsiaTheme="minorEastAsia" w:cs="Arial"/>
              </w:rPr>
              <w:t xml:space="preserve"> </w:t>
            </w:r>
          </w:p>
        </w:tc>
      </w:tr>
      <w:tr w:rsidR="00A52CCD" w14:paraId="731096AA" w14:textId="77777777" w:rsidTr="00935E8F">
        <w:trPr>
          <w:trHeight w:val="412"/>
          <w:jc w:val="center"/>
        </w:trPr>
        <w:tc>
          <w:tcPr>
            <w:tcW w:w="1505" w:type="dxa"/>
          </w:tcPr>
          <w:p w14:paraId="30BC72AD" w14:textId="77777777" w:rsidR="000F7773" w:rsidRDefault="000F7773" w:rsidP="00DB0816">
            <w:pPr>
              <w:rPr>
                <w:rFonts w:eastAsiaTheme="minorEastAsia" w:cs="Arial"/>
              </w:rPr>
            </w:pPr>
            <w:r w:rsidRPr="002843F0">
              <w:rPr>
                <w:rFonts w:ascii="Arial" w:eastAsiaTheme="minorEastAsia" w:cs="Arial"/>
                <w:position w:val="-10"/>
                <w:lang w:eastAsia="es-ES"/>
              </w:rPr>
              <w:object w:dxaOrig="1080" w:dyaOrig="320" w14:anchorId="17ADFF5C">
                <v:shape id="_x0000_i1442" type="#_x0000_t75" style="width:56.25pt;height:15.75pt" o:ole="">
                  <v:imagedata r:id="rId835" o:title=""/>
                </v:shape>
                <o:OLEObject Type="Embed" ProgID="Equation.DSMT4" ShapeID="_x0000_i1442" DrawAspect="Content" ObjectID="_1706015123" r:id="rId836"/>
              </w:object>
            </w:r>
            <w:r>
              <w:rPr>
                <w:rFonts w:eastAsiaTheme="minorEastAsia" w:cs="Arial"/>
              </w:rPr>
              <w:t xml:space="preserve"> </w:t>
            </w:r>
          </w:p>
        </w:tc>
        <w:tc>
          <w:tcPr>
            <w:tcW w:w="4885" w:type="dxa"/>
            <w:gridSpan w:val="2"/>
          </w:tcPr>
          <w:p w14:paraId="48881BDB" w14:textId="77777777" w:rsidR="000F7773" w:rsidRDefault="000F7773" w:rsidP="00DB0816">
            <w:pPr>
              <w:rPr>
                <w:rFonts w:eastAsiaTheme="minorEastAsia" w:cs="Arial"/>
              </w:rPr>
            </w:pPr>
            <w:r w:rsidRPr="000A1B36">
              <w:rPr>
                <w:rFonts w:ascii="Arial" w:eastAsiaTheme="minorEastAsia" w:cs="Arial"/>
                <w:position w:val="-106"/>
                <w:lang w:eastAsia="es-ES"/>
              </w:rPr>
              <w:object w:dxaOrig="4700" w:dyaOrig="2299" w14:anchorId="092A3A6D">
                <v:shape id="_x0000_i1443" type="#_x0000_t75" style="width:236.25pt;height:113.25pt" o:ole="">
                  <v:imagedata r:id="rId837" o:title=""/>
                </v:shape>
                <o:OLEObject Type="Embed" ProgID="Equation.DSMT4" ShapeID="_x0000_i1443" DrawAspect="Content" ObjectID="_1706015124" r:id="rId838"/>
              </w:object>
            </w:r>
            <w:r>
              <w:rPr>
                <w:rFonts w:eastAsiaTheme="minorEastAsia" w:cs="Arial"/>
              </w:rPr>
              <w:t xml:space="preserve"> </w:t>
            </w:r>
          </w:p>
        </w:tc>
        <w:tc>
          <w:tcPr>
            <w:tcW w:w="1335" w:type="dxa"/>
          </w:tcPr>
          <w:p w14:paraId="28A18590" w14:textId="6DE7FED0" w:rsidR="000F7773" w:rsidRDefault="00A52CCD" w:rsidP="00DB0816">
            <w:pPr>
              <w:rPr>
                <w:rFonts w:eastAsiaTheme="minorEastAsia" w:cs="Arial"/>
              </w:rPr>
            </w:pPr>
            <w:r w:rsidRPr="00A52CCD">
              <w:rPr>
                <w:rFonts w:ascii="Arial" w:eastAsiaTheme="minorEastAsia" w:cs="Arial"/>
                <w:position w:val="-4"/>
                <w:lang w:eastAsia="es-ES"/>
              </w:rPr>
              <w:object w:dxaOrig="139" w:dyaOrig="260" w14:anchorId="082A85C3">
                <v:shape id="_x0000_i1444" type="#_x0000_t75" style="width:5.25pt;height:15.75pt" o:ole="">
                  <v:imagedata r:id="rId839" o:title=""/>
                </v:shape>
                <o:OLEObject Type="Embed" ProgID="Equation.DSMT4" ShapeID="_x0000_i1444" DrawAspect="Content" ObjectID="_1706015125" r:id="rId840"/>
              </w:object>
            </w:r>
            <w:r>
              <w:rPr>
                <w:rFonts w:ascii="Arial" w:eastAsiaTheme="minorEastAsia" w:cs="Arial"/>
                <w:lang w:eastAsia="es-ES"/>
              </w:rPr>
              <w:t xml:space="preserve"> </w:t>
            </w:r>
          </w:p>
        </w:tc>
        <w:tc>
          <w:tcPr>
            <w:tcW w:w="1301" w:type="dxa"/>
          </w:tcPr>
          <w:p w14:paraId="578DB975" w14:textId="77777777" w:rsidR="000F7773" w:rsidRDefault="000F7773" w:rsidP="00DB0816">
            <w:pPr>
              <w:rPr>
                <w:rFonts w:eastAsiaTheme="minorEastAsia" w:cs="Arial"/>
              </w:rPr>
            </w:pPr>
            <w:r w:rsidRPr="00834384">
              <w:rPr>
                <w:rFonts w:ascii="Arial" w:eastAsiaTheme="minorEastAsia" w:cs="Arial"/>
                <w:position w:val="-6"/>
                <w:lang w:eastAsia="es-ES"/>
              </w:rPr>
              <w:object w:dxaOrig="1040" w:dyaOrig="279" w14:anchorId="696CD3C1">
                <v:shape id="_x0000_i1445" type="#_x0000_t75" style="width:51.75pt;height:15.75pt" o:ole="">
                  <v:imagedata r:id="rId841" o:title=""/>
                </v:shape>
                <o:OLEObject Type="Embed" ProgID="Equation.DSMT4" ShapeID="_x0000_i1445" DrawAspect="Content" ObjectID="_1706015126" r:id="rId842"/>
              </w:object>
            </w:r>
            <w:r>
              <w:rPr>
                <w:rFonts w:eastAsiaTheme="minorEastAsia" w:cs="Arial"/>
              </w:rPr>
              <w:t xml:space="preserve"> </w:t>
            </w:r>
          </w:p>
        </w:tc>
      </w:tr>
      <w:tr w:rsidR="00A52CCD" w14:paraId="4060A785" w14:textId="77777777" w:rsidTr="00935E8F">
        <w:trPr>
          <w:trHeight w:val="412"/>
          <w:jc w:val="center"/>
        </w:trPr>
        <w:tc>
          <w:tcPr>
            <w:tcW w:w="1505" w:type="dxa"/>
          </w:tcPr>
          <w:p w14:paraId="5E70FDCE" w14:textId="5DBF0ED1" w:rsidR="000F7773" w:rsidRDefault="00935E8F" w:rsidP="00DB0816">
            <w:pPr>
              <w:rPr>
                <w:rFonts w:eastAsiaTheme="minorEastAsia" w:cs="Arial"/>
              </w:rPr>
            </w:pPr>
            <w:r w:rsidRPr="00935E8F">
              <w:rPr>
                <w:rFonts w:ascii="Arial" w:eastAsiaTheme="minorEastAsia" w:cs="Arial"/>
                <w:position w:val="-8"/>
                <w:lang w:eastAsia="es-ES"/>
              </w:rPr>
              <w:object w:dxaOrig="1060" w:dyaOrig="260" w14:anchorId="0F0472E0">
                <v:shape id="_x0000_i1446" type="#_x0000_t75" style="width:51.75pt;height:15.75pt" o:ole="">
                  <v:imagedata r:id="rId843" o:title=""/>
                </v:shape>
                <o:OLEObject Type="Embed" ProgID="Equation.DSMT4" ShapeID="_x0000_i1446" DrawAspect="Content" ObjectID="_1706015127" r:id="rId844"/>
              </w:object>
            </w:r>
            <w:r w:rsidR="000F7773">
              <w:rPr>
                <w:rFonts w:eastAsiaTheme="minorEastAsia" w:cs="Arial"/>
              </w:rPr>
              <w:t xml:space="preserve"> </w:t>
            </w:r>
          </w:p>
        </w:tc>
        <w:tc>
          <w:tcPr>
            <w:tcW w:w="4885" w:type="dxa"/>
            <w:gridSpan w:val="2"/>
          </w:tcPr>
          <w:p w14:paraId="2FC5A007" w14:textId="6101B072" w:rsidR="000F7773" w:rsidRDefault="00DD6FC6" w:rsidP="00DB0816">
            <w:pPr>
              <w:rPr>
                <w:rFonts w:eastAsiaTheme="minorEastAsia" w:cs="Arial"/>
              </w:rPr>
            </w:pPr>
            <w:r w:rsidRPr="00755073">
              <w:rPr>
                <w:rFonts w:ascii="Arial" w:eastAsiaTheme="minorEastAsia" w:cs="Arial"/>
                <w:position w:val="-42"/>
                <w:lang w:eastAsia="es-ES"/>
              </w:rPr>
              <w:object w:dxaOrig="6560" w:dyaOrig="960" w14:anchorId="38B7B419">
                <v:shape id="_x0000_i1447" type="#_x0000_t75" style="width:236.25pt;height:41.25pt" o:ole="">
                  <v:imagedata r:id="rId845" o:title=""/>
                </v:shape>
                <o:OLEObject Type="Embed" ProgID="Equation.DSMT4" ShapeID="_x0000_i1447" DrawAspect="Content" ObjectID="_1706015128" r:id="rId846"/>
              </w:object>
            </w:r>
            <w:r w:rsidR="000F7773">
              <w:rPr>
                <w:rFonts w:eastAsiaTheme="minorEastAsia" w:cs="Arial"/>
              </w:rPr>
              <w:t xml:space="preserve"> </w:t>
            </w:r>
          </w:p>
        </w:tc>
        <w:tc>
          <w:tcPr>
            <w:tcW w:w="1335" w:type="dxa"/>
          </w:tcPr>
          <w:p w14:paraId="4B98FE5D" w14:textId="4EB70A4B" w:rsidR="000F7773" w:rsidRDefault="00A52CCD" w:rsidP="00DB0816">
            <w:pPr>
              <w:rPr>
                <w:rFonts w:eastAsiaTheme="minorEastAsia" w:cs="Arial"/>
              </w:rPr>
            </w:pPr>
            <w:r w:rsidRPr="00A52CCD">
              <w:rPr>
                <w:rFonts w:ascii="Arial" w:eastAsiaTheme="minorEastAsia" w:cs="Arial"/>
                <w:position w:val="-4"/>
                <w:lang w:eastAsia="es-ES"/>
              </w:rPr>
              <w:object w:dxaOrig="139" w:dyaOrig="260" w14:anchorId="4BAF2BBD">
                <v:shape id="_x0000_i1448" type="#_x0000_t75" style="width:5.25pt;height:15.75pt" o:ole="">
                  <v:imagedata r:id="rId847" o:title=""/>
                </v:shape>
                <o:OLEObject Type="Embed" ProgID="Equation.DSMT4" ShapeID="_x0000_i1448" DrawAspect="Content" ObjectID="_1706015129" r:id="rId848"/>
              </w:object>
            </w:r>
            <w:r>
              <w:rPr>
                <w:rFonts w:ascii="Arial" w:eastAsiaTheme="minorEastAsia" w:cs="Arial"/>
                <w:lang w:eastAsia="es-ES"/>
              </w:rPr>
              <w:t xml:space="preserve"> </w:t>
            </w:r>
          </w:p>
        </w:tc>
        <w:tc>
          <w:tcPr>
            <w:tcW w:w="1301" w:type="dxa"/>
          </w:tcPr>
          <w:p w14:paraId="47631D1C" w14:textId="77777777" w:rsidR="000F7773" w:rsidRDefault="000F7773" w:rsidP="00DB0816">
            <w:pPr>
              <w:rPr>
                <w:rFonts w:eastAsiaTheme="minorEastAsia" w:cs="Arial"/>
              </w:rPr>
            </w:pPr>
            <w:r w:rsidRPr="00E4486C">
              <w:rPr>
                <w:rFonts w:ascii="Arial" w:eastAsiaTheme="minorEastAsia" w:cs="Arial"/>
                <w:position w:val="-6"/>
                <w:lang w:eastAsia="es-ES"/>
              </w:rPr>
              <w:object w:dxaOrig="1060" w:dyaOrig="279" w14:anchorId="580ABC62">
                <v:shape id="_x0000_i1449" type="#_x0000_t75" style="width:51.75pt;height:15.75pt" o:ole="">
                  <v:imagedata r:id="rId849" o:title=""/>
                </v:shape>
                <o:OLEObject Type="Embed" ProgID="Equation.DSMT4" ShapeID="_x0000_i1449" DrawAspect="Content" ObjectID="_1706015130" r:id="rId850"/>
              </w:object>
            </w:r>
            <w:r>
              <w:rPr>
                <w:rFonts w:eastAsiaTheme="minorEastAsia" w:cs="Arial"/>
              </w:rPr>
              <w:t xml:space="preserve"> </w:t>
            </w:r>
          </w:p>
        </w:tc>
      </w:tr>
      <w:tr w:rsidR="00A52CCD" w14:paraId="49E8AAAC" w14:textId="77777777" w:rsidTr="00935E8F">
        <w:trPr>
          <w:trHeight w:val="412"/>
          <w:jc w:val="center"/>
        </w:trPr>
        <w:tc>
          <w:tcPr>
            <w:tcW w:w="1505" w:type="dxa"/>
          </w:tcPr>
          <w:p w14:paraId="570765D1" w14:textId="77777777" w:rsidR="000F7773" w:rsidRDefault="000F7773" w:rsidP="00DB0816">
            <w:pPr>
              <w:rPr>
                <w:rFonts w:eastAsiaTheme="minorEastAsia" w:cs="Arial"/>
              </w:rPr>
            </w:pPr>
            <w:r w:rsidRPr="00350363">
              <w:rPr>
                <w:rFonts w:ascii="Arial" w:eastAsiaTheme="minorEastAsia" w:cs="Arial"/>
                <w:position w:val="-10"/>
                <w:lang w:eastAsia="es-ES"/>
              </w:rPr>
              <w:object w:dxaOrig="1200" w:dyaOrig="279" w14:anchorId="2EE9E421">
                <v:shape id="_x0000_i1450" type="#_x0000_t75" style="width:66.75pt;height:15.75pt" o:ole="">
                  <v:imagedata r:id="rId851" o:title=""/>
                </v:shape>
                <o:OLEObject Type="Embed" ProgID="Equation.DSMT4" ShapeID="_x0000_i1450" DrawAspect="Content" ObjectID="_1706015131" r:id="rId852"/>
              </w:object>
            </w:r>
            <w:r>
              <w:rPr>
                <w:rFonts w:eastAsiaTheme="minorEastAsia" w:cs="Arial"/>
              </w:rPr>
              <w:t xml:space="preserve"> </w:t>
            </w:r>
          </w:p>
        </w:tc>
        <w:tc>
          <w:tcPr>
            <w:tcW w:w="4885" w:type="dxa"/>
            <w:gridSpan w:val="2"/>
          </w:tcPr>
          <w:p w14:paraId="51D9EE39" w14:textId="77777777" w:rsidR="000F7773" w:rsidRDefault="000F7773" w:rsidP="00DB0816">
            <w:pPr>
              <w:rPr>
                <w:rFonts w:eastAsiaTheme="minorEastAsia" w:cs="Arial"/>
              </w:rPr>
            </w:pPr>
            <w:r w:rsidRPr="00554177">
              <w:rPr>
                <w:rFonts w:ascii="Arial" w:eastAsiaTheme="minorEastAsia" w:cs="Arial"/>
                <w:position w:val="-24"/>
                <w:lang w:eastAsia="es-ES"/>
              </w:rPr>
              <w:object w:dxaOrig="2480" w:dyaOrig="620" w14:anchorId="5DE18860">
                <v:shape id="_x0000_i1451" type="#_x0000_t75" style="width:123.75pt;height:30.75pt" o:ole="">
                  <v:imagedata r:id="rId853" o:title=""/>
                </v:shape>
                <o:OLEObject Type="Embed" ProgID="Equation.DSMT4" ShapeID="_x0000_i1451" DrawAspect="Content" ObjectID="_1706015132" r:id="rId854"/>
              </w:object>
            </w:r>
            <w:r>
              <w:rPr>
                <w:rFonts w:eastAsiaTheme="minorEastAsia" w:cs="Arial"/>
              </w:rPr>
              <w:t xml:space="preserve"> </w:t>
            </w:r>
          </w:p>
        </w:tc>
        <w:tc>
          <w:tcPr>
            <w:tcW w:w="1335" w:type="dxa"/>
          </w:tcPr>
          <w:p w14:paraId="3094DEBE" w14:textId="2A5CFA6A" w:rsidR="000F7773" w:rsidRDefault="003E2008" w:rsidP="00DB0816">
            <w:pPr>
              <w:rPr>
                <w:rFonts w:eastAsiaTheme="minorEastAsia" w:cs="Arial"/>
              </w:rPr>
            </w:pPr>
            <w:r w:rsidRPr="003E2008">
              <w:rPr>
                <w:rFonts w:ascii="Arial" w:eastAsiaTheme="minorEastAsia" w:cs="Arial"/>
                <w:position w:val="-4"/>
                <w:lang w:eastAsia="es-ES"/>
              </w:rPr>
              <w:object w:dxaOrig="139" w:dyaOrig="260" w14:anchorId="4FAFAD1E">
                <v:shape id="_x0000_i1452" type="#_x0000_t75" style="width:5.25pt;height:15.75pt" o:ole="">
                  <v:imagedata r:id="rId855" o:title=""/>
                </v:shape>
                <o:OLEObject Type="Embed" ProgID="Equation.DSMT4" ShapeID="_x0000_i1452" DrawAspect="Content" ObjectID="_1706015133" r:id="rId856"/>
              </w:object>
            </w:r>
            <w:r>
              <w:rPr>
                <w:rFonts w:ascii="Arial" w:eastAsiaTheme="minorEastAsia" w:cs="Arial"/>
                <w:lang w:eastAsia="es-ES"/>
              </w:rPr>
              <w:t xml:space="preserve"> </w:t>
            </w:r>
            <w:r w:rsidR="003D1637" w:rsidRPr="003D1637">
              <w:rPr>
                <w:rFonts w:ascii="Arial" w:eastAsiaTheme="minorEastAsia" w:cs="Arial"/>
                <w:position w:val="-4"/>
                <w:lang w:eastAsia="es-ES"/>
              </w:rPr>
              <w:object w:dxaOrig="180" w:dyaOrig="279" w14:anchorId="18CFFFB5">
                <v:shape id="_x0000_i1453" type="#_x0000_t75" style="width:10.5pt;height:15.75pt" o:ole="">
                  <v:imagedata r:id="rId377" o:title=""/>
                </v:shape>
                <o:OLEObject Type="Embed" ProgID="Equation.DSMT4" ShapeID="_x0000_i1453" DrawAspect="Content" ObjectID="_1706015134" r:id="rId857"/>
              </w:object>
            </w:r>
            <w:r w:rsidR="003D1637">
              <w:rPr>
                <w:rFonts w:ascii="Arial" w:eastAsiaTheme="minorEastAsia" w:cs="Arial"/>
                <w:lang w:eastAsia="es-ES"/>
              </w:rPr>
              <w:t xml:space="preserve"> </w:t>
            </w:r>
          </w:p>
        </w:tc>
        <w:tc>
          <w:tcPr>
            <w:tcW w:w="1301" w:type="dxa"/>
          </w:tcPr>
          <w:p w14:paraId="5A31F74A" w14:textId="77777777" w:rsidR="000F7773" w:rsidRDefault="000F7773" w:rsidP="00DB0816">
            <w:pPr>
              <w:rPr>
                <w:rFonts w:eastAsiaTheme="minorEastAsia" w:cs="Arial"/>
              </w:rPr>
            </w:pPr>
            <w:r w:rsidRPr="00E4486C">
              <w:rPr>
                <w:rFonts w:ascii="Arial" w:eastAsiaTheme="minorEastAsia" w:cs="Arial"/>
                <w:position w:val="-6"/>
                <w:lang w:eastAsia="es-ES"/>
              </w:rPr>
              <w:object w:dxaOrig="1140" w:dyaOrig="279" w14:anchorId="2E0F168D">
                <v:shape id="_x0000_i1454" type="#_x0000_t75" style="width:56.25pt;height:15.75pt" o:ole="">
                  <v:imagedata r:id="rId858" o:title=""/>
                </v:shape>
                <o:OLEObject Type="Embed" ProgID="Equation.DSMT4" ShapeID="_x0000_i1454" DrawAspect="Content" ObjectID="_1706015135" r:id="rId859"/>
              </w:object>
            </w:r>
            <w:r>
              <w:rPr>
                <w:rFonts w:eastAsiaTheme="minorEastAsia" w:cs="Arial"/>
              </w:rPr>
              <w:t xml:space="preserve"> </w:t>
            </w:r>
          </w:p>
        </w:tc>
      </w:tr>
      <w:tr w:rsidR="00A52CCD" w14:paraId="514B8C79" w14:textId="77777777" w:rsidTr="00935E8F">
        <w:trPr>
          <w:trHeight w:val="412"/>
          <w:jc w:val="center"/>
        </w:trPr>
        <w:tc>
          <w:tcPr>
            <w:tcW w:w="1505" w:type="dxa"/>
          </w:tcPr>
          <w:p w14:paraId="7DE86BB0" w14:textId="77777777" w:rsidR="000F7773" w:rsidRDefault="000F7773" w:rsidP="00DB0816">
            <w:pPr>
              <w:rPr>
                <w:rFonts w:eastAsiaTheme="minorEastAsia" w:cs="Arial"/>
              </w:rPr>
            </w:pPr>
            <w:r w:rsidRPr="00741BF4">
              <w:rPr>
                <w:rFonts w:ascii="Arial" w:eastAsiaTheme="minorEastAsia" w:cs="Arial"/>
                <w:position w:val="-10"/>
                <w:lang w:eastAsia="es-ES"/>
              </w:rPr>
              <w:object w:dxaOrig="1160" w:dyaOrig="320" w14:anchorId="13E0EB47">
                <v:shape id="_x0000_i1455" type="#_x0000_t75" style="width:56.25pt;height:15.75pt" o:ole="">
                  <v:imagedata r:id="rId860" o:title=""/>
                </v:shape>
                <o:OLEObject Type="Embed" ProgID="Equation.DSMT4" ShapeID="_x0000_i1455" DrawAspect="Content" ObjectID="_1706015136" r:id="rId861"/>
              </w:object>
            </w:r>
            <w:r>
              <w:rPr>
                <w:rFonts w:eastAsiaTheme="minorEastAsia" w:cs="Arial"/>
              </w:rPr>
              <w:t xml:space="preserve"> </w:t>
            </w:r>
          </w:p>
        </w:tc>
        <w:tc>
          <w:tcPr>
            <w:tcW w:w="4885" w:type="dxa"/>
            <w:gridSpan w:val="2"/>
          </w:tcPr>
          <w:p w14:paraId="58782BA8" w14:textId="77777777" w:rsidR="000F7773" w:rsidRDefault="000F7773" w:rsidP="00DB0816">
            <w:pPr>
              <w:rPr>
                <w:rFonts w:eastAsiaTheme="minorEastAsia" w:cs="Arial"/>
              </w:rPr>
            </w:pPr>
            <w:r w:rsidRPr="002C6679">
              <w:rPr>
                <w:rFonts w:ascii="Arial" w:eastAsiaTheme="minorEastAsia" w:cs="Arial"/>
                <w:position w:val="-24"/>
                <w:lang w:eastAsia="es-ES"/>
              </w:rPr>
              <w:object w:dxaOrig="2140" w:dyaOrig="620" w14:anchorId="36AEC448">
                <v:shape id="_x0000_i1456" type="#_x0000_t75" style="width:108pt;height:30.75pt" o:ole="">
                  <v:imagedata r:id="rId862" o:title=""/>
                </v:shape>
                <o:OLEObject Type="Embed" ProgID="Equation.DSMT4" ShapeID="_x0000_i1456" DrawAspect="Content" ObjectID="_1706015137" r:id="rId863"/>
              </w:object>
            </w:r>
            <w:r>
              <w:rPr>
                <w:rFonts w:eastAsiaTheme="minorEastAsia" w:cs="Arial"/>
              </w:rPr>
              <w:t xml:space="preserve"> </w:t>
            </w:r>
          </w:p>
        </w:tc>
        <w:tc>
          <w:tcPr>
            <w:tcW w:w="1335" w:type="dxa"/>
          </w:tcPr>
          <w:p w14:paraId="152FBB74" w14:textId="68C20736" w:rsidR="000F7773" w:rsidRDefault="003E2008" w:rsidP="00DB0816">
            <w:pPr>
              <w:rPr>
                <w:rFonts w:eastAsiaTheme="minorEastAsia" w:cs="Arial"/>
              </w:rPr>
            </w:pPr>
            <w:r w:rsidRPr="003E2008">
              <w:rPr>
                <w:rFonts w:ascii="Arial" w:eastAsiaTheme="minorEastAsia" w:cs="Arial"/>
                <w:position w:val="-4"/>
                <w:lang w:eastAsia="es-ES"/>
              </w:rPr>
              <w:object w:dxaOrig="139" w:dyaOrig="260" w14:anchorId="029F5F60">
                <v:shape id="_x0000_i1457" type="#_x0000_t75" style="width:5.25pt;height:15.75pt" o:ole="">
                  <v:imagedata r:id="rId864" o:title=""/>
                </v:shape>
                <o:OLEObject Type="Embed" ProgID="Equation.DSMT4" ShapeID="_x0000_i1457" DrawAspect="Content" ObjectID="_1706015138" r:id="rId865"/>
              </w:object>
            </w:r>
            <w:r>
              <w:rPr>
                <w:rFonts w:ascii="Arial" w:eastAsiaTheme="minorEastAsia" w:cs="Arial"/>
                <w:lang w:eastAsia="es-ES"/>
              </w:rPr>
              <w:t xml:space="preserve"> </w:t>
            </w:r>
          </w:p>
        </w:tc>
        <w:tc>
          <w:tcPr>
            <w:tcW w:w="1301" w:type="dxa"/>
          </w:tcPr>
          <w:p w14:paraId="63370870" w14:textId="77777777" w:rsidR="000F7773" w:rsidRDefault="000F7773" w:rsidP="00DB0816">
            <w:pPr>
              <w:rPr>
                <w:rFonts w:eastAsiaTheme="minorEastAsia" w:cs="Arial"/>
              </w:rPr>
            </w:pPr>
            <w:r w:rsidRPr="00F168B3">
              <w:rPr>
                <w:rFonts w:ascii="Arial" w:eastAsiaTheme="minorEastAsia" w:cs="Arial"/>
                <w:position w:val="-6"/>
                <w:lang w:eastAsia="es-ES"/>
              </w:rPr>
              <w:object w:dxaOrig="859" w:dyaOrig="279" w14:anchorId="257CF39B">
                <v:shape id="_x0000_i1458" type="#_x0000_t75" style="width:41.25pt;height:15.75pt" o:ole="">
                  <v:imagedata r:id="rId866" o:title=""/>
                </v:shape>
                <o:OLEObject Type="Embed" ProgID="Equation.DSMT4" ShapeID="_x0000_i1458" DrawAspect="Content" ObjectID="_1706015139" r:id="rId867"/>
              </w:object>
            </w:r>
            <w:r>
              <w:rPr>
                <w:rFonts w:eastAsiaTheme="minorEastAsia" w:cs="Arial"/>
              </w:rPr>
              <w:t xml:space="preserve"> </w:t>
            </w:r>
          </w:p>
        </w:tc>
      </w:tr>
      <w:tr w:rsidR="00A52CCD" w14:paraId="632B238D" w14:textId="77777777" w:rsidTr="00935E8F">
        <w:trPr>
          <w:trHeight w:val="412"/>
          <w:jc w:val="center"/>
        </w:trPr>
        <w:tc>
          <w:tcPr>
            <w:tcW w:w="1505" w:type="dxa"/>
          </w:tcPr>
          <w:p w14:paraId="5A58EB5A" w14:textId="77777777" w:rsidR="000F7773" w:rsidRDefault="000F7773" w:rsidP="00DB0816">
            <w:pPr>
              <w:rPr>
                <w:rFonts w:eastAsiaTheme="minorEastAsia" w:cs="Arial"/>
              </w:rPr>
            </w:pPr>
            <w:r w:rsidRPr="00741BF4">
              <w:rPr>
                <w:rFonts w:ascii="Arial" w:eastAsiaTheme="minorEastAsia" w:cs="Arial"/>
                <w:position w:val="-10"/>
                <w:lang w:eastAsia="es-ES"/>
              </w:rPr>
              <w:object w:dxaOrig="1260" w:dyaOrig="279" w14:anchorId="459A48DD">
                <v:shape id="_x0000_i1459" type="#_x0000_t75" style="width:56.25pt;height:15.75pt" o:ole="">
                  <v:imagedata r:id="rId868" o:title=""/>
                </v:shape>
                <o:OLEObject Type="Embed" ProgID="Equation.DSMT4" ShapeID="_x0000_i1459" DrawAspect="Content" ObjectID="_1706015140" r:id="rId869"/>
              </w:object>
            </w:r>
            <w:r>
              <w:rPr>
                <w:rFonts w:eastAsiaTheme="minorEastAsia" w:cs="Arial"/>
              </w:rPr>
              <w:t xml:space="preserve"> </w:t>
            </w:r>
          </w:p>
        </w:tc>
        <w:tc>
          <w:tcPr>
            <w:tcW w:w="4885" w:type="dxa"/>
            <w:gridSpan w:val="2"/>
          </w:tcPr>
          <w:p w14:paraId="2049BD08" w14:textId="77777777" w:rsidR="000F7773" w:rsidRDefault="000F7773" w:rsidP="00DB0816">
            <w:pPr>
              <w:rPr>
                <w:rFonts w:eastAsiaTheme="minorEastAsia" w:cs="Arial"/>
              </w:rPr>
            </w:pPr>
            <w:r w:rsidRPr="0064124F">
              <w:rPr>
                <w:rFonts w:ascii="Arial" w:eastAsiaTheme="minorEastAsia" w:cs="Arial"/>
                <w:position w:val="-24"/>
                <w:lang w:eastAsia="es-ES"/>
              </w:rPr>
              <w:object w:dxaOrig="2460" w:dyaOrig="620" w14:anchorId="4AEA3208">
                <v:shape id="_x0000_i1460" type="#_x0000_t75" style="width:123.75pt;height:30.75pt" o:ole="">
                  <v:imagedata r:id="rId870" o:title=""/>
                </v:shape>
                <o:OLEObject Type="Embed" ProgID="Equation.DSMT4" ShapeID="_x0000_i1460" DrawAspect="Content" ObjectID="_1706015141" r:id="rId871"/>
              </w:object>
            </w:r>
            <w:r>
              <w:rPr>
                <w:rFonts w:eastAsiaTheme="minorEastAsia" w:cs="Arial"/>
              </w:rPr>
              <w:t xml:space="preserve"> </w:t>
            </w:r>
          </w:p>
        </w:tc>
        <w:tc>
          <w:tcPr>
            <w:tcW w:w="1335" w:type="dxa"/>
          </w:tcPr>
          <w:p w14:paraId="47E58D82" w14:textId="73BF5598" w:rsidR="000F7773" w:rsidRDefault="00A66306" w:rsidP="00DB0816">
            <w:pPr>
              <w:rPr>
                <w:rFonts w:eastAsiaTheme="minorEastAsia" w:cs="Arial"/>
              </w:rPr>
            </w:pPr>
            <w:r w:rsidRPr="003E2008">
              <w:rPr>
                <w:rFonts w:ascii="Arial" w:eastAsiaTheme="minorEastAsia" w:cs="Arial"/>
                <w:position w:val="-4"/>
                <w:lang w:eastAsia="es-ES"/>
              </w:rPr>
              <w:object w:dxaOrig="139" w:dyaOrig="260" w14:anchorId="065C1754">
                <v:shape id="_x0000_i1461" type="#_x0000_t75" style="width:5.25pt;height:15.75pt" o:ole="">
                  <v:imagedata r:id="rId872" o:title=""/>
                </v:shape>
                <o:OLEObject Type="Embed" ProgID="Equation.DSMT4" ShapeID="_x0000_i1461" DrawAspect="Content" ObjectID="_1706015142" r:id="rId873"/>
              </w:object>
            </w:r>
            <w:r w:rsidR="003E2008">
              <w:rPr>
                <w:rFonts w:eastAsiaTheme="minorEastAsia" w:cs="Arial"/>
              </w:rPr>
              <w:t xml:space="preserve"> </w:t>
            </w:r>
          </w:p>
        </w:tc>
        <w:tc>
          <w:tcPr>
            <w:tcW w:w="1301" w:type="dxa"/>
          </w:tcPr>
          <w:p w14:paraId="4C729782" w14:textId="77777777" w:rsidR="000F7773" w:rsidRDefault="000F7773" w:rsidP="00DB0816">
            <w:pPr>
              <w:rPr>
                <w:rFonts w:eastAsiaTheme="minorEastAsia" w:cs="Arial"/>
              </w:rPr>
            </w:pPr>
            <w:r w:rsidRPr="00F168B3">
              <w:rPr>
                <w:rFonts w:ascii="Arial" w:eastAsiaTheme="minorEastAsia" w:cs="Arial"/>
                <w:position w:val="-6"/>
                <w:lang w:eastAsia="es-ES"/>
              </w:rPr>
              <w:object w:dxaOrig="1200" w:dyaOrig="279" w14:anchorId="0CFC41DF">
                <v:shape id="_x0000_i1462" type="#_x0000_t75" style="width:51.75pt;height:15.75pt" o:ole="">
                  <v:imagedata r:id="rId874" o:title=""/>
                </v:shape>
                <o:OLEObject Type="Embed" ProgID="Equation.DSMT4" ShapeID="_x0000_i1462" DrawAspect="Content" ObjectID="_1706015143" r:id="rId875"/>
              </w:object>
            </w:r>
            <w:r>
              <w:rPr>
                <w:rFonts w:eastAsiaTheme="minorEastAsia" w:cs="Arial"/>
              </w:rPr>
              <w:t xml:space="preserve"> </w:t>
            </w:r>
          </w:p>
        </w:tc>
      </w:tr>
      <w:tr w:rsidR="00A52CCD" w14:paraId="257C4B5F" w14:textId="77777777" w:rsidTr="00935E8F">
        <w:trPr>
          <w:trHeight w:val="412"/>
          <w:jc w:val="center"/>
        </w:trPr>
        <w:tc>
          <w:tcPr>
            <w:tcW w:w="1505" w:type="dxa"/>
            <w:tcBorders>
              <w:bottom w:val="single" w:sz="4" w:space="0" w:color="auto"/>
            </w:tcBorders>
          </w:tcPr>
          <w:p w14:paraId="08FFC373" w14:textId="77777777" w:rsidR="000F7773" w:rsidRDefault="000F7773" w:rsidP="00DB0816">
            <w:pPr>
              <w:rPr>
                <w:rFonts w:eastAsiaTheme="minorEastAsia" w:cs="Arial"/>
              </w:rPr>
            </w:pPr>
            <w:r w:rsidRPr="00810168">
              <w:rPr>
                <w:rFonts w:ascii="Arial" w:eastAsiaTheme="minorEastAsia" w:cs="Arial"/>
                <w:position w:val="-10"/>
                <w:lang w:eastAsia="es-ES"/>
              </w:rPr>
              <w:object w:dxaOrig="1280" w:dyaOrig="320" w14:anchorId="4477BCB0">
                <v:shape id="_x0000_i1463" type="#_x0000_t75" style="width:66.75pt;height:15.75pt" o:ole="">
                  <v:imagedata r:id="rId876" o:title=""/>
                </v:shape>
                <o:OLEObject Type="Embed" ProgID="Equation.DSMT4" ShapeID="_x0000_i1463" DrawAspect="Content" ObjectID="_1706015144" r:id="rId877"/>
              </w:object>
            </w:r>
            <w:r>
              <w:rPr>
                <w:rFonts w:eastAsiaTheme="minorEastAsia" w:cs="Arial"/>
              </w:rPr>
              <w:t xml:space="preserve"> </w:t>
            </w:r>
          </w:p>
        </w:tc>
        <w:tc>
          <w:tcPr>
            <w:tcW w:w="4885" w:type="dxa"/>
            <w:gridSpan w:val="2"/>
            <w:tcBorders>
              <w:bottom w:val="single" w:sz="4" w:space="0" w:color="auto"/>
            </w:tcBorders>
          </w:tcPr>
          <w:p w14:paraId="56F9C37B" w14:textId="77777777" w:rsidR="000F7773" w:rsidRDefault="000F7773" w:rsidP="00DB0816">
            <w:pPr>
              <w:rPr>
                <w:rFonts w:eastAsiaTheme="minorEastAsia" w:cs="Arial"/>
              </w:rPr>
            </w:pPr>
            <w:r w:rsidRPr="0064124F">
              <w:rPr>
                <w:rFonts w:ascii="Arial" w:eastAsiaTheme="minorEastAsia" w:cs="Arial"/>
                <w:position w:val="-6"/>
                <w:lang w:eastAsia="es-ES"/>
              </w:rPr>
              <w:object w:dxaOrig="3120" w:dyaOrig="279" w14:anchorId="408E7A03">
                <v:shape id="_x0000_i1464" type="#_x0000_t75" style="width:149.25pt;height:15.75pt" o:ole="">
                  <v:imagedata r:id="rId878" o:title=""/>
                </v:shape>
                <o:OLEObject Type="Embed" ProgID="Equation.DSMT4" ShapeID="_x0000_i1464" DrawAspect="Content" ObjectID="_1706015145" r:id="rId879"/>
              </w:object>
            </w:r>
            <w:r>
              <w:rPr>
                <w:rFonts w:eastAsiaTheme="minorEastAsia" w:cs="Arial"/>
              </w:rPr>
              <w:t xml:space="preserve"> </w:t>
            </w:r>
          </w:p>
        </w:tc>
        <w:tc>
          <w:tcPr>
            <w:tcW w:w="1335" w:type="dxa"/>
            <w:tcBorders>
              <w:bottom w:val="single" w:sz="4" w:space="0" w:color="auto"/>
            </w:tcBorders>
          </w:tcPr>
          <w:p w14:paraId="46CD2212" w14:textId="0819C175" w:rsidR="000F7773" w:rsidRDefault="00A66306" w:rsidP="00DB0816">
            <w:pPr>
              <w:rPr>
                <w:rFonts w:eastAsiaTheme="minorEastAsia" w:cs="Arial"/>
              </w:rPr>
            </w:pPr>
            <w:r w:rsidRPr="00A66306">
              <w:rPr>
                <w:rFonts w:ascii="Arial" w:eastAsiaTheme="minorEastAsia" w:cs="Arial"/>
                <w:position w:val="-4"/>
                <w:lang w:eastAsia="es-ES"/>
              </w:rPr>
              <w:object w:dxaOrig="139" w:dyaOrig="260" w14:anchorId="46FCE156">
                <v:shape id="_x0000_i1465" type="#_x0000_t75" style="width:5.25pt;height:15.75pt" o:ole="">
                  <v:imagedata r:id="rId880" o:title=""/>
                </v:shape>
                <o:OLEObject Type="Embed" ProgID="Equation.DSMT4" ShapeID="_x0000_i1465" DrawAspect="Content" ObjectID="_1706015146" r:id="rId881"/>
              </w:object>
            </w:r>
            <w:r>
              <w:rPr>
                <w:rFonts w:eastAsiaTheme="minorEastAsia" w:cs="Arial"/>
              </w:rPr>
              <w:t xml:space="preserve"> </w:t>
            </w:r>
          </w:p>
        </w:tc>
        <w:tc>
          <w:tcPr>
            <w:tcW w:w="1301" w:type="dxa"/>
            <w:tcBorders>
              <w:bottom w:val="single" w:sz="4" w:space="0" w:color="auto"/>
            </w:tcBorders>
          </w:tcPr>
          <w:p w14:paraId="46A0E4F4" w14:textId="77777777" w:rsidR="000F7773" w:rsidRDefault="000F7773" w:rsidP="00DB0816">
            <w:pPr>
              <w:rPr>
                <w:rFonts w:eastAsiaTheme="minorEastAsia" w:cs="Arial"/>
              </w:rPr>
            </w:pPr>
            <w:r w:rsidRPr="000A372A">
              <w:rPr>
                <w:rFonts w:ascii="Arial" w:eastAsiaTheme="minorEastAsia" w:cs="Arial"/>
                <w:position w:val="-6"/>
                <w:lang w:eastAsia="es-ES"/>
              </w:rPr>
              <w:object w:dxaOrig="960" w:dyaOrig="279" w14:anchorId="4FC99049">
                <v:shape id="_x0000_i1466" type="#_x0000_t75" style="width:41.25pt;height:15.75pt" o:ole="">
                  <v:imagedata r:id="rId882" o:title=""/>
                </v:shape>
                <o:OLEObject Type="Embed" ProgID="Equation.DSMT4" ShapeID="_x0000_i1466" DrawAspect="Content" ObjectID="_1706015147" r:id="rId883"/>
              </w:object>
            </w:r>
            <w:r>
              <w:rPr>
                <w:rFonts w:eastAsiaTheme="minorEastAsia" w:cs="Arial"/>
              </w:rPr>
              <w:t xml:space="preserve"> </w:t>
            </w:r>
          </w:p>
        </w:tc>
      </w:tr>
    </w:tbl>
    <w:p w14:paraId="1A968FA5" w14:textId="52C6C56F" w:rsidR="000F7773" w:rsidRPr="00220F06" w:rsidRDefault="000F7773" w:rsidP="000F7773">
      <w:pPr>
        <w:rPr>
          <w:rFonts w:cs="Arial"/>
          <w:sz w:val="18"/>
        </w:rPr>
      </w:pPr>
      <w:r w:rsidRPr="00220F06">
        <w:rPr>
          <w:rFonts w:cs="Arial"/>
          <w:sz w:val="18"/>
        </w:rPr>
        <w:t xml:space="preserve">Fuente: </w:t>
      </w:r>
      <w:r w:rsidRPr="00220F06">
        <w:rPr>
          <w:rFonts w:cs="Arial"/>
          <w:sz w:val="18"/>
        </w:rPr>
        <w:fldChar w:fldCharType="begin" w:fldLock="1"/>
      </w:r>
      <w:r w:rsidR="00475856">
        <w:rPr>
          <w:rFonts w:cs="Arial"/>
          <w:sz w:val="18"/>
        </w:rPr>
        <w:instrText>ADDIN CSL_CITATION {"citationItems":[{"id":"ITEM-1","itemData":{"author":[{"dropping-particle":"","family":"McDonald","given":"Scott","non-dropping-particle":"","parse-names":false,"suffix":""},{"dropping-particle":"","family":"Thierfelder","given":"Karen","non-dropping-particle":"","parse-names":false,"suffix":""}],"id":"ITEM-1","issue":"January","issued":{"date-parts":[["2017"]]},"number-of-pages":"1-89","title":"A Static Applied General Equilibrium Model: Technical Documentation - STAGE_int Version","type":"report"},"uris":["http://www.mendeley.com/documents/?uuid=83316eb5-e8df-4029-aa83-a2c1fd511a0d"]}],"mendeley":{"formattedCitation":"(McDonald &amp; Thierfelder, 2017)","manualFormatting":"McDonald &amp; Thierfelder (2017)","plainTextFormattedCitation":"(McDonald &amp; Thierfelder, 2017)","previouslyFormattedCitation":"(McDonald &amp; Thierfelder, 2017)"},"properties":{"noteIndex":0},"schema":"https://github.com/citation-style-language/schema/raw/master/csl-citation.json"}</w:instrText>
      </w:r>
      <w:r w:rsidRPr="00220F06">
        <w:rPr>
          <w:rFonts w:cs="Arial"/>
          <w:sz w:val="18"/>
        </w:rPr>
        <w:fldChar w:fldCharType="separate"/>
      </w:r>
      <w:r w:rsidRPr="00220F06">
        <w:rPr>
          <w:rFonts w:cs="Arial"/>
          <w:noProof/>
          <w:sz w:val="18"/>
        </w:rPr>
        <w:t>McDonald &amp; Thierfelder (2017)</w:t>
      </w:r>
      <w:r w:rsidRPr="00220F06">
        <w:rPr>
          <w:rFonts w:cs="Arial"/>
          <w:sz w:val="18"/>
        </w:rPr>
        <w:fldChar w:fldCharType="end"/>
      </w:r>
      <w:r w:rsidRPr="00220F06">
        <w:rPr>
          <w:rFonts w:cs="Arial"/>
          <w:sz w:val="18"/>
        </w:rPr>
        <w:t>.</w:t>
      </w:r>
    </w:p>
    <w:p w14:paraId="1D116EE1" w14:textId="37D2BAAB" w:rsidR="000F7773" w:rsidRDefault="000F7773" w:rsidP="00FB4C93">
      <w:pPr>
        <w:spacing w:line="240" w:lineRule="auto"/>
        <w:rPr>
          <w:rFonts w:eastAsiaTheme="minorEastAsia" w:cs="Arial"/>
        </w:rPr>
      </w:pPr>
      <w:r>
        <w:rPr>
          <w:rFonts w:eastAsiaTheme="minorEastAsia" w:cs="Arial"/>
        </w:rPr>
        <w:t xml:space="preserve">Finalmente, en la </w:t>
      </w:r>
      <w:r w:rsidR="00A77D30">
        <w:rPr>
          <w:rFonts w:eastAsiaTheme="minorEastAsia" w:cs="Arial"/>
        </w:rPr>
        <w:fldChar w:fldCharType="begin"/>
      </w:r>
      <w:r w:rsidR="00A77D30">
        <w:rPr>
          <w:rFonts w:eastAsiaTheme="minorEastAsia" w:cs="Arial"/>
        </w:rPr>
        <w:instrText xml:space="preserve"> REF _Ref524946862 \h </w:instrText>
      </w:r>
      <w:r w:rsidR="00A77D30">
        <w:instrText>\* lower</w:instrText>
      </w:r>
      <w:r w:rsidR="00A77D30">
        <w:rPr>
          <w:rFonts w:eastAsiaTheme="minorEastAsia" w:cs="Arial"/>
        </w:rPr>
        <w:instrText xml:space="preserve"> </w:instrText>
      </w:r>
      <w:r w:rsidR="00A77D30">
        <w:rPr>
          <w:rFonts w:eastAsiaTheme="minorEastAsia" w:cs="Arial"/>
        </w:rPr>
      </w:r>
      <w:r w:rsidR="00A77D30">
        <w:rPr>
          <w:rFonts w:eastAsiaTheme="minorEastAsia" w:cs="Arial"/>
        </w:rPr>
        <w:fldChar w:fldCharType="separate"/>
      </w:r>
      <w:r w:rsidR="00A95E32">
        <w:t xml:space="preserve">tabla </w:t>
      </w:r>
      <w:r w:rsidR="00A95E32">
        <w:rPr>
          <w:noProof/>
        </w:rPr>
        <w:t>18</w:t>
      </w:r>
      <w:r w:rsidR="00A77D30">
        <w:rPr>
          <w:rFonts w:eastAsiaTheme="minorEastAsia" w:cs="Arial"/>
        </w:rPr>
        <w:fldChar w:fldCharType="end"/>
      </w:r>
      <w:r w:rsidR="00A77D30">
        <w:rPr>
          <w:rFonts w:eastAsiaTheme="minorEastAsia" w:cs="Arial"/>
        </w:rPr>
        <w:t xml:space="preserve"> </w:t>
      </w:r>
      <w:r>
        <w:rPr>
          <w:rFonts w:eastAsiaTheme="minorEastAsia" w:cs="Arial"/>
        </w:rPr>
        <w:t xml:space="preserve">se muestran las reglas de cierre del modelo, es decir; el modelo puede tomar la forma que el investigador considere necesarias para simular el país, región, ciudad en cuestión. La primera regla consiste en suponer un tipo de </w:t>
      </w:r>
      <w:r>
        <w:rPr>
          <w:rFonts w:eastAsiaTheme="minorEastAsia" w:cs="Arial"/>
        </w:rPr>
        <w:lastRenderedPageBreak/>
        <w:t xml:space="preserve">cambio fijo, o una cuenta corriente fija, siendo el primero recomendado a países con esquemas cambiarios fijos. La segunda ecuaciones corresponden a fijar los precios internacionales, esto es llamado </w:t>
      </w:r>
      <w:r w:rsidR="00E2345E">
        <w:rPr>
          <w:rFonts w:eastAsiaTheme="minorEastAsia" w:cs="Arial"/>
        </w:rPr>
        <w:t>el</w:t>
      </w:r>
      <w:r>
        <w:rPr>
          <w:rFonts w:eastAsiaTheme="minorEastAsia" w:cs="Arial"/>
        </w:rPr>
        <w:t xml:space="preserve"> supuesto de país pequeño, donde es tomador de precios.</w:t>
      </w:r>
    </w:p>
    <w:p w14:paraId="269314C9" w14:textId="4039F8D7" w:rsidR="000F7773" w:rsidRDefault="000F7773" w:rsidP="00FB4C93">
      <w:pPr>
        <w:spacing w:line="240" w:lineRule="auto"/>
        <w:rPr>
          <w:rFonts w:eastAsiaTheme="minorEastAsia" w:cs="Arial"/>
        </w:rPr>
      </w:pPr>
      <w:r>
        <w:rPr>
          <w:rFonts w:eastAsiaTheme="minorEastAsia" w:cs="Arial"/>
        </w:rPr>
        <w:t xml:space="preserve">En el caso de la inversión es necesario que algunas de las herramientas estén libres para cerrar el sistema, pudiendo ser cualquiera de las </w:t>
      </w:r>
      <w:r w:rsidR="005D5547">
        <w:rPr>
          <w:rFonts w:eastAsiaTheme="minorEastAsia" w:cs="Arial"/>
        </w:rPr>
        <w:t>presentes</w:t>
      </w:r>
      <w:r>
        <w:rPr>
          <w:rFonts w:eastAsiaTheme="minorEastAsia" w:cs="Arial"/>
        </w:rPr>
        <w:t xml:space="preserve"> en reglón 3 de la</w:t>
      </w:r>
      <w:r w:rsidR="00A77D30">
        <w:rPr>
          <w:rFonts w:eastAsiaTheme="minorEastAsia" w:cs="Arial"/>
        </w:rPr>
        <w:t xml:space="preserve"> </w:t>
      </w:r>
      <w:r w:rsidR="00A77D30">
        <w:rPr>
          <w:rFonts w:eastAsiaTheme="minorEastAsia" w:cs="Arial"/>
        </w:rPr>
        <w:fldChar w:fldCharType="begin"/>
      </w:r>
      <w:r w:rsidR="00A77D30">
        <w:rPr>
          <w:rFonts w:eastAsiaTheme="minorEastAsia" w:cs="Arial"/>
        </w:rPr>
        <w:instrText xml:space="preserve"> REF _Ref524946862 \h </w:instrText>
      </w:r>
      <w:r w:rsidR="00A77D30">
        <w:instrText>\* lower</w:instrText>
      </w:r>
      <w:r w:rsidR="00A77D30">
        <w:rPr>
          <w:rFonts w:eastAsiaTheme="minorEastAsia" w:cs="Arial"/>
        </w:rPr>
        <w:instrText xml:space="preserve"> </w:instrText>
      </w:r>
      <w:r w:rsidR="00A77D30">
        <w:rPr>
          <w:rFonts w:eastAsiaTheme="minorEastAsia" w:cs="Arial"/>
        </w:rPr>
      </w:r>
      <w:r w:rsidR="00A77D30">
        <w:rPr>
          <w:rFonts w:eastAsiaTheme="minorEastAsia" w:cs="Arial"/>
        </w:rPr>
        <w:fldChar w:fldCharType="separate"/>
      </w:r>
      <w:r w:rsidR="00A95E32">
        <w:t xml:space="preserve">tabla </w:t>
      </w:r>
      <w:r w:rsidR="00A95E32">
        <w:rPr>
          <w:noProof/>
        </w:rPr>
        <w:t>18</w:t>
      </w:r>
      <w:r w:rsidR="00A77D30">
        <w:rPr>
          <w:rFonts w:eastAsiaTheme="minorEastAsia" w:cs="Arial"/>
        </w:rPr>
        <w:fldChar w:fldCharType="end"/>
      </w:r>
      <w:r>
        <w:rPr>
          <w:rFonts w:eastAsiaTheme="minorEastAsia" w:cs="Arial"/>
        </w:rPr>
        <w:t>, de manera similar ocurre con los impuestos, donde también es necesario dejar al menos una variable que vacié el modelo. Para el gobierno es necesario que alguna al menos dos de las variables que ajustan el consumo se mantengan fijas y las demás varíen. En el caso de los índices de precios es necesario mantener uno de los dos fijos.</w:t>
      </w:r>
    </w:p>
    <w:p w14:paraId="73912CD2" w14:textId="2E5EFA6D" w:rsidR="000F7773" w:rsidRPr="00547661" w:rsidRDefault="000F7773" w:rsidP="000F7773">
      <w:pPr>
        <w:pStyle w:val="Caption"/>
      </w:pPr>
      <w:bookmarkStart w:id="139" w:name="_Ref524946862"/>
      <w:bookmarkStart w:id="140" w:name="_Toc524946956"/>
      <w:bookmarkStart w:id="141" w:name="_Toc525033960"/>
      <w:bookmarkStart w:id="142" w:name="_Toc526175261"/>
      <w:bookmarkStart w:id="143" w:name="_Ref526934662"/>
      <w:bookmarkStart w:id="144" w:name="_Toc2853708"/>
      <w:r>
        <w:t xml:space="preserve">Tabla </w:t>
      </w:r>
      <w:r w:rsidR="00F700CF">
        <w:rPr>
          <w:noProof/>
        </w:rPr>
        <w:fldChar w:fldCharType="begin"/>
      </w:r>
      <w:r w:rsidR="00F700CF">
        <w:rPr>
          <w:noProof/>
        </w:rPr>
        <w:instrText xml:space="preserve"> SEQ Tabla \* ARABIC </w:instrText>
      </w:r>
      <w:r w:rsidR="00F700CF">
        <w:rPr>
          <w:noProof/>
        </w:rPr>
        <w:fldChar w:fldCharType="separate"/>
      </w:r>
      <w:r w:rsidR="00A95E32">
        <w:rPr>
          <w:noProof/>
        </w:rPr>
        <w:t>18</w:t>
      </w:r>
      <w:r w:rsidR="00F700CF">
        <w:rPr>
          <w:noProof/>
        </w:rPr>
        <w:fldChar w:fldCharType="end"/>
      </w:r>
      <w:bookmarkEnd w:id="139"/>
      <w:r>
        <w:t xml:space="preserve"> </w:t>
      </w:r>
      <w:r>
        <w:br/>
      </w:r>
      <w:r w:rsidRPr="00A534DE">
        <w:t xml:space="preserve">Bloque de Cierre del </w:t>
      </w:r>
      <w:r w:rsidR="002A2FE8">
        <w:t>M</w:t>
      </w:r>
      <w:r w:rsidRPr="00A534DE">
        <w:t>odelo</w:t>
      </w:r>
      <w:bookmarkEnd w:id="140"/>
      <w:bookmarkEnd w:id="141"/>
      <w:bookmarkEnd w:id="142"/>
      <w:bookmarkEnd w:id="143"/>
      <w:bookmarkEnd w:id="144"/>
    </w:p>
    <w:tbl>
      <w:tblPr>
        <w:tblStyle w:val="TableGrid"/>
        <w:tblW w:w="911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416"/>
        <w:gridCol w:w="1698"/>
      </w:tblGrid>
      <w:tr w:rsidR="000F7773" w14:paraId="47184081" w14:textId="77777777" w:rsidTr="00700471">
        <w:trPr>
          <w:trHeight w:val="563"/>
          <w:jc w:val="center"/>
        </w:trPr>
        <w:tc>
          <w:tcPr>
            <w:tcW w:w="7015" w:type="dxa"/>
            <w:tcBorders>
              <w:top w:val="single" w:sz="4" w:space="0" w:color="auto"/>
              <w:bottom w:val="single" w:sz="4" w:space="0" w:color="auto"/>
            </w:tcBorders>
          </w:tcPr>
          <w:p w14:paraId="23717146" w14:textId="77777777" w:rsidR="000F7773" w:rsidRPr="002A2FE8" w:rsidRDefault="000F7773" w:rsidP="00DB0816">
            <w:pPr>
              <w:rPr>
                <w:rFonts w:ascii="Arial" w:eastAsiaTheme="minorEastAsia" w:cs="Arial"/>
              </w:rPr>
            </w:pPr>
            <w:r w:rsidRPr="002A2FE8">
              <w:rPr>
                <w:rFonts w:ascii="Arial" w:eastAsiaTheme="minorEastAsia" w:cs="Arial"/>
              </w:rPr>
              <w:t xml:space="preserve">Variables </w:t>
            </w:r>
          </w:p>
        </w:tc>
        <w:tc>
          <w:tcPr>
            <w:tcW w:w="2099" w:type="dxa"/>
            <w:tcBorders>
              <w:top w:val="single" w:sz="4" w:space="0" w:color="auto"/>
              <w:bottom w:val="single" w:sz="4" w:space="0" w:color="auto"/>
            </w:tcBorders>
          </w:tcPr>
          <w:p w14:paraId="52133D01" w14:textId="77777777" w:rsidR="000F7773" w:rsidRPr="002A2FE8" w:rsidRDefault="000F7773" w:rsidP="00DB0816">
            <w:pPr>
              <w:jc w:val="center"/>
              <w:rPr>
                <w:rFonts w:ascii="Arial" w:eastAsiaTheme="minorEastAsia" w:cs="Arial"/>
              </w:rPr>
            </w:pPr>
            <w:r w:rsidRPr="002A2FE8">
              <w:rPr>
                <w:rFonts w:ascii="Arial" w:eastAsiaTheme="minorEastAsia" w:cs="Arial"/>
              </w:rPr>
              <w:t>Numero de variables</w:t>
            </w:r>
          </w:p>
        </w:tc>
      </w:tr>
      <w:tr w:rsidR="000F7773" w14:paraId="016818AE" w14:textId="77777777" w:rsidTr="00700471">
        <w:trPr>
          <w:trHeight w:val="500"/>
          <w:jc w:val="center"/>
        </w:trPr>
        <w:tc>
          <w:tcPr>
            <w:tcW w:w="7015" w:type="dxa"/>
            <w:tcBorders>
              <w:top w:val="single" w:sz="4" w:space="0" w:color="auto"/>
            </w:tcBorders>
          </w:tcPr>
          <w:p w14:paraId="086F7959" w14:textId="77777777" w:rsidR="000F7773" w:rsidRPr="007704AF" w:rsidRDefault="000F7773" w:rsidP="00DB0816">
            <w:pPr>
              <w:rPr>
                <w:rFonts w:eastAsiaTheme="minorEastAsia" w:cs="Arial"/>
                <w:lang w:val="en-US"/>
              </w:rPr>
            </w:pPr>
            <w:r w:rsidRPr="00DA383D">
              <w:rPr>
                <w:rFonts w:ascii="Arial" w:eastAsiaTheme="minorEastAsia" w:cs="Arial"/>
                <w:position w:val="-6"/>
                <w:lang w:eastAsia="es-ES"/>
              </w:rPr>
              <w:object w:dxaOrig="1800" w:dyaOrig="440" w14:anchorId="02B120A8">
                <v:shape id="_x0000_i1467" type="#_x0000_t75" style="width:92.25pt;height:20.25pt" o:ole="">
                  <v:imagedata r:id="rId884" o:title=""/>
                </v:shape>
                <o:OLEObject Type="Embed" ProgID="Equation.DSMT4" ShapeID="_x0000_i1467" DrawAspect="Content" ObjectID="_1706015148" r:id="rId885"/>
              </w:object>
            </w:r>
            <w:r>
              <w:rPr>
                <w:rFonts w:eastAsiaTheme="minorEastAsia" w:cs="Arial"/>
              </w:rPr>
              <w:t xml:space="preserve"> </w:t>
            </w:r>
          </w:p>
        </w:tc>
        <w:tc>
          <w:tcPr>
            <w:tcW w:w="2099" w:type="dxa"/>
            <w:tcBorders>
              <w:top w:val="single" w:sz="4" w:space="0" w:color="auto"/>
            </w:tcBorders>
          </w:tcPr>
          <w:p w14:paraId="378EEEB3" w14:textId="79507507" w:rsidR="000F7773" w:rsidRDefault="00B63A5B" w:rsidP="00DB0816">
            <w:pPr>
              <w:jc w:val="center"/>
              <w:rPr>
                <w:rFonts w:eastAsiaTheme="minorEastAsia" w:cs="Arial"/>
              </w:rPr>
            </w:pPr>
            <w:r w:rsidRPr="00B63A5B">
              <w:rPr>
                <w:rFonts w:ascii="Arial" w:eastAsiaTheme="minorEastAsia" w:cs="Arial"/>
                <w:position w:val="-4"/>
                <w:lang w:eastAsia="es-ES"/>
              </w:rPr>
              <w:object w:dxaOrig="139" w:dyaOrig="260" w14:anchorId="4C46C4B4">
                <v:shape id="_x0000_i1468" type="#_x0000_t75" style="width:5.25pt;height:15.75pt" o:ole="">
                  <v:imagedata r:id="rId886" o:title=""/>
                </v:shape>
                <o:OLEObject Type="Embed" ProgID="Equation.DSMT4" ShapeID="_x0000_i1468" DrawAspect="Content" ObjectID="_1706015149" r:id="rId887"/>
              </w:object>
            </w:r>
          </w:p>
        </w:tc>
      </w:tr>
      <w:tr w:rsidR="000F7773" w14:paraId="1CE2C9DD" w14:textId="77777777" w:rsidTr="00700471">
        <w:trPr>
          <w:trHeight w:val="624"/>
          <w:jc w:val="center"/>
        </w:trPr>
        <w:tc>
          <w:tcPr>
            <w:tcW w:w="7015" w:type="dxa"/>
          </w:tcPr>
          <w:p w14:paraId="118781E9" w14:textId="39047C72" w:rsidR="000F7773" w:rsidRDefault="003D52BF" w:rsidP="00DB0816">
            <w:pPr>
              <w:rPr>
                <w:rFonts w:eastAsiaTheme="minorEastAsia" w:cs="Arial"/>
              </w:rPr>
            </w:pPr>
            <w:r w:rsidRPr="003D52BF">
              <w:rPr>
                <w:rFonts w:ascii="Arial" w:eastAsia="Times New Roman" w:cs="Times New Roman"/>
                <w:position w:val="-12"/>
                <w:lang w:eastAsia="es-ES"/>
              </w:rPr>
              <w:object w:dxaOrig="3040" w:dyaOrig="499" w14:anchorId="27DBE1C3">
                <v:shape id="_x0000_i1469" type="#_x0000_t75" style="width:154.5pt;height:25.5pt" o:ole="">
                  <v:imagedata r:id="rId888" o:title=""/>
                </v:shape>
                <o:OLEObject Type="Embed" ProgID="Equation.DSMT4" ShapeID="_x0000_i1469" DrawAspect="Content" ObjectID="_1706015150" r:id="rId889"/>
              </w:object>
            </w:r>
            <w:r>
              <w:rPr>
                <w:rFonts w:eastAsiaTheme="minorEastAsia" w:cs="Arial"/>
              </w:rPr>
              <w:t xml:space="preserve"> </w:t>
            </w:r>
          </w:p>
        </w:tc>
        <w:tc>
          <w:tcPr>
            <w:tcW w:w="2099" w:type="dxa"/>
          </w:tcPr>
          <w:p w14:paraId="168F920D" w14:textId="77777777" w:rsidR="000F7773" w:rsidRDefault="000F7773" w:rsidP="00DB0816">
            <w:pPr>
              <w:jc w:val="center"/>
              <w:rPr>
                <w:rFonts w:eastAsiaTheme="minorEastAsia" w:cs="Arial"/>
              </w:rPr>
            </w:pPr>
            <w:r w:rsidRPr="00B31D39">
              <w:rPr>
                <w:rFonts w:ascii="Arial" w:eastAsiaTheme="minorEastAsia" w:cs="Arial"/>
                <w:position w:val="-6"/>
                <w:lang w:eastAsia="es-ES"/>
              </w:rPr>
              <w:object w:dxaOrig="300" w:dyaOrig="279" w14:anchorId="5F19076E">
                <v:shape id="_x0000_i1470" type="#_x0000_t75" style="width:15.75pt;height:15.75pt" o:ole="">
                  <v:imagedata r:id="rId890" o:title=""/>
                </v:shape>
                <o:OLEObject Type="Embed" ProgID="Equation.DSMT4" ShapeID="_x0000_i1470" DrawAspect="Content" ObjectID="_1706015151" r:id="rId891"/>
              </w:object>
            </w:r>
          </w:p>
        </w:tc>
      </w:tr>
      <w:tr w:rsidR="000F7773" w14:paraId="47E4D202" w14:textId="77777777" w:rsidTr="00700471">
        <w:trPr>
          <w:trHeight w:val="465"/>
          <w:jc w:val="center"/>
        </w:trPr>
        <w:tc>
          <w:tcPr>
            <w:tcW w:w="7015" w:type="dxa"/>
          </w:tcPr>
          <w:p w14:paraId="4366E9E8" w14:textId="405F5FA5" w:rsidR="000F7773" w:rsidRDefault="00193E81" w:rsidP="00DB0816">
            <w:pPr>
              <w:tabs>
                <w:tab w:val="left" w:pos="980"/>
              </w:tabs>
              <w:rPr>
                <w:rFonts w:eastAsiaTheme="minorEastAsia" w:cs="Arial"/>
              </w:rPr>
            </w:pPr>
            <w:r w:rsidRPr="00193E81">
              <w:rPr>
                <w:rFonts w:ascii="Arial" w:eastAsiaTheme="minorEastAsia" w:cs="Arial"/>
                <w:position w:val="-10"/>
                <w:lang w:eastAsia="es-ES"/>
              </w:rPr>
              <w:object w:dxaOrig="6160" w:dyaOrig="480" w14:anchorId="1BE19B4D">
                <v:shape id="_x0000_i1471" type="#_x0000_t75" style="width:308.25pt;height:25.5pt" o:ole="">
                  <v:imagedata r:id="rId892" o:title=""/>
                </v:shape>
                <o:OLEObject Type="Embed" ProgID="Equation.DSMT4" ShapeID="_x0000_i1471" DrawAspect="Content" ObjectID="_1706015152" r:id="rId893"/>
              </w:object>
            </w:r>
            <w:r>
              <w:rPr>
                <w:rFonts w:ascii="Arial" w:eastAsiaTheme="minorEastAsia" w:cs="Arial"/>
                <w:lang w:eastAsia="es-ES"/>
              </w:rPr>
              <w:t xml:space="preserve"> </w:t>
            </w:r>
            <w:r w:rsidR="000F7773">
              <w:rPr>
                <w:rFonts w:eastAsiaTheme="minorEastAsia" w:cs="Arial"/>
              </w:rPr>
              <w:tab/>
            </w:r>
          </w:p>
        </w:tc>
        <w:tc>
          <w:tcPr>
            <w:tcW w:w="2099" w:type="dxa"/>
          </w:tcPr>
          <w:p w14:paraId="5E283778" w14:textId="13D61526" w:rsidR="000F7773" w:rsidRDefault="009C28C5" w:rsidP="00DB0816">
            <w:pPr>
              <w:jc w:val="center"/>
              <w:rPr>
                <w:rFonts w:eastAsiaTheme="minorEastAsia" w:cs="Arial"/>
              </w:rPr>
            </w:pPr>
            <w:r w:rsidRPr="00B63A5B">
              <w:rPr>
                <w:rFonts w:ascii="Arial" w:eastAsiaTheme="minorEastAsia" w:cs="Arial"/>
                <w:position w:val="-4"/>
                <w:lang w:eastAsia="es-ES"/>
              </w:rPr>
              <w:object w:dxaOrig="139" w:dyaOrig="260" w14:anchorId="77CFA531">
                <v:shape id="_x0000_i1472" type="#_x0000_t75" style="width:5.25pt;height:15.75pt" o:ole="">
                  <v:imagedata r:id="rId894" o:title=""/>
                </v:shape>
                <o:OLEObject Type="Embed" ProgID="Equation.DSMT4" ShapeID="_x0000_i1472" DrawAspect="Content" ObjectID="_1706015153" r:id="rId895"/>
              </w:object>
            </w:r>
            <w:r w:rsidR="00B63A5B">
              <w:rPr>
                <w:rFonts w:eastAsiaTheme="minorEastAsia" w:cs="Arial"/>
              </w:rPr>
              <w:t xml:space="preserve"> </w:t>
            </w:r>
          </w:p>
        </w:tc>
      </w:tr>
      <w:tr w:rsidR="000F7773" w14:paraId="453B9A07" w14:textId="77777777" w:rsidTr="00700471">
        <w:trPr>
          <w:trHeight w:val="465"/>
          <w:jc w:val="center"/>
        </w:trPr>
        <w:tc>
          <w:tcPr>
            <w:tcW w:w="7015" w:type="dxa"/>
          </w:tcPr>
          <w:p w14:paraId="30596148" w14:textId="4625C4F8" w:rsidR="000F7773" w:rsidRDefault="00193E81" w:rsidP="00DB0816">
            <w:pPr>
              <w:rPr>
                <w:rFonts w:eastAsiaTheme="minorEastAsia" w:cs="Arial"/>
              </w:rPr>
            </w:pPr>
            <w:r w:rsidRPr="00193E81">
              <w:rPr>
                <w:rFonts w:ascii="Arial" w:eastAsiaTheme="minorEastAsia" w:cs="Arial"/>
                <w:position w:val="-10"/>
                <w:lang w:eastAsia="es-ES"/>
              </w:rPr>
              <w:object w:dxaOrig="3140" w:dyaOrig="480" w14:anchorId="5EBBFF98">
                <v:shape id="_x0000_i1473" type="#_x0000_t75" style="width:159.75pt;height:25.5pt" o:ole="">
                  <v:imagedata r:id="rId896" o:title=""/>
                </v:shape>
                <o:OLEObject Type="Embed" ProgID="Equation.DSMT4" ShapeID="_x0000_i1473" DrawAspect="Content" ObjectID="_1706015154" r:id="rId897"/>
              </w:object>
            </w:r>
            <w:r>
              <w:rPr>
                <w:rFonts w:ascii="Arial" w:eastAsiaTheme="minorEastAsia" w:cs="Arial"/>
                <w:lang w:eastAsia="es-ES"/>
              </w:rPr>
              <w:t xml:space="preserve"> </w:t>
            </w:r>
          </w:p>
        </w:tc>
        <w:tc>
          <w:tcPr>
            <w:tcW w:w="2099" w:type="dxa"/>
          </w:tcPr>
          <w:p w14:paraId="6FF5D6BA" w14:textId="21CE3C7E" w:rsidR="000F7773" w:rsidRDefault="009C28C5" w:rsidP="00DB0816">
            <w:pPr>
              <w:jc w:val="center"/>
              <w:rPr>
                <w:rFonts w:eastAsiaTheme="minorEastAsia" w:cs="Arial"/>
              </w:rPr>
            </w:pPr>
            <w:r w:rsidRPr="009C28C5">
              <w:rPr>
                <w:rFonts w:ascii="Arial" w:eastAsiaTheme="minorEastAsia" w:cs="Arial"/>
                <w:position w:val="-4"/>
                <w:lang w:eastAsia="es-ES"/>
              </w:rPr>
              <w:object w:dxaOrig="139" w:dyaOrig="260" w14:anchorId="7E40575F">
                <v:shape id="_x0000_i1474" type="#_x0000_t75" style="width:5.25pt;height:15.75pt" o:ole="">
                  <v:imagedata r:id="rId898" o:title=""/>
                </v:shape>
                <o:OLEObject Type="Embed" ProgID="Equation.DSMT4" ShapeID="_x0000_i1474" DrawAspect="Content" ObjectID="_1706015155" r:id="rId899"/>
              </w:object>
            </w:r>
            <w:r>
              <w:rPr>
                <w:rFonts w:eastAsiaTheme="minorEastAsia" w:cs="Arial"/>
              </w:rPr>
              <w:t xml:space="preserve"> </w:t>
            </w:r>
          </w:p>
        </w:tc>
      </w:tr>
      <w:tr w:rsidR="000F7773" w14:paraId="5F2AC038" w14:textId="77777777" w:rsidTr="00700471">
        <w:trPr>
          <w:trHeight w:val="465"/>
          <w:jc w:val="center"/>
        </w:trPr>
        <w:tc>
          <w:tcPr>
            <w:tcW w:w="7015" w:type="dxa"/>
          </w:tcPr>
          <w:p w14:paraId="1A90CD25" w14:textId="77777777" w:rsidR="000F7773" w:rsidRDefault="000F7773" w:rsidP="00DB0816">
            <w:pPr>
              <w:rPr>
                <w:rFonts w:eastAsiaTheme="minorEastAsia" w:cs="Arial"/>
              </w:rPr>
            </w:pPr>
            <w:r w:rsidRPr="008B1879">
              <w:rPr>
                <w:rFonts w:ascii="Arial" w:eastAsiaTheme="minorEastAsia" w:cs="Arial"/>
                <w:position w:val="-60"/>
                <w:lang w:eastAsia="es-ES"/>
              </w:rPr>
              <w:object w:dxaOrig="7200" w:dyaOrig="1380" w14:anchorId="2CC39B94">
                <v:shape id="_x0000_i1475" type="#_x0000_t75" style="width:5in;height:66.75pt" o:ole="">
                  <v:imagedata r:id="rId900" o:title=""/>
                </v:shape>
                <o:OLEObject Type="Embed" ProgID="Equation.DSMT4" ShapeID="_x0000_i1475" DrawAspect="Content" ObjectID="_1706015156" r:id="rId901"/>
              </w:object>
            </w:r>
            <w:r>
              <w:rPr>
                <w:rFonts w:eastAsiaTheme="minorEastAsia" w:cs="Arial"/>
              </w:rPr>
              <w:t xml:space="preserve"> </w:t>
            </w:r>
          </w:p>
        </w:tc>
        <w:tc>
          <w:tcPr>
            <w:tcW w:w="2099" w:type="dxa"/>
          </w:tcPr>
          <w:p w14:paraId="401ACCAC" w14:textId="227E4295" w:rsidR="000F7773" w:rsidRDefault="009C28C5" w:rsidP="00DB0816">
            <w:pPr>
              <w:jc w:val="center"/>
              <w:rPr>
                <w:rFonts w:eastAsiaTheme="minorEastAsia" w:cs="Arial"/>
              </w:rPr>
            </w:pPr>
            <w:r w:rsidRPr="009C28C5">
              <w:rPr>
                <w:rFonts w:ascii="Arial" w:eastAsiaTheme="minorEastAsia" w:cs="Arial"/>
                <w:position w:val="-6"/>
                <w:lang w:eastAsia="es-ES"/>
              </w:rPr>
              <w:object w:dxaOrig="200" w:dyaOrig="279" w14:anchorId="78F18ECB">
                <v:shape id="_x0000_i1476" type="#_x0000_t75" style="width:10.5pt;height:15.75pt" o:ole="">
                  <v:imagedata r:id="rId902" o:title=""/>
                </v:shape>
                <o:OLEObject Type="Embed" ProgID="Equation.DSMT4" ShapeID="_x0000_i1476" DrawAspect="Content" ObjectID="_1706015157" r:id="rId903"/>
              </w:object>
            </w:r>
            <w:r>
              <w:rPr>
                <w:rFonts w:ascii="Arial" w:eastAsiaTheme="minorEastAsia" w:cs="Arial"/>
                <w:lang w:eastAsia="es-ES"/>
              </w:rPr>
              <w:t xml:space="preserve"> </w:t>
            </w:r>
          </w:p>
        </w:tc>
      </w:tr>
      <w:tr w:rsidR="000F7773" w14:paraId="5D0D0BC3" w14:textId="77777777" w:rsidTr="00700471">
        <w:trPr>
          <w:trHeight w:val="465"/>
          <w:jc w:val="center"/>
        </w:trPr>
        <w:tc>
          <w:tcPr>
            <w:tcW w:w="7015" w:type="dxa"/>
          </w:tcPr>
          <w:p w14:paraId="061D071A" w14:textId="753CB1A7" w:rsidR="000F7773" w:rsidRDefault="003D52BF" w:rsidP="00DB0816">
            <w:pPr>
              <w:rPr>
                <w:rFonts w:eastAsiaTheme="minorEastAsia" w:cs="Arial"/>
              </w:rPr>
            </w:pPr>
            <w:r w:rsidRPr="003D52BF">
              <w:rPr>
                <w:rFonts w:ascii="Arial" w:eastAsiaTheme="minorEastAsia" w:cs="Arial"/>
                <w:position w:val="-10"/>
                <w:lang w:eastAsia="es-ES"/>
              </w:rPr>
              <w:object w:dxaOrig="6860" w:dyaOrig="480" w14:anchorId="5C9A713A">
                <v:shape id="_x0000_i1477" type="#_x0000_t75" style="width:344.25pt;height:25.5pt" o:ole="">
                  <v:imagedata r:id="rId904" o:title=""/>
                </v:shape>
                <o:OLEObject Type="Embed" ProgID="Equation.DSMT4" ShapeID="_x0000_i1477" DrawAspect="Content" ObjectID="_1706015158" r:id="rId905"/>
              </w:object>
            </w:r>
            <w:r>
              <w:rPr>
                <w:rFonts w:ascii="Arial" w:eastAsiaTheme="minorEastAsia" w:cs="Arial"/>
                <w:lang w:eastAsia="es-ES"/>
              </w:rPr>
              <w:t xml:space="preserve"> </w:t>
            </w:r>
          </w:p>
        </w:tc>
        <w:tc>
          <w:tcPr>
            <w:tcW w:w="2099" w:type="dxa"/>
          </w:tcPr>
          <w:p w14:paraId="22A6335C" w14:textId="78B47319" w:rsidR="000F7773" w:rsidRDefault="009C28C5" w:rsidP="00DB0816">
            <w:pPr>
              <w:jc w:val="center"/>
              <w:rPr>
                <w:rFonts w:eastAsiaTheme="minorEastAsia" w:cs="Arial"/>
              </w:rPr>
            </w:pPr>
            <w:r w:rsidRPr="009C28C5">
              <w:rPr>
                <w:rFonts w:ascii="Arial" w:eastAsiaTheme="minorEastAsia" w:cs="Arial"/>
                <w:position w:val="-6"/>
                <w:lang w:eastAsia="es-ES"/>
              </w:rPr>
              <w:object w:dxaOrig="180" w:dyaOrig="279" w14:anchorId="1818A31F">
                <v:shape id="_x0000_i1478" type="#_x0000_t75" style="width:10.5pt;height:15.75pt" o:ole="">
                  <v:imagedata r:id="rId906" o:title=""/>
                </v:shape>
                <o:OLEObject Type="Embed" ProgID="Equation.DSMT4" ShapeID="_x0000_i1478" DrawAspect="Content" ObjectID="_1706015159" r:id="rId907"/>
              </w:object>
            </w:r>
            <w:r>
              <w:rPr>
                <w:rFonts w:ascii="Arial" w:eastAsiaTheme="minorEastAsia" w:cs="Arial"/>
                <w:lang w:eastAsia="es-ES"/>
              </w:rPr>
              <w:t xml:space="preserve"> </w:t>
            </w:r>
          </w:p>
        </w:tc>
      </w:tr>
      <w:tr w:rsidR="000F7773" w14:paraId="2B58E462" w14:textId="77777777" w:rsidTr="00700471">
        <w:trPr>
          <w:trHeight w:val="465"/>
          <w:jc w:val="center"/>
        </w:trPr>
        <w:tc>
          <w:tcPr>
            <w:tcW w:w="7015" w:type="dxa"/>
          </w:tcPr>
          <w:p w14:paraId="588932A5" w14:textId="28874313" w:rsidR="000F7773" w:rsidRDefault="00935E8F" w:rsidP="00DB0816">
            <w:pPr>
              <w:rPr>
                <w:rFonts w:eastAsiaTheme="minorEastAsia" w:cs="Arial"/>
              </w:rPr>
            </w:pPr>
            <w:r w:rsidRPr="003D52BF">
              <w:rPr>
                <w:rFonts w:ascii="Arial" w:eastAsiaTheme="minorEastAsia" w:cs="Arial"/>
                <w:position w:val="-14"/>
                <w:lang w:eastAsia="es-ES"/>
              </w:rPr>
              <w:object w:dxaOrig="2100" w:dyaOrig="520" w14:anchorId="6F8074B0">
                <v:shape id="_x0000_i1479" type="#_x0000_t75" style="width:102.75pt;height:25.5pt" o:ole="">
                  <v:imagedata r:id="rId908" o:title=""/>
                </v:shape>
                <o:OLEObject Type="Embed" ProgID="Equation.DSMT4" ShapeID="_x0000_i1479" DrawAspect="Content" ObjectID="_1706015160" r:id="rId909"/>
              </w:object>
            </w:r>
            <w:r w:rsidR="003D52BF">
              <w:rPr>
                <w:rFonts w:ascii="Arial" w:eastAsiaTheme="minorEastAsia" w:cs="Arial"/>
                <w:lang w:eastAsia="es-ES"/>
              </w:rPr>
              <w:t xml:space="preserve"> </w:t>
            </w:r>
          </w:p>
        </w:tc>
        <w:tc>
          <w:tcPr>
            <w:tcW w:w="2099" w:type="dxa"/>
          </w:tcPr>
          <w:p w14:paraId="2268D8FB" w14:textId="77777777" w:rsidR="000F7773" w:rsidRPr="00000529" w:rsidRDefault="000F7773" w:rsidP="00DB0816">
            <w:pPr>
              <w:jc w:val="center"/>
              <w:rPr>
                <w:rFonts w:eastAsiaTheme="minorEastAsia" w:cs="Arial"/>
                <w:lang w:val="en-US"/>
              </w:rPr>
            </w:pPr>
            <w:r w:rsidRPr="00C35561">
              <w:rPr>
                <w:rFonts w:ascii="Arial" w:eastAsiaTheme="minorEastAsia" w:cs="Arial"/>
                <w:position w:val="-14"/>
                <w:lang w:eastAsia="es-ES"/>
              </w:rPr>
              <w:object w:dxaOrig="1200" w:dyaOrig="400" w14:anchorId="1A382BA5">
                <v:shape id="_x0000_i1480" type="#_x0000_t75" style="width:66.75pt;height:20.25pt" o:ole="">
                  <v:imagedata r:id="rId910" o:title=""/>
                </v:shape>
                <o:OLEObject Type="Embed" ProgID="Equation.DSMT4" ShapeID="_x0000_i1480" DrawAspect="Content" ObjectID="_1706015161" r:id="rId911"/>
              </w:object>
            </w:r>
            <w:r>
              <w:rPr>
                <w:rFonts w:eastAsiaTheme="minorEastAsia" w:cs="Arial"/>
              </w:rPr>
              <w:t xml:space="preserve"> </w:t>
            </w:r>
          </w:p>
        </w:tc>
      </w:tr>
      <w:tr w:rsidR="000F7773" w14:paraId="1F4419ED" w14:textId="77777777" w:rsidTr="00700471">
        <w:trPr>
          <w:trHeight w:val="465"/>
          <w:jc w:val="center"/>
        </w:trPr>
        <w:tc>
          <w:tcPr>
            <w:tcW w:w="7015" w:type="dxa"/>
            <w:tcBorders>
              <w:bottom w:val="single" w:sz="4" w:space="0" w:color="auto"/>
            </w:tcBorders>
          </w:tcPr>
          <w:p w14:paraId="0C3E5D38" w14:textId="77777777" w:rsidR="000F7773" w:rsidRDefault="000F7773" w:rsidP="00DB0816">
            <w:pPr>
              <w:rPr>
                <w:rFonts w:eastAsiaTheme="minorEastAsia" w:cs="Arial"/>
              </w:rPr>
            </w:pPr>
            <w:r w:rsidRPr="003140D3">
              <w:rPr>
                <w:rFonts w:ascii="Arial" w:eastAsiaTheme="minorEastAsia" w:cs="Arial"/>
                <w:position w:val="-6"/>
                <w:lang w:eastAsia="es-ES"/>
              </w:rPr>
              <w:object w:dxaOrig="1340" w:dyaOrig="440" w14:anchorId="77EF1F12">
                <v:shape id="_x0000_i1481" type="#_x0000_t75" style="width:66.75pt;height:20.25pt" o:ole="">
                  <v:imagedata r:id="rId912" o:title=""/>
                </v:shape>
                <o:OLEObject Type="Embed" ProgID="Equation.DSMT4" ShapeID="_x0000_i1481" DrawAspect="Content" ObjectID="_1706015162" r:id="rId913"/>
              </w:object>
            </w:r>
            <w:r>
              <w:rPr>
                <w:rFonts w:eastAsiaTheme="minorEastAsia" w:cs="Arial"/>
              </w:rPr>
              <w:t xml:space="preserve"> </w:t>
            </w:r>
          </w:p>
        </w:tc>
        <w:tc>
          <w:tcPr>
            <w:tcW w:w="2099" w:type="dxa"/>
            <w:tcBorders>
              <w:bottom w:val="single" w:sz="4" w:space="0" w:color="auto"/>
            </w:tcBorders>
          </w:tcPr>
          <w:p w14:paraId="4F8AEA1C" w14:textId="397C9533" w:rsidR="000F7773" w:rsidRDefault="00A41BFA" w:rsidP="00DB0816">
            <w:pPr>
              <w:jc w:val="center"/>
              <w:rPr>
                <w:rFonts w:eastAsiaTheme="minorEastAsia" w:cs="Arial"/>
              </w:rPr>
            </w:pPr>
            <w:r w:rsidRPr="00A41BFA">
              <w:rPr>
                <w:rFonts w:ascii="Arial" w:eastAsiaTheme="minorEastAsia" w:cs="Arial"/>
                <w:position w:val="-4"/>
                <w:lang w:eastAsia="es-ES"/>
              </w:rPr>
              <w:object w:dxaOrig="139" w:dyaOrig="260" w14:anchorId="75057135">
                <v:shape id="_x0000_i1482" type="#_x0000_t75" style="width:5.25pt;height:15.75pt" o:ole="">
                  <v:imagedata r:id="rId914" o:title=""/>
                </v:shape>
                <o:OLEObject Type="Embed" ProgID="Equation.DSMT4" ShapeID="_x0000_i1482" DrawAspect="Content" ObjectID="_1706015163" r:id="rId915"/>
              </w:object>
            </w:r>
          </w:p>
        </w:tc>
      </w:tr>
    </w:tbl>
    <w:p w14:paraId="25AD7746" w14:textId="3A59248F" w:rsidR="005B1409" w:rsidRDefault="000F7773" w:rsidP="00172E44">
      <w:pPr>
        <w:rPr>
          <w:rFonts w:cs="Arial"/>
          <w:sz w:val="18"/>
        </w:rPr>
      </w:pPr>
      <w:r w:rsidRPr="00220F06">
        <w:rPr>
          <w:rFonts w:cs="Arial"/>
          <w:sz w:val="18"/>
        </w:rPr>
        <w:t xml:space="preserve">Fuente: </w:t>
      </w:r>
      <w:r w:rsidRPr="00220F06">
        <w:rPr>
          <w:rFonts w:cs="Arial"/>
          <w:sz w:val="18"/>
        </w:rPr>
        <w:fldChar w:fldCharType="begin" w:fldLock="1"/>
      </w:r>
      <w:r w:rsidR="00475856">
        <w:rPr>
          <w:rFonts w:cs="Arial"/>
          <w:sz w:val="18"/>
        </w:rPr>
        <w:instrText>ADDIN CSL_CITATION {"citationItems":[{"id":"ITEM-1","itemData":{"author":[{"dropping-particle":"","family":"McDonald","given":"Scott","non-dropping-particle":"","parse-names":false,"suffix":""},{"dropping-particle":"","family":"Thierfelder","given":"Karen","non-dropping-particle":"","parse-names":false,"suffix":""}],"id":"ITEM-1","issue":"January","issued":{"date-parts":[["2017"]]},"number-of-pages":"1-89","title":"A Static Applied General Equilibrium Model: Technical Documentation - STAGE_int Version","type":"report"},"uris":["http://www.mendeley.com/documents/?uuid=83316eb5-e8df-4029-aa83-a2c1fd511a0d"]}],"mendeley":{"formattedCitation":"(McDonald &amp; Thierfelder, 2017)","manualFormatting":"McDonald &amp; Thierfelder (2017)","plainTextFormattedCitation":"(McDonald &amp; Thierfelder, 2017)","previouslyFormattedCitation":"(McDonald &amp; Thierfelder, 2017)"},"properties":{"noteIndex":0},"schema":"https://github.com/citation-style-language/schema/raw/master/csl-citation.json"}</w:instrText>
      </w:r>
      <w:r w:rsidRPr="00220F06">
        <w:rPr>
          <w:rFonts w:cs="Arial"/>
          <w:sz w:val="18"/>
        </w:rPr>
        <w:fldChar w:fldCharType="separate"/>
      </w:r>
      <w:r w:rsidRPr="00220F06">
        <w:rPr>
          <w:rFonts w:cs="Arial"/>
          <w:noProof/>
          <w:sz w:val="18"/>
        </w:rPr>
        <w:t>McDonald &amp; Thierfelder (2017)</w:t>
      </w:r>
      <w:r w:rsidRPr="00220F06">
        <w:rPr>
          <w:rFonts w:cs="Arial"/>
          <w:sz w:val="18"/>
        </w:rPr>
        <w:fldChar w:fldCharType="end"/>
      </w:r>
      <w:r w:rsidRPr="00220F06">
        <w:rPr>
          <w:rFonts w:cs="Arial"/>
          <w:sz w:val="18"/>
        </w:rPr>
        <w:t>.</w:t>
      </w:r>
    </w:p>
    <w:p w14:paraId="08DC4FCE" w14:textId="5081C2FC" w:rsidR="00C67FB6" w:rsidRDefault="00C67FB6" w:rsidP="00C67FB6">
      <w:pPr>
        <w:pStyle w:val="Heading2"/>
      </w:pPr>
      <w:bookmarkStart w:id="145" w:name="_Toc2853756"/>
      <w:r>
        <w:t>2.</w:t>
      </w:r>
      <w:r w:rsidR="001F1581">
        <w:t>6</w:t>
      </w:r>
      <w:r>
        <w:t xml:space="preserve"> Elasticidades</w:t>
      </w:r>
      <w:bookmarkEnd w:id="145"/>
    </w:p>
    <w:p w14:paraId="292A718C" w14:textId="712B5B9A" w:rsidR="00722943" w:rsidRDefault="00EF4A52" w:rsidP="00DD18DD">
      <w:pPr>
        <w:spacing w:line="240" w:lineRule="auto"/>
      </w:pPr>
      <w:r>
        <w:t xml:space="preserve">Para la función de utilidad de los hogares, mostrada en la </w:t>
      </w:r>
      <w:r>
        <w:fldChar w:fldCharType="begin"/>
      </w:r>
      <w:r>
        <w:instrText xml:space="preserve"> REF _Ref524876244 \h </w:instrText>
      </w:r>
      <w:r w:rsidRPr="00EF4A52">
        <w:instrText>\</w:instrText>
      </w:r>
      <w:r>
        <w:instrText xml:space="preserve">* lower </w:instrText>
      </w:r>
      <w:r w:rsidR="00DD18DD">
        <w:instrText xml:space="preserve"> \* MERGEFORMAT </w:instrText>
      </w:r>
      <w:r>
        <w:fldChar w:fldCharType="separate"/>
      </w:r>
      <w:r w:rsidR="00A95E32">
        <w:t xml:space="preserve">tabla </w:t>
      </w:r>
      <w:r w:rsidR="00A95E32">
        <w:rPr>
          <w:noProof/>
        </w:rPr>
        <w:t>11</w:t>
      </w:r>
      <w:r>
        <w:fldChar w:fldCharType="end"/>
      </w:r>
      <w:r>
        <w:t xml:space="preserve"> </w:t>
      </w:r>
      <w:r w:rsidR="00DD18DD">
        <w:t>reglón</w:t>
      </w:r>
      <w:r>
        <w:t xml:space="preserve"> 4,</w:t>
      </w:r>
      <w:r w:rsidR="00DD18DD">
        <w:t xml:space="preserve"> la calibración pasa por el </w:t>
      </w:r>
      <w:r>
        <w:t xml:space="preserve">parámetro </w:t>
      </w:r>
      <w:r w:rsidR="00DD18DD">
        <w:t>de F</w:t>
      </w:r>
      <w:r w:rsidR="00C352D3">
        <w:t>risch</w:t>
      </w:r>
      <w:r w:rsidR="00DD18DD">
        <w:t>, el cual</w:t>
      </w:r>
      <w:r w:rsidR="00C352D3">
        <w:t xml:space="preserve"> </w:t>
      </w:r>
      <w:r w:rsidR="00DD18DD">
        <w:t xml:space="preserve">se define con el valor -1, de tal manera que esta función toma la forma de </w:t>
      </w:r>
      <w:r w:rsidR="00F2400B">
        <w:t>C-D</w:t>
      </w:r>
      <w:r w:rsidR="00DD18DD">
        <w:t xml:space="preserve">, </w:t>
      </w:r>
      <w:proofErr w:type="gramStart"/>
      <w:r w:rsidR="00DD18DD">
        <w:t>calibrándose utilizando</w:t>
      </w:r>
      <w:proofErr w:type="gramEnd"/>
      <w:r w:rsidR="00DD18DD">
        <w:t xml:space="preserve"> los valores de consumo que aparecen en la MCS.</w:t>
      </w:r>
      <w:r w:rsidR="002F130C">
        <w:t xml:space="preserve"> Esto facilita la calibración del </w:t>
      </w:r>
      <w:r w:rsidR="00425771">
        <w:t>modelo,</w:t>
      </w:r>
      <w:r w:rsidR="0066472E">
        <w:t xml:space="preserve"> aunque</w:t>
      </w:r>
      <w:r w:rsidR="002F130C">
        <w:t xml:space="preserve"> penaliza en </w:t>
      </w:r>
      <w:r w:rsidR="0066472E">
        <w:t>lo estático que puede comportarse el consumo de los hogares</w:t>
      </w:r>
      <w:r w:rsidR="00425771">
        <w:t xml:space="preserve"> ante las distintas simulaciones</w:t>
      </w:r>
      <w:r w:rsidR="0066472E">
        <w:t>.</w:t>
      </w:r>
    </w:p>
    <w:p w14:paraId="1F0B52F5" w14:textId="724EEF70" w:rsidR="00F60EF8" w:rsidRDefault="00F60EF8" w:rsidP="00DD18DD">
      <w:pPr>
        <w:spacing w:line="240" w:lineRule="auto"/>
      </w:pPr>
      <w:r>
        <w:t>Para las funciones del tipo CES</w:t>
      </w:r>
      <w:r w:rsidR="00AD3BC5">
        <w:t xml:space="preserve"> que se presentan en la cada etapa de producción y para la función de Armington</w:t>
      </w:r>
      <w:r>
        <w:t xml:space="preserve">, se utilizaron valores </w:t>
      </w:r>
      <w:r w:rsidR="00EC76EB">
        <w:t>cercanos</w:t>
      </w:r>
      <w:r w:rsidR="00AD3BC5">
        <w:t xml:space="preserve"> a cero</w:t>
      </w:r>
      <w:r w:rsidR="00EC76EB">
        <w:t xml:space="preserve"> </w:t>
      </w:r>
      <w:r w:rsidR="00034510">
        <w:t xml:space="preserve">para </w:t>
      </w:r>
      <w:r w:rsidR="00AD3BC5">
        <w:t xml:space="preserve">la elasticidad de sustitución constante, </w:t>
      </w:r>
      <w:r w:rsidR="00EC76EB">
        <w:t xml:space="preserve">de tal manera que la elasticidad tendiera </w:t>
      </w:r>
      <w:r w:rsidR="00B507E2">
        <w:t>a convertir la función de producción en una C-D</w:t>
      </w:r>
      <w:r w:rsidR="00AD3BC5">
        <w:t xml:space="preserve">, el procedimiento matemático sobre la </w:t>
      </w:r>
      <w:r w:rsidR="00AD3BC5">
        <w:lastRenderedPageBreak/>
        <w:t xml:space="preserve">aproximación se muestra en el </w:t>
      </w:r>
      <w:r w:rsidR="00DD6883">
        <w:fldChar w:fldCharType="begin"/>
      </w:r>
      <w:r w:rsidR="00DD6883">
        <w:instrText xml:space="preserve"> REF _Ref527137349 \h </w:instrText>
      </w:r>
      <w:r w:rsidR="00DD6883">
        <w:fldChar w:fldCharType="separate"/>
      </w:r>
      <w:r w:rsidR="00A95E32">
        <w:t xml:space="preserve">Anexo </w:t>
      </w:r>
      <w:r w:rsidR="00A95E32">
        <w:rPr>
          <w:noProof/>
        </w:rPr>
        <w:t>B</w:t>
      </w:r>
      <w:r w:rsidR="00DD6883">
        <w:fldChar w:fldCharType="end"/>
      </w:r>
      <w:r w:rsidR="00CF774F">
        <w:t>,</w:t>
      </w:r>
      <w:r w:rsidR="00CB70D5">
        <w:t xml:space="preserve"> obteniendo el valor de los parámetros endógenamente de la MCS</w:t>
      </w:r>
      <w:r w:rsidR="00AD3BC5">
        <w:t>.</w:t>
      </w:r>
    </w:p>
    <w:p w14:paraId="0D4B604B" w14:textId="77777777" w:rsidR="0066472E" w:rsidRPr="00722943" w:rsidRDefault="0066472E" w:rsidP="00DD18DD">
      <w:pPr>
        <w:spacing w:line="240" w:lineRule="auto"/>
      </w:pPr>
    </w:p>
    <w:p w14:paraId="6EBE4129" w14:textId="43493BB6" w:rsidR="009B0041" w:rsidRDefault="009B0041" w:rsidP="009B0041">
      <w:pPr>
        <w:pStyle w:val="Heading2"/>
      </w:pPr>
      <w:bookmarkStart w:id="146" w:name="_Toc2853757"/>
      <w:r>
        <w:t>2.</w:t>
      </w:r>
      <w:r w:rsidR="001F1581">
        <w:t>7</w:t>
      </w:r>
      <w:r>
        <w:t xml:space="preserve"> Reglas de </w:t>
      </w:r>
      <w:r w:rsidR="002D5CF4">
        <w:t>C</w:t>
      </w:r>
      <w:r>
        <w:t>ierre</w:t>
      </w:r>
      <w:bookmarkEnd w:id="146"/>
    </w:p>
    <w:p w14:paraId="13D6ADDF" w14:textId="165E4FCB" w:rsidR="009B0041" w:rsidRPr="007A2B16" w:rsidRDefault="009B0041" w:rsidP="009B0041">
      <w:pPr>
        <w:spacing w:line="240" w:lineRule="auto"/>
      </w:pPr>
      <w:r w:rsidRPr="007A2B16">
        <w:rPr>
          <w:rFonts w:cs="Arial"/>
        </w:rPr>
        <w:t>La propuesta de regla de cierre para la incidencia del IVA es de naturaleza neoclásica, donde las condiciones características son: un tipo de cambio flexible, donde esta variable es la que ajusta el mercado externo, es decir se asume que el balance externo es fijo (</w:t>
      </w:r>
      <w:r w:rsidRPr="007A2B16">
        <w:rPr>
          <w:position w:val="-6"/>
        </w:rPr>
        <w:object w:dxaOrig="1040" w:dyaOrig="340" w14:anchorId="2770FF5F">
          <v:shape id="_x0000_i1483" type="#_x0000_t75" style="width:51.75pt;height:15.75pt" o:ole="">
            <v:imagedata r:id="rId916" o:title=""/>
          </v:shape>
          <o:OLEObject Type="Embed" ProgID="Equation.DSMT4" ShapeID="_x0000_i1483" DrawAspect="Content" ObjectID="_1706015164" r:id="rId917"/>
        </w:object>
      </w:r>
      <w:r w:rsidRPr="007A2B16">
        <w:t xml:space="preserve">). Además, se asume el supuesto de país pequeño, por tanto, el país es tomador de precios, de tal manera que se fijan los precios internacionales </w:t>
      </w:r>
      <w:r w:rsidRPr="007A2B16">
        <w:rPr>
          <w:position w:val="-12"/>
        </w:rPr>
        <w:object w:dxaOrig="740" w:dyaOrig="400" w14:anchorId="3501AE90">
          <v:shape id="_x0000_i1484" type="#_x0000_t75" style="width:36pt;height:20.25pt" o:ole="">
            <v:imagedata r:id="rId918" o:title=""/>
          </v:shape>
          <o:OLEObject Type="Embed" ProgID="Equation.DSMT4" ShapeID="_x0000_i1484" DrawAspect="Content" ObjectID="_1706015165" r:id="rId919"/>
        </w:object>
      </w:r>
      <w:r>
        <w:t xml:space="preserve"> y</w:t>
      </w:r>
      <w:r w:rsidR="005661AF" w:rsidRPr="007A2B16">
        <w:rPr>
          <w:position w:val="-12"/>
        </w:rPr>
        <w:object w:dxaOrig="800" w:dyaOrig="499" w14:anchorId="01A97C96">
          <v:shape id="_x0000_i1485" type="#_x0000_t75" style="width:41.25pt;height:25.5pt" o:ole="">
            <v:imagedata r:id="rId920" o:title=""/>
          </v:shape>
          <o:OLEObject Type="Embed" ProgID="Equation.DSMT4" ShapeID="_x0000_i1485" DrawAspect="Content" ObjectID="_1706015166" r:id="rId921"/>
        </w:object>
      </w:r>
      <w:r w:rsidRPr="007A2B16">
        <w:t>.</w:t>
      </w:r>
    </w:p>
    <w:p w14:paraId="2DD8EDC0" w14:textId="77777777" w:rsidR="009B0041" w:rsidRDefault="009B0041" w:rsidP="009B0041">
      <w:pPr>
        <w:spacing w:line="240" w:lineRule="auto"/>
      </w:pPr>
      <w:r w:rsidRPr="007A2B16">
        <w:rPr>
          <w:rFonts w:cs="Arial"/>
        </w:rPr>
        <w:t>Por</w:t>
      </w:r>
      <w:r>
        <w:rPr>
          <w:rFonts w:cs="Arial"/>
        </w:rPr>
        <w:t xml:space="preserve"> </w:t>
      </w:r>
      <w:r w:rsidRPr="007A2B16">
        <w:rPr>
          <w:rFonts w:cs="Arial"/>
        </w:rPr>
        <w:t>el</w:t>
      </w:r>
      <w:r>
        <w:rPr>
          <w:rFonts w:cs="Arial"/>
        </w:rPr>
        <w:t xml:space="preserve"> </w:t>
      </w:r>
      <w:r w:rsidRPr="007A2B16">
        <w:rPr>
          <w:rFonts w:cs="Arial"/>
        </w:rPr>
        <w:t>lado de la inversión, las tasas de ahorro</w:t>
      </w:r>
      <w:r>
        <w:rPr>
          <w:rFonts w:cs="Arial"/>
        </w:rPr>
        <w:t xml:space="preserve"> permanecen fija (</w:t>
      </w:r>
      <w:r w:rsidRPr="00585A20">
        <w:rPr>
          <w:position w:val="-10"/>
        </w:rPr>
        <w:object w:dxaOrig="2299" w:dyaOrig="380" w14:anchorId="3E90F648">
          <v:shape id="_x0000_i1486" type="#_x0000_t75" style="width:113.25pt;height:20.25pt" o:ole="">
            <v:imagedata r:id="rId922" o:title=""/>
          </v:shape>
          <o:OLEObject Type="Embed" ProgID="Equation.DSMT4" ShapeID="_x0000_i1486" DrawAspect="Content" ObjectID="_1706015167" r:id="rId923"/>
        </w:object>
      </w:r>
      <w:proofErr w:type="gramStart"/>
      <w:r>
        <w:t>).Esto</w:t>
      </w:r>
      <w:proofErr w:type="gramEnd"/>
      <w:r>
        <w:t xml:space="preserve"> significa que el modelo está orientado hacia el ahorro, de tal manera que la inversión es la variable que se ajusta en el modelo. Para las empresas el volumen de la demanda final es fijado (</w:t>
      </w:r>
      <w:r w:rsidRPr="0026006C">
        <w:rPr>
          <w:position w:val="-10"/>
        </w:rPr>
        <w:object w:dxaOrig="1020" w:dyaOrig="320" w14:anchorId="5A450D29">
          <v:shape id="_x0000_i1487" type="#_x0000_t75" style="width:51.75pt;height:15.75pt" o:ole="">
            <v:imagedata r:id="rId924" o:title=""/>
          </v:shape>
          <o:OLEObject Type="Embed" ProgID="Equation.DSMT4" ShapeID="_x0000_i1487" DrawAspect="Content" ObjectID="_1706015168" r:id="rId925"/>
        </w:object>
      </w:r>
      <w:r>
        <w:t>), siendo la participación de esta variable, también se fijan las transferencias que realizan las empresas a los hogares (</w:t>
      </w:r>
      <w:r w:rsidRPr="00D76032">
        <w:rPr>
          <w:position w:val="-6"/>
        </w:rPr>
        <w:object w:dxaOrig="859" w:dyaOrig="340" w14:anchorId="2616B20A">
          <v:shape id="_x0000_i1488" type="#_x0000_t75" style="width:41.25pt;height:15.75pt" o:ole="">
            <v:imagedata r:id="rId926" o:title=""/>
          </v:shape>
          <o:OLEObject Type="Embed" ProgID="Equation.DSMT4" ShapeID="_x0000_i1488" DrawAspect="Content" ObjectID="_1706015169" r:id="rId927"/>
        </w:object>
      </w:r>
      <w:r>
        <w:t>).</w:t>
      </w:r>
    </w:p>
    <w:p w14:paraId="160A627C" w14:textId="4151659C" w:rsidR="009B0041" w:rsidRDefault="009B0041" w:rsidP="009B0041">
      <w:pPr>
        <w:spacing w:line="240" w:lineRule="auto"/>
        <w:rPr>
          <w:rFonts w:cs="Arial"/>
        </w:rPr>
      </w:pPr>
      <w:r>
        <w:rPr>
          <w:rFonts w:cs="Arial"/>
        </w:rPr>
        <w:t xml:space="preserve">El gobierno en el cierre neoclásico fija todas sus herramientas, es decir todos los mencionados en la </w:t>
      </w:r>
      <w:r>
        <w:rPr>
          <w:rFonts w:cs="Arial"/>
        </w:rPr>
        <w:fldChar w:fldCharType="begin"/>
      </w:r>
      <w:r>
        <w:rPr>
          <w:rFonts w:cs="Arial"/>
        </w:rPr>
        <w:instrText xml:space="preserve"> REF _Ref524946862 \h \* lower </w:instrText>
      </w:r>
      <w:r>
        <w:rPr>
          <w:rFonts w:cs="Arial"/>
        </w:rPr>
      </w:r>
      <w:r>
        <w:rPr>
          <w:rFonts w:cs="Arial"/>
        </w:rPr>
        <w:fldChar w:fldCharType="separate"/>
      </w:r>
      <w:r w:rsidR="00A95E32">
        <w:t xml:space="preserve">tabla </w:t>
      </w:r>
      <w:r w:rsidR="00A95E32">
        <w:rPr>
          <w:noProof/>
        </w:rPr>
        <w:t>18</w:t>
      </w:r>
      <w:r>
        <w:rPr>
          <w:rFonts w:cs="Arial"/>
        </w:rPr>
        <w:fldChar w:fldCharType="end"/>
      </w:r>
      <w:r>
        <w:rPr>
          <w:rFonts w:cs="Arial"/>
        </w:rPr>
        <w:t xml:space="preserve">, reglón 5. </w:t>
      </w:r>
      <w:r w:rsidR="009B4FF5">
        <w:rPr>
          <w:rFonts w:cs="Arial"/>
        </w:rPr>
        <w:t xml:space="preserve">Como se indica en la </w:t>
      </w:r>
      <w:r w:rsidR="009B4FF5">
        <w:rPr>
          <w:rFonts w:cs="Arial"/>
        </w:rPr>
        <w:fldChar w:fldCharType="begin"/>
      </w:r>
      <w:r w:rsidR="009B4FF5">
        <w:rPr>
          <w:rFonts w:cs="Arial"/>
        </w:rPr>
        <w:instrText xml:space="preserve"> REF _Ref1928463 \h \*</w:instrText>
      </w:r>
      <w:r w:rsidR="00E0402F">
        <w:rPr>
          <w:rFonts w:cs="Arial"/>
        </w:rPr>
        <w:instrText xml:space="preserve"> </w:instrText>
      </w:r>
      <w:r w:rsidR="009B4FF5">
        <w:rPr>
          <w:rFonts w:cs="Arial"/>
        </w:rPr>
        <w:instrText xml:space="preserve">lower  </w:instrText>
      </w:r>
      <w:r w:rsidR="009B4FF5">
        <w:rPr>
          <w:rFonts w:cs="Arial"/>
        </w:rPr>
      </w:r>
      <w:r w:rsidR="009B4FF5">
        <w:rPr>
          <w:rFonts w:cs="Arial"/>
        </w:rPr>
        <w:fldChar w:fldCharType="separate"/>
      </w:r>
      <w:r w:rsidR="00E0402F">
        <w:t xml:space="preserve">tabla </w:t>
      </w:r>
      <w:r w:rsidR="00E0402F">
        <w:rPr>
          <w:noProof/>
        </w:rPr>
        <w:t>22</w:t>
      </w:r>
      <w:r w:rsidR="009B4FF5">
        <w:rPr>
          <w:rFonts w:cs="Arial"/>
        </w:rPr>
        <w:fldChar w:fldCharType="end"/>
      </w:r>
      <w:r w:rsidR="00E0402F">
        <w:rPr>
          <w:rFonts w:cs="Arial"/>
        </w:rPr>
        <w:t>,</w:t>
      </w:r>
      <w:r w:rsidR="009B4FF5">
        <w:rPr>
          <w:rFonts w:cs="Arial"/>
        </w:rPr>
        <w:t xml:space="preserve"> p</w:t>
      </w:r>
      <w:r>
        <w:rPr>
          <w:rFonts w:cs="Arial"/>
        </w:rPr>
        <w:t xml:space="preserve">ara una de las simulaciones se propone flexibilizar la variable </w:t>
      </w:r>
      <w:r w:rsidRPr="00E90A9D">
        <w:rPr>
          <w:rFonts w:cs="Arial"/>
          <w:position w:val="-6"/>
        </w:rPr>
        <w:object w:dxaOrig="780" w:dyaOrig="279" w14:anchorId="4FB902CC">
          <v:shape id="_x0000_i1489" type="#_x0000_t75" style="width:41.25pt;height:15.75pt" o:ole="">
            <v:imagedata r:id="rId928" o:title=""/>
          </v:shape>
          <o:OLEObject Type="Embed" ProgID="Equation.DSMT4" ShapeID="_x0000_i1489" DrawAspect="Content" ObjectID="_1706015170" r:id="rId929"/>
        </w:object>
      </w:r>
      <w:r>
        <w:rPr>
          <w:rFonts w:cs="Arial"/>
        </w:rPr>
        <w:t xml:space="preserve">, de forma que esta se ajuste ante una disminución del ingreso por parte de algún impuesto. La proporción de la demanda final del gobierno se mantiene fija, </w:t>
      </w:r>
      <w:r w:rsidRPr="009C59E4">
        <w:rPr>
          <w:rFonts w:cs="Arial"/>
          <w:position w:val="-6"/>
        </w:rPr>
        <w:object w:dxaOrig="740" w:dyaOrig="340" w14:anchorId="07AD2BCC">
          <v:shape id="_x0000_i1490" type="#_x0000_t75" style="width:36pt;height:15.75pt" o:ole="">
            <v:imagedata r:id="rId930" o:title=""/>
          </v:shape>
          <o:OLEObject Type="Embed" ProgID="Equation.DSMT4" ShapeID="_x0000_i1490" DrawAspect="Content" ObjectID="_1706015171" r:id="rId931"/>
        </w:object>
      </w:r>
      <w:r>
        <w:rPr>
          <w:rFonts w:cs="Arial"/>
        </w:rPr>
        <w:t>, esto también sucede con las transferencias hacia los hogares y las empresas (</w:t>
      </w:r>
      <w:r w:rsidRPr="002B0B91">
        <w:rPr>
          <w:rFonts w:cs="Arial"/>
          <w:position w:val="-6"/>
        </w:rPr>
        <w:object w:dxaOrig="880" w:dyaOrig="340" w14:anchorId="1975E2DD">
          <v:shape id="_x0000_i1491" type="#_x0000_t75" style="width:41.25pt;height:15.75pt" o:ole="">
            <v:imagedata r:id="rId932" o:title=""/>
          </v:shape>
          <o:OLEObject Type="Embed" ProgID="Equation.DSMT4" ShapeID="_x0000_i1491" DrawAspect="Content" ObjectID="_1706015172" r:id="rId933"/>
        </w:object>
      </w:r>
      <w:r>
        <w:rPr>
          <w:rFonts w:cs="Arial"/>
        </w:rPr>
        <w:t xml:space="preserve"> y </w:t>
      </w:r>
      <w:r w:rsidRPr="00857D82">
        <w:rPr>
          <w:rFonts w:cs="Arial"/>
          <w:position w:val="-6"/>
        </w:rPr>
        <w:object w:dxaOrig="859" w:dyaOrig="340" w14:anchorId="5A8D0323">
          <v:shape id="_x0000_i1492" type="#_x0000_t75" style="width:41.25pt;height:15.75pt" o:ole="">
            <v:imagedata r:id="rId934" o:title=""/>
          </v:shape>
          <o:OLEObject Type="Embed" ProgID="Equation.DSMT4" ShapeID="_x0000_i1492" DrawAspect="Content" ObjectID="_1706015173" r:id="rId935"/>
        </w:object>
      </w:r>
      <w:r>
        <w:rPr>
          <w:rFonts w:cs="Arial"/>
        </w:rPr>
        <w:t>). El balance del gobierno es la variable que ajusta el sistema.</w:t>
      </w:r>
    </w:p>
    <w:p w14:paraId="21CC7F94" w14:textId="75065B7E" w:rsidR="009B0041" w:rsidRDefault="002C5AE0" w:rsidP="009B0041">
      <w:pPr>
        <w:spacing w:line="240" w:lineRule="auto"/>
        <w:rPr>
          <w:rFonts w:cs="Arial"/>
        </w:rPr>
      </w:pPr>
      <w:r>
        <w:rPr>
          <w:rFonts w:cs="Arial"/>
        </w:rPr>
        <w:t xml:space="preserve">En el mercado de factores se asume </w:t>
      </w:r>
      <w:r w:rsidR="008312E7">
        <w:rPr>
          <w:rFonts w:cs="Arial"/>
        </w:rPr>
        <w:t>una</w:t>
      </w:r>
      <w:r w:rsidR="009159DD">
        <w:rPr>
          <w:rFonts w:cs="Arial"/>
        </w:rPr>
        <w:t xml:space="preserve"> completa movilidad </w:t>
      </w:r>
      <w:r w:rsidR="008312E7">
        <w:rPr>
          <w:rFonts w:cs="Arial"/>
        </w:rPr>
        <w:t xml:space="preserve">de este </w:t>
      </w:r>
      <w:r w:rsidR="009159DD">
        <w:rPr>
          <w:rFonts w:cs="Arial"/>
        </w:rPr>
        <w:t xml:space="preserve">y </w:t>
      </w:r>
      <w:r w:rsidR="008312E7">
        <w:rPr>
          <w:rFonts w:cs="Arial"/>
        </w:rPr>
        <w:t>la totalidad</w:t>
      </w:r>
      <w:r w:rsidR="009159DD">
        <w:rPr>
          <w:rFonts w:cs="Arial"/>
        </w:rPr>
        <w:t xml:space="preserve"> empleada, siguiendo con la lógica neoclásica</w:t>
      </w:r>
      <w:r w:rsidR="008312E7">
        <w:rPr>
          <w:rFonts w:cs="Arial"/>
        </w:rPr>
        <w:t>. S</w:t>
      </w:r>
      <w:r w:rsidR="009159DD">
        <w:rPr>
          <w:rFonts w:cs="Arial"/>
        </w:rPr>
        <w:t>in embargo</w:t>
      </w:r>
      <w:r w:rsidR="008312E7">
        <w:rPr>
          <w:rFonts w:cs="Arial"/>
        </w:rPr>
        <w:t>,</w:t>
      </w:r>
      <w:r w:rsidR="009159DD">
        <w:rPr>
          <w:rFonts w:cs="Arial"/>
        </w:rPr>
        <w:t xml:space="preserve"> también se contempla un cierre con desempleo del 10% en el factor de trabajo no calificado, </w:t>
      </w:r>
      <w:r w:rsidR="008312E7">
        <w:rPr>
          <w:rFonts w:cs="Arial"/>
        </w:rPr>
        <w:t>tratando de simular un choque en el corto plazo</w:t>
      </w:r>
      <w:r w:rsidR="00B86920">
        <w:rPr>
          <w:rFonts w:cs="Arial"/>
        </w:rPr>
        <w:t>, que a su vez aporta realismo ante los datos presentados por el INEC</w:t>
      </w:r>
      <w:r w:rsidR="004E5A63">
        <w:rPr>
          <w:rFonts w:cs="Arial"/>
        </w:rPr>
        <w:t xml:space="preserve"> en la </w:t>
      </w:r>
      <w:r w:rsidR="00821647">
        <w:rPr>
          <w:rFonts w:cs="Arial"/>
        </w:rPr>
        <w:t>E</w:t>
      </w:r>
      <w:r w:rsidR="004E5A63">
        <w:rPr>
          <w:rFonts w:cs="Arial"/>
        </w:rPr>
        <w:t xml:space="preserve">ncuesta </w:t>
      </w:r>
      <w:r w:rsidR="00821647">
        <w:rPr>
          <w:rFonts w:cs="Arial"/>
        </w:rPr>
        <w:t>C</w:t>
      </w:r>
      <w:r w:rsidR="004E5A63">
        <w:rPr>
          <w:rFonts w:cs="Arial"/>
        </w:rPr>
        <w:t xml:space="preserve">ontinua de </w:t>
      </w:r>
      <w:r w:rsidR="00821647">
        <w:rPr>
          <w:rFonts w:cs="Arial"/>
        </w:rPr>
        <w:t>E</w:t>
      </w:r>
      <w:r w:rsidR="004E5A63">
        <w:rPr>
          <w:rFonts w:cs="Arial"/>
        </w:rPr>
        <w:t>mpleo</w:t>
      </w:r>
      <w:r w:rsidR="004D4023">
        <w:rPr>
          <w:rFonts w:cs="Arial"/>
        </w:rPr>
        <w:t xml:space="preserve"> (ECE)</w:t>
      </w:r>
      <w:r w:rsidR="004E5A63">
        <w:rPr>
          <w:rFonts w:cs="Arial"/>
        </w:rPr>
        <w:t xml:space="preserve"> donde los valores oscilan entre 9 y el 10% en los últimos años</w:t>
      </w:r>
      <w:r w:rsidR="008312E7">
        <w:rPr>
          <w:rFonts w:cs="Arial"/>
        </w:rPr>
        <w:t>.</w:t>
      </w:r>
      <w:r w:rsidR="00DD2361">
        <w:rPr>
          <w:rFonts w:cs="Arial"/>
        </w:rPr>
        <w:t xml:space="preserve"> </w:t>
      </w:r>
      <w:r w:rsidR="00070771">
        <w:rPr>
          <w:rFonts w:cs="Arial"/>
        </w:rPr>
        <w:fldChar w:fldCharType="begin" w:fldLock="1"/>
      </w:r>
      <w:r w:rsidR="00EA3985">
        <w:rPr>
          <w:rFonts w:cs="Arial"/>
        </w:rPr>
        <w:instrText>ADDIN CSL_CITATION {"citationItems":[{"id":"ITEM-1","itemData":{"URL":"https://goo.gl/eaSzNL","author":[{"dropping-particle":"","family":"INEC","given":"","non-dropping-particle":"","parse-names":false,"suffix":""}],"id":"ITEM-1","issued":{"date-parts":[["2018"]]},"title":"Tasa de desempleo se situó en 9,3%","type":"webpage"},"uris":["http://www.mendeley.com/documents/?uuid=2ba04ab1-36ec-4da6-8551-a29646e102bc"]}],"mendeley":{"formattedCitation":"(INEC, 2018)","plainTextFormattedCitation":"(INEC, 2018)","previouslyFormattedCitation":"(INEC, 2018)"},"properties":{"noteIndex":0},"schema":"https://github.com/citation-style-language/schema/raw/master/csl-citation.json"}</w:instrText>
      </w:r>
      <w:r w:rsidR="00070771">
        <w:rPr>
          <w:rFonts w:cs="Arial"/>
        </w:rPr>
        <w:fldChar w:fldCharType="separate"/>
      </w:r>
      <w:r w:rsidR="00070771" w:rsidRPr="00070771">
        <w:rPr>
          <w:rFonts w:cs="Arial"/>
          <w:noProof/>
        </w:rPr>
        <w:t>(INEC, 2018)</w:t>
      </w:r>
      <w:r w:rsidR="00070771">
        <w:rPr>
          <w:rFonts w:cs="Arial"/>
        </w:rPr>
        <w:fldChar w:fldCharType="end"/>
      </w:r>
      <w:r w:rsidR="009E6DA5">
        <w:rPr>
          <w:rFonts w:cs="Arial"/>
        </w:rPr>
        <w:t>.</w:t>
      </w:r>
      <w:r w:rsidR="00CC7C24">
        <w:rPr>
          <w:rFonts w:cs="Arial"/>
        </w:rPr>
        <w:t xml:space="preserve"> </w:t>
      </w:r>
    </w:p>
    <w:p w14:paraId="42F01DFA" w14:textId="735F448B" w:rsidR="00CC7C24" w:rsidRPr="00CC7C24" w:rsidRDefault="00CC7C24" w:rsidP="009B0041">
      <w:pPr>
        <w:spacing w:line="240" w:lineRule="auto"/>
        <w:rPr>
          <w:rFonts w:cs="Arial"/>
        </w:rPr>
      </w:pPr>
      <w:r>
        <w:rPr>
          <w:rFonts w:cs="Arial"/>
        </w:rPr>
        <w:t xml:space="preserve">La variable que </w:t>
      </w:r>
      <w:r w:rsidRPr="00CC7C24">
        <w:rPr>
          <w:rFonts w:cs="Arial"/>
        </w:rPr>
        <w:t>“</w:t>
      </w:r>
      <w:r>
        <w:rPr>
          <w:rFonts w:cs="Arial"/>
        </w:rPr>
        <w:t xml:space="preserve">vacía” el modelo es </w:t>
      </w:r>
      <w:r w:rsidR="00EF5547">
        <w:rPr>
          <w:rFonts w:cs="Arial"/>
        </w:rPr>
        <w:t xml:space="preserve">el </w:t>
      </w:r>
      <w:r>
        <w:rPr>
          <w:rFonts w:cs="Arial"/>
        </w:rPr>
        <w:t xml:space="preserve">IPC, de forma que se </w:t>
      </w:r>
      <w:r w:rsidR="00A23B95">
        <w:rPr>
          <w:rFonts w:cs="Arial"/>
        </w:rPr>
        <w:t>torna fija</w:t>
      </w:r>
      <w:r>
        <w:rPr>
          <w:rFonts w:cs="Arial"/>
        </w:rPr>
        <w:t xml:space="preserve"> </w:t>
      </w:r>
      <w:r w:rsidR="00D424CE">
        <w:rPr>
          <w:rFonts w:cs="Arial"/>
        </w:rPr>
        <w:t>(</w:t>
      </w:r>
      <w:r w:rsidR="00D424CE" w:rsidRPr="00D424CE">
        <w:rPr>
          <w:rFonts w:cs="Arial"/>
          <w:position w:val="-6"/>
        </w:rPr>
        <w:object w:dxaOrig="480" w:dyaOrig="340" w14:anchorId="64F9D359">
          <v:shape id="_x0000_i1493" type="#_x0000_t75" style="width:30.75pt;height:15.75pt" o:ole="">
            <v:imagedata r:id="rId936" o:title=""/>
          </v:shape>
          <o:OLEObject Type="Embed" ProgID="Equation.DSMT4" ShapeID="_x0000_i1493" DrawAspect="Content" ObjectID="_1706015174" r:id="rId937"/>
        </w:object>
      </w:r>
      <w:r w:rsidR="00D424CE">
        <w:rPr>
          <w:rFonts w:cs="Arial"/>
        </w:rPr>
        <w:t>)</w:t>
      </w:r>
      <w:r w:rsidR="00CA422F">
        <w:rPr>
          <w:rFonts w:cs="Arial"/>
        </w:rPr>
        <w:t>, el comportamiento de esta variable suele llamarse como numerario en los MEGC</w:t>
      </w:r>
      <w:r w:rsidR="00FE6ADF">
        <w:rPr>
          <w:rFonts w:cs="Arial"/>
        </w:rPr>
        <w:t>, y su valor es 1, aunque puede tomar cualquier valor real positivo</w:t>
      </w:r>
      <w:r w:rsidR="00973DCA">
        <w:rPr>
          <w:rFonts w:cs="Arial"/>
        </w:rPr>
        <w:t xml:space="preserve"> sin que este afecte el comportamiento y los resultados del modelo, ante </w:t>
      </w:r>
      <w:proofErr w:type="gramStart"/>
      <w:r w:rsidR="00973DCA">
        <w:rPr>
          <w:rFonts w:cs="Arial"/>
        </w:rPr>
        <w:t>esta características</w:t>
      </w:r>
      <w:proofErr w:type="gramEnd"/>
      <w:r w:rsidR="00973DCA">
        <w:rPr>
          <w:rFonts w:cs="Arial"/>
        </w:rPr>
        <w:t xml:space="preserve"> el numerario se usa como variable de contro</w:t>
      </w:r>
      <w:r w:rsidR="00F701F4">
        <w:rPr>
          <w:rFonts w:cs="Arial"/>
        </w:rPr>
        <w:t xml:space="preserve">l </w:t>
      </w:r>
      <w:r w:rsidR="00973DCA">
        <w:rPr>
          <w:rFonts w:cs="Arial"/>
        </w:rPr>
        <w:t>de que el modelo funciona correctamente</w:t>
      </w:r>
      <w:r w:rsidR="00CA422F">
        <w:rPr>
          <w:rFonts w:cs="Arial"/>
        </w:rPr>
        <w:t>.</w:t>
      </w:r>
      <w:r w:rsidR="00D424CE">
        <w:rPr>
          <w:rFonts w:cs="Arial"/>
        </w:rPr>
        <w:t xml:space="preserve"> </w:t>
      </w:r>
      <w:r w:rsidR="002D6EE3">
        <w:rPr>
          <w:rFonts w:cs="Arial"/>
        </w:rPr>
        <w:t>Por contraparte como indicador d</w:t>
      </w:r>
      <w:r w:rsidR="00D424CE">
        <w:rPr>
          <w:rFonts w:cs="Arial"/>
        </w:rPr>
        <w:t xml:space="preserve">e </w:t>
      </w:r>
      <w:r w:rsidR="002D6EE3">
        <w:rPr>
          <w:rFonts w:cs="Arial"/>
        </w:rPr>
        <w:t xml:space="preserve">los precios </w:t>
      </w:r>
      <w:r w:rsidR="00F701F4">
        <w:rPr>
          <w:rFonts w:cs="Arial"/>
        </w:rPr>
        <w:t>se usa el</w:t>
      </w:r>
      <w:r w:rsidR="00D424CE">
        <w:rPr>
          <w:rFonts w:cs="Arial"/>
        </w:rPr>
        <w:t xml:space="preserve"> </w:t>
      </w:r>
      <w:r w:rsidR="0050077A">
        <w:rPr>
          <w:rFonts w:cs="Arial"/>
        </w:rPr>
        <w:t>IPP</w:t>
      </w:r>
      <w:r w:rsidR="00F701F4">
        <w:rPr>
          <w:rFonts w:cs="Arial"/>
        </w:rPr>
        <w:t>,</w:t>
      </w:r>
      <w:r w:rsidR="0050077A">
        <w:rPr>
          <w:rFonts w:cs="Arial"/>
        </w:rPr>
        <w:t xml:space="preserve"> </w:t>
      </w:r>
      <w:r w:rsidR="00F701F4">
        <w:rPr>
          <w:rFonts w:cs="Arial"/>
        </w:rPr>
        <w:t>dejándolo variar</w:t>
      </w:r>
      <w:r w:rsidR="0050077A">
        <w:rPr>
          <w:rFonts w:cs="Arial"/>
        </w:rPr>
        <w:t xml:space="preserve"> </w:t>
      </w:r>
      <w:r w:rsidR="00F43587">
        <w:rPr>
          <w:rFonts w:cs="Arial"/>
        </w:rPr>
        <w:t>junto con el tipo de cambio.</w:t>
      </w:r>
      <w:r>
        <w:rPr>
          <w:rFonts w:cs="Arial"/>
        </w:rPr>
        <w:t xml:space="preserve"> </w:t>
      </w:r>
    </w:p>
    <w:p w14:paraId="77B1B8BA" w14:textId="2DFD3606" w:rsidR="00DE18F7" w:rsidRPr="00DE18F7" w:rsidRDefault="00DE18F7" w:rsidP="00DE18F7">
      <w:pPr>
        <w:pStyle w:val="Heading2"/>
      </w:pPr>
      <w:bookmarkStart w:id="147" w:name="_Toc2853758"/>
      <w:r>
        <w:t>2.</w:t>
      </w:r>
      <w:r w:rsidR="001F1581">
        <w:t>8</w:t>
      </w:r>
      <w:r>
        <w:t xml:space="preserve"> Indicadores</w:t>
      </w:r>
      <w:bookmarkEnd w:id="147"/>
      <w:r>
        <w:t xml:space="preserve"> </w:t>
      </w:r>
    </w:p>
    <w:p w14:paraId="61FF2F55" w14:textId="33BFE6C4" w:rsidR="00EB50D0" w:rsidRPr="000B271D" w:rsidRDefault="00EB50D0" w:rsidP="00EB50D0">
      <w:pPr>
        <w:spacing w:line="240" w:lineRule="auto"/>
      </w:pPr>
      <w:r>
        <w:t>El primer indicador para entender la regresividad o progresividad de un sistema de impuestos es la presión tributaria, la cual consiste en obtener el pago que hacen los hogares por el impuesto es cuestión y dividirlo entre el ingreso del hogar, la formula se muestra en la ecuación 2.</w:t>
      </w:r>
      <w:r w:rsidR="00C67FB6">
        <w:t>7</w:t>
      </w:r>
      <w:r>
        <w:t>.1, donde</w:t>
      </w:r>
      <w:r w:rsidR="005744C8">
        <w:t xml:space="preserve"> </w:t>
      </w:r>
      <w:r w:rsidRPr="00025957">
        <w:rPr>
          <w:position w:val="-4"/>
        </w:rPr>
        <w:object w:dxaOrig="400" w:dyaOrig="260" w14:anchorId="285298CF">
          <v:shape id="_x0000_i1494" type="#_x0000_t75" style="width:20.25pt;height:15.75pt" o:ole="">
            <v:imagedata r:id="rId938" o:title=""/>
          </v:shape>
          <o:OLEObject Type="Embed" ProgID="Equation.DSMT4" ShapeID="_x0000_i1494" DrawAspect="Content" ObjectID="_1706015175" r:id="rId939"/>
        </w:object>
      </w:r>
      <w:r w:rsidR="005744C8">
        <w:t xml:space="preserve"> </w:t>
      </w:r>
      <w:r>
        <w:t>es el ingreso del hogar y</w:t>
      </w:r>
      <w:r w:rsidR="00923FDA" w:rsidRPr="000B271D">
        <w:rPr>
          <w:position w:val="-6"/>
        </w:rPr>
        <w:object w:dxaOrig="400" w:dyaOrig="279" w14:anchorId="03BCF6AC">
          <v:shape id="_x0000_i1495" type="#_x0000_t75" style="width:20.25pt;height:15.75pt" o:ole="">
            <v:imagedata r:id="rId940" o:title=""/>
          </v:shape>
          <o:OLEObject Type="Embed" ProgID="Equation.DSMT4" ShapeID="_x0000_i1495" DrawAspect="Content" ObjectID="_1706015176" r:id="rId941"/>
        </w:object>
      </w:r>
      <w:r>
        <w:t xml:space="preserve">el pago del </w:t>
      </w:r>
      <w:r>
        <w:lastRenderedPageBreak/>
        <w:t xml:space="preserve">impuesto del hogar. A partir de esta proporción se puede obtener cuales hogares reciben más presión y evaluar si esta se ve disminuida ante los escenarios propuestos. El indicador </w:t>
      </w:r>
      <w:r w:rsidR="00103D7D">
        <w:t xml:space="preserve">de presión tributaria </w:t>
      </w:r>
      <w:r>
        <w:t>suele usarse tanto en los MEG</w:t>
      </w:r>
      <w:r w:rsidR="002512E5">
        <w:t>C</w:t>
      </w:r>
      <w:r>
        <w:t xml:space="preserve"> como en modelos de equilibrio parcial. </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5"/>
        <w:gridCol w:w="7470"/>
        <w:gridCol w:w="741"/>
      </w:tblGrid>
      <w:tr w:rsidR="00EB50D0" w14:paraId="75ACA6F5" w14:textId="77777777" w:rsidTr="007907D5">
        <w:trPr>
          <w:jc w:val="center"/>
        </w:trPr>
        <w:tc>
          <w:tcPr>
            <w:tcW w:w="805" w:type="dxa"/>
          </w:tcPr>
          <w:p w14:paraId="15C7B39D" w14:textId="2CD27C27" w:rsidR="00EB50D0" w:rsidRPr="00872E4E" w:rsidRDefault="00EB50D0" w:rsidP="007907D5">
            <w:pPr>
              <w:rPr>
                <w:rFonts w:ascii="Arial" w:cs="Arial"/>
              </w:rPr>
            </w:pPr>
            <w:r w:rsidRPr="00872E4E">
              <w:rPr>
                <w:rFonts w:ascii="Arial" w:cs="Arial"/>
              </w:rPr>
              <w:t>2.</w:t>
            </w:r>
            <w:r w:rsidR="00C67FB6">
              <w:rPr>
                <w:rFonts w:ascii="Arial" w:cs="Arial"/>
              </w:rPr>
              <w:t>7</w:t>
            </w:r>
            <w:r>
              <w:rPr>
                <w:rFonts w:ascii="Arial" w:cs="Arial"/>
              </w:rPr>
              <w:t>.1</w:t>
            </w:r>
          </w:p>
        </w:tc>
        <w:tc>
          <w:tcPr>
            <w:tcW w:w="7470" w:type="dxa"/>
          </w:tcPr>
          <w:p w14:paraId="29423872" w14:textId="077ED737" w:rsidR="00EB50D0" w:rsidRPr="00872E4E" w:rsidRDefault="00B04D9F" w:rsidP="007907D5">
            <w:pPr>
              <w:jc w:val="center"/>
              <w:rPr>
                <w:rFonts w:ascii="Arial" w:cs="Arial"/>
              </w:rPr>
            </w:pPr>
            <w:r w:rsidRPr="00872E4E">
              <w:rPr>
                <w:rFonts w:ascii="Arial" w:eastAsia="Times New Roman" w:cs="Arial"/>
                <w:position w:val="-24"/>
                <w:lang w:eastAsia="es-ES"/>
              </w:rPr>
              <w:object w:dxaOrig="960" w:dyaOrig="620" w14:anchorId="034FE42D">
                <v:shape id="_x0000_i1496" type="#_x0000_t75" style="width:51.75pt;height:30.75pt" o:ole="">
                  <v:imagedata r:id="rId942" o:title=""/>
                </v:shape>
                <o:OLEObject Type="Embed" ProgID="Equation.DSMT4" ShapeID="_x0000_i1496" DrawAspect="Content" ObjectID="_1706015177" r:id="rId943"/>
              </w:object>
            </w:r>
          </w:p>
        </w:tc>
        <w:tc>
          <w:tcPr>
            <w:tcW w:w="741" w:type="dxa"/>
          </w:tcPr>
          <w:p w14:paraId="6C7C3FE8" w14:textId="77777777" w:rsidR="00EB50D0" w:rsidRDefault="00EB50D0" w:rsidP="007907D5">
            <w:pPr>
              <w:rPr>
                <w:rFonts w:cs="Arial"/>
              </w:rPr>
            </w:pPr>
          </w:p>
        </w:tc>
      </w:tr>
    </w:tbl>
    <w:p w14:paraId="7B8DF29F" w14:textId="77777777" w:rsidR="00EB50D0" w:rsidRPr="000B271D" w:rsidRDefault="00EB50D0" w:rsidP="00EB50D0">
      <w:pPr>
        <w:spacing w:line="240" w:lineRule="auto"/>
      </w:pPr>
    </w:p>
    <w:p w14:paraId="0FA1B414" w14:textId="53A234F6" w:rsidR="00EB50D0" w:rsidRPr="00872E4E" w:rsidRDefault="00EB50D0" w:rsidP="00EB50D0">
      <w:pPr>
        <w:spacing w:line="240" w:lineRule="auto"/>
        <w:rPr>
          <w:rFonts w:cs="Arial"/>
        </w:rPr>
      </w:pPr>
      <w:r>
        <w:rPr>
          <w:rFonts w:cs="Arial"/>
        </w:rPr>
        <w:t xml:space="preserve">Para el análisis de incidencia de los impuestos mediante modelos de equilibrio general suelen usarse indicadores de compensación de los ingresos, en este caso la medida más usada es la variación equivalente </w:t>
      </w:r>
      <w:r w:rsidRPr="007D5472">
        <w:rPr>
          <w:rFonts w:cs="Arial"/>
          <w:iCs/>
        </w:rPr>
        <w:t>Hicksiana</w:t>
      </w:r>
      <w:r>
        <w:rPr>
          <w:rFonts w:cs="Arial"/>
          <w:iCs/>
        </w:rPr>
        <w:t xml:space="preserve"> (VE)</w:t>
      </w:r>
      <w:r w:rsidRPr="007D5472">
        <w:rPr>
          <w:rFonts w:cs="Arial"/>
        </w:rPr>
        <w:t>,</w:t>
      </w:r>
      <w:r>
        <w:rPr>
          <w:rFonts w:cs="Arial"/>
        </w:rPr>
        <w:t xml:space="preserve"> la cual consiste en tomar los ingresos y precios del equilibrio inicial, y mirar la diferencia de estos con los nuevos equilibrios, esto se muestra en la ecuación 2.</w:t>
      </w:r>
      <w:r w:rsidR="00C67FB6">
        <w:rPr>
          <w:rFonts w:cs="Arial"/>
        </w:rPr>
        <w:t>7</w:t>
      </w:r>
      <w:r>
        <w:rPr>
          <w:rFonts w:cs="Arial"/>
        </w:rPr>
        <w:t xml:space="preserve">.2. </w:t>
      </w:r>
      <w:r>
        <w:rPr>
          <w:rFonts w:cs="Arial"/>
        </w:rPr>
        <w:fldChar w:fldCharType="begin" w:fldLock="1"/>
      </w:r>
      <w:r>
        <w:rPr>
          <w:rFonts w:cs="Arial"/>
        </w:rPr>
        <w:instrText>ADDIN CSL_CITATION {"citationItems":[{"id":"ITEM-1","itemData":{"DOI":"10.2307/2725306","ISBN":"00220515","ISSN":"00220515","abstract":"We wish to acknowledge the help of three referees and of John Pencavel on several earlier drafts, as well as the assistance of the modelers, whose work is referred to in the paper. They corrected our lack of understanding of their work and provided many other helpful comments. Excellent research and bibliographical assistance have been provided by Debbie Fretz, Radwan Shaban, and Janet Stotsky. Helpful comments have been made by Charles Ballard, Michael Boskin, Lans Bovenberg, Sylvester Damus, Harvey Galper, Glenn Harrison, Gordon Lenjosek, Jack Mutti, Serena Ng, T. N. Srinivasan, Charles Stuart, and Eric Toder. The authors also acknowledgefinancial support from the National Bureau of Economic Research, the National Science Foundation, International Business Machines, and the Social Sciences and Humanities Research Council: Ottawa, Canada.","author":[{"dropping-particle":"","family":"Shoven","given":"John","non-dropping-particle":"","parse-names":false,"suffix":""},{"dropping-particle":"","family":"Whalley","given":"John","non-dropping-particle":"","parse-names":false,"suffix":""}],"container-title":"Journal of Economic Literature","id":"ITEM-1","issue":"3","issued":{"date-parts":[["1984"]]},"page":"1007-1051","title":"Applied General-Equilibrium Models of Taxation and International Trade: An Introduction and Survey","type":"article-journal","volume":"22"},"uris":["http://www.mendeley.com/documents/?uuid=e08ff815-4fa7-4040-9d90-c91bd139d0a0"]}],"mendeley":{"formattedCitation":"(Shoven &amp; Whalley, 1984)","plainTextFormattedCitation":"(Shoven &amp; Whalley, 1984)","previouslyFormattedCitation":"(Shoven &amp; Whalley, 1984)"},"properties":{"noteIndex":0},"schema":"https://github.com/citation-style-language/schema/raw/master/csl-citation.json"}</w:instrText>
      </w:r>
      <w:r>
        <w:rPr>
          <w:rFonts w:cs="Arial"/>
        </w:rPr>
        <w:fldChar w:fldCharType="separate"/>
      </w:r>
      <w:r w:rsidRPr="007D5472">
        <w:rPr>
          <w:rFonts w:cs="Arial"/>
          <w:noProof/>
        </w:rPr>
        <w:t>(Shoven &amp; Whalley, 1984)</w:t>
      </w:r>
      <w:r>
        <w:rPr>
          <w:rFonts w:cs="Arial"/>
        </w:rPr>
        <w:fldChar w:fldCharType="end"/>
      </w:r>
      <w:r>
        <w:rPr>
          <w:rFonts w:cs="Arial"/>
        </w:rPr>
        <w:t>.</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5"/>
        <w:gridCol w:w="7470"/>
        <w:gridCol w:w="741"/>
      </w:tblGrid>
      <w:tr w:rsidR="00EB50D0" w14:paraId="718C09D8" w14:textId="77777777" w:rsidTr="007907D5">
        <w:trPr>
          <w:jc w:val="center"/>
        </w:trPr>
        <w:tc>
          <w:tcPr>
            <w:tcW w:w="805" w:type="dxa"/>
          </w:tcPr>
          <w:p w14:paraId="49860F8C" w14:textId="5288FF18" w:rsidR="00EB50D0" w:rsidRPr="00872E4E" w:rsidRDefault="00EB50D0" w:rsidP="007907D5">
            <w:pPr>
              <w:rPr>
                <w:rFonts w:ascii="Arial" w:cs="Arial"/>
              </w:rPr>
            </w:pPr>
            <w:r w:rsidRPr="00872E4E">
              <w:rPr>
                <w:rFonts w:ascii="Arial" w:cs="Arial"/>
              </w:rPr>
              <w:t>2.</w:t>
            </w:r>
            <w:r w:rsidR="00C67FB6">
              <w:rPr>
                <w:rFonts w:ascii="Arial" w:cs="Arial"/>
              </w:rPr>
              <w:t>7</w:t>
            </w:r>
            <w:r>
              <w:rPr>
                <w:rFonts w:ascii="Arial" w:cs="Arial"/>
              </w:rPr>
              <w:t>.2</w:t>
            </w:r>
          </w:p>
        </w:tc>
        <w:tc>
          <w:tcPr>
            <w:tcW w:w="7470" w:type="dxa"/>
          </w:tcPr>
          <w:p w14:paraId="370F551D" w14:textId="6A72EECB" w:rsidR="00EB50D0" w:rsidRPr="00872E4E" w:rsidRDefault="00F950B2" w:rsidP="007907D5">
            <w:pPr>
              <w:jc w:val="center"/>
              <w:rPr>
                <w:rFonts w:ascii="Arial" w:cs="Arial"/>
              </w:rPr>
            </w:pPr>
            <w:r w:rsidRPr="00872E4E">
              <w:rPr>
                <w:rFonts w:ascii="Arial" w:eastAsia="Times New Roman" w:cs="Arial"/>
                <w:position w:val="-24"/>
                <w:lang w:eastAsia="es-ES"/>
              </w:rPr>
              <w:object w:dxaOrig="2120" w:dyaOrig="660" w14:anchorId="2AF154F6">
                <v:shape id="_x0000_i1497" type="#_x0000_t75" style="width:108pt;height:30.75pt" o:ole="">
                  <v:imagedata r:id="rId944" o:title=""/>
                </v:shape>
                <o:OLEObject Type="Embed" ProgID="Equation.DSMT4" ShapeID="_x0000_i1497" DrawAspect="Content" ObjectID="_1706015178" r:id="rId945"/>
              </w:object>
            </w:r>
          </w:p>
        </w:tc>
        <w:tc>
          <w:tcPr>
            <w:tcW w:w="741" w:type="dxa"/>
          </w:tcPr>
          <w:p w14:paraId="6240F88C" w14:textId="77777777" w:rsidR="00EB50D0" w:rsidRDefault="00EB50D0" w:rsidP="007907D5">
            <w:pPr>
              <w:rPr>
                <w:rFonts w:cs="Arial"/>
              </w:rPr>
            </w:pPr>
          </w:p>
        </w:tc>
      </w:tr>
    </w:tbl>
    <w:p w14:paraId="24628E65" w14:textId="77777777" w:rsidR="00EB50D0" w:rsidRDefault="00EB50D0" w:rsidP="00EB50D0">
      <w:pPr>
        <w:spacing w:line="240" w:lineRule="auto"/>
        <w:rPr>
          <w:rFonts w:cs="Arial"/>
        </w:rPr>
      </w:pPr>
    </w:p>
    <w:p w14:paraId="73FD73F5" w14:textId="77777777" w:rsidR="00EB50D0" w:rsidRDefault="00EB50D0" w:rsidP="00EB50D0">
      <w:pPr>
        <w:spacing w:line="240" w:lineRule="auto"/>
        <w:rPr>
          <w:rFonts w:cs="Arial"/>
        </w:rPr>
      </w:pPr>
      <w:r w:rsidRPr="00872E4E">
        <w:rPr>
          <w:rFonts w:cs="Arial"/>
        </w:rPr>
        <w:t xml:space="preserve">Donde </w:t>
      </w:r>
      <w:r w:rsidRPr="00872E4E">
        <w:rPr>
          <w:position w:val="-6"/>
        </w:rPr>
        <w:object w:dxaOrig="380" w:dyaOrig="320" w14:anchorId="07552735">
          <v:shape id="_x0000_i1498" type="#_x0000_t75" style="width:20.25pt;height:15.75pt" o:ole="">
            <v:imagedata r:id="rId946" o:title=""/>
          </v:shape>
          <o:OLEObject Type="Embed" ProgID="Equation.DSMT4" ShapeID="_x0000_i1498" DrawAspect="Content" ObjectID="_1706015179" r:id="rId947"/>
        </w:object>
      </w:r>
      <w:r>
        <w:t xml:space="preserve"> es la utilidad inicial, </w:t>
      </w:r>
      <w:r w:rsidRPr="00872E4E">
        <w:rPr>
          <w:position w:val="-6"/>
        </w:rPr>
        <w:object w:dxaOrig="360" w:dyaOrig="320" w14:anchorId="68CDCB75">
          <v:shape id="_x0000_i1499" type="#_x0000_t75" style="width:20.25pt;height:15.75pt" o:ole="">
            <v:imagedata r:id="rId948" o:title=""/>
          </v:shape>
          <o:OLEObject Type="Embed" ProgID="Equation.DSMT4" ShapeID="_x0000_i1499" DrawAspect="Content" ObjectID="_1706015180" r:id="rId949"/>
        </w:object>
      </w:r>
      <w:r>
        <w:rPr>
          <w:rFonts w:cs="Arial"/>
        </w:rPr>
        <w:t xml:space="preserve">e </w:t>
      </w:r>
      <w:r w:rsidRPr="00025957">
        <w:rPr>
          <w:position w:val="-4"/>
        </w:rPr>
        <w:object w:dxaOrig="499" w:dyaOrig="300" w14:anchorId="3A0331FA">
          <v:shape id="_x0000_i1500" type="#_x0000_t75" style="width:30.75pt;height:15.75pt" o:ole="">
            <v:imagedata r:id="rId950" o:title=""/>
          </v:shape>
          <o:OLEObject Type="Embed" ProgID="Equation.DSMT4" ShapeID="_x0000_i1500" DrawAspect="Content" ObjectID="_1706015181" r:id="rId951"/>
        </w:object>
      </w:r>
      <w:r>
        <w:t xml:space="preserve">son </w:t>
      </w:r>
      <w:r>
        <w:rPr>
          <w:rFonts w:cs="Arial"/>
        </w:rPr>
        <w:t xml:space="preserve">la utilidad e ingreso del nuevo equilibrio respectivamente. La facilidad de utilizar este indicador es que permite obtener directamente el nivel de incidencia ya que muestra la variación necesaria para mantener el nivel de utilidad inicial. </w:t>
      </w:r>
    </w:p>
    <w:p w14:paraId="5D5671D7" w14:textId="5B189B01" w:rsidR="00EB50D0" w:rsidRDefault="00EB50D0" w:rsidP="00EB50D0">
      <w:pPr>
        <w:spacing w:line="240" w:lineRule="auto"/>
        <w:rPr>
          <w:rFonts w:cs="Arial"/>
        </w:rPr>
      </w:pPr>
      <w:r>
        <w:rPr>
          <w:rFonts w:cs="Arial"/>
        </w:rPr>
        <w:t xml:space="preserve">Otro indicador utilizado para este tipo de análisis es </w:t>
      </w:r>
      <w:r w:rsidR="00124C56">
        <w:rPr>
          <w:rFonts w:cs="Arial"/>
        </w:rPr>
        <w:t>el</w:t>
      </w:r>
      <w:r>
        <w:rPr>
          <w:rFonts w:cs="Arial"/>
        </w:rPr>
        <w:t xml:space="preserve"> Costo Marginal de Fondos (CMFP</w:t>
      </w:r>
      <w:r w:rsidRPr="007646FC">
        <w:rPr>
          <w:rFonts w:cs="Arial"/>
        </w:rPr>
        <w:t>)</w:t>
      </w:r>
      <w:r>
        <w:rPr>
          <w:rFonts w:cs="Arial"/>
        </w:rPr>
        <w:t>, el cual muestra cuento les cuesta a los hogares el aumento en los tributos, en este caso, los cambios por la transformación del impuesto de ventas. Los hogares modifican su patrón de consumo cuando les introducen un impuesto distorsionador</w:t>
      </w:r>
      <w:r w:rsidR="005C6DE3">
        <w:rPr>
          <w:rFonts w:cs="Arial"/>
        </w:rPr>
        <w:t xml:space="preserve"> (</w:t>
      </w:r>
      <w:r w:rsidR="00CC1C17">
        <w:rPr>
          <w:rFonts w:cs="Arial"/>
        </w:rPr>
        <w:t>es posible alterar su obligación fiscal modificando su consumo)</w:t>
      </w:r>
      <w:r>
        <w:rPr>
          <w:rFonts w:cs="Arial"/>
        </w:rPr>
        <w:t xml:space="preserve">, por lo que reduce su utilidad, a partir de esto se desprende la idea </w:t>
      </w:r>
      <w:r w:rsidR="00347939">
        <w:rPr>
          <w:rFonts w:cs="Arial"/>
        </w:rPr>
        <w:t>que,</w:t>
      </w:r>
      <w:r>
        <w:rPr>
          <w:rFonts w:cs="Arial"/>
        </w:rPr>
        <w:t xml:space="preserve"> al recaudar, un colón por medio de tributos</w:t>
      </w:r>
      <w:r w:rsidR="00BE5890">
        <w:rPr>
          <w:rFonts w:cs="Arial"/>
        </w:rPr>
        <w:t>,</w:t>
      </w:r>
      <w:r>
        <w:rPr>
          <w:rFonts w:cs="Arial"/>
        </w:rPr>
        <w:t xml:space="preserve"> el costo marginal sea</w:t>
      </w:r>
      <w:r w:rsidR="00224667">
        <w:rPr>
          <w:rFonts w:cs="Arial"/>
        </w:rPr>
        <w:t xml:space="preserve"> normalmente</w:t>
      </w:r>
      <w:r>
        <w:rPr>
          <w:rFonts w:cs="Arial"/>
        </w:rPr>
        <w:t xml:space="preserve"> superior al colón. La fórmula del indicador se muestra en la ecuación 2.</w:t>
      </w:r>
      <w:r w:rsidR="00306F92">
        <w:rPr>
          <w:rFonts w:cs="Arial"/>
        </w:rPr>
        <w:t>7</w:t>
      </w:r>
      <w:r>
        <w:rPr>
          <w:rFonts w:cs="Arial"/>
        </w:rPr>
        <w:t xml:space="preserve">.3. </w:t>
      </w:r>
      <w:r>
        <w:rPr>
          <w:rFonts w:cs="Arial"/>
        </w:rPr>
        <w:fldChar w:fldCharType="begin" w:fldLock="1"/>
      </w:r>
      <w:r>
        <w:rPr>
          <w:rFonts w:cs="Arial"/>
        </w:rPr>
        <w:instrText>ADDIN CSL_CITATION {"citationItems":[{"id":"ITEM-1","itemData":{"abstract":"The paper documents a dynamic general equilibrium model for Colombia based on national accounts from 1999. The paper is part of a project intended to develop a capacity for the the design, specification, and application of computable models within the Colombian Ministry of Finance and Department of National Planning. Our analytical framework includes both forwardlooking expectations and Harris-Todaro labor markets. In the present paper we compare numerical results from the dynamic model with simpler static and\\nsteady-state formulations to highlight the importance of transitional effects in evaluating tax policy reform. Our applications include measurement of the marginal cost of funds from different tax bases and the evaluation of discrete changes in tariff structure. The structure of the labor and intermediate credit markets have important implications for the ranking alternative tax reform\\nproposals.","author":[{"dropping-particle":"","family":"Rutherford","given":"Thomas","non-dropping-particle":"","parse-names":false,"suffix":""},{"dropping-particle":"","family":"Light","given":"Miles","non-dropping-particle":"","parse-names":false,"suffix":""}],"container-title":"MPRA Paper","id":"ITEM-1","issued":{"date-parts":[["2002"]]},"title":"A General Equilibrium Model for Tax Policy Analysis in Colombia: The MEGATAX model","type":"article-journal"},"uris":["http://www.mendeley.com/documents/?uuid=e4efeb3e-5d3e-4673-9574-4c7707e88633"]}],"mendeley":{"formattedCitation":"(Rutherford &amp; Light, 2002)","plainTextFormattedCitation":"(Rutherford &amp; Light, 2002)","previouslyFormattedCitation":"(Rutherford &amp; Light, 2002)"},"properties":{"noteIndex":0},"schema":"https://github.com/citation-style-language/schema/raw/master/csl-citation.json"}</w:instrText>
      </w:r>
      <w:r>
        <w:rPr>
          <w:rFonts w:cs="Arial"/>
        </w:rPr>
        <w:fldChar w:fldCharType="separate"/>
      </w:r>
      <w:r w:rsidRPr="00E47996">
        <w:rPr>
          <w:rFonts w:cs="Arial"/>
          <w:noProof/>
        </w:rPr>
        <w:t>(Rutherford &amp; Light, 2002)</w:t>
      </w:r>
      <w:r>
        <w:rPr>
          <w:rFonts w:cs="Arial"/>
        </w:rPr>
        <w:fldChar w:fldCharType="end"/>
      </w:r>
      <w:r>
        <w:rPr>
          <w:rFonts w:cs="Arial"/>
        </w:rPr>
        <w:t>.</w:t>
      </w:r>
    </w:p>
    <w:p w14:paraId="585A3E6A" w14:textId="77777777" w:rsidR="00EB50D0" w:rsidRPr="001A2E71" w:rsidRDefault="00EB50D0" w:rsidP="00EB50D0">
      <w:pPr>
        <w:spacing w:line="240" w:lineRule="auto"/>
        <w:rPr>
          <w:rFonts w:cs="Arial"/>
        </w:rPr>
      </w:pP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5"/>
        <w:gridCol w:w="7470"/>
        <w:gridCol w:w="741"/>
      </w:tblGrid>
      <w:tr w:rsidR="00EB50D0" w14:paraId="6B7C473E" w14:textId="77777777" w:rsidTr="007907D5">
        <w:trPr>
          <w:jc w:val="center"/>
        </w:trPr>
        <w:tc>
          <w:tcPr>
            <w:tcW w:w="805" w:type="dxa"/>
          </w:tcPr>
          <w:p w14:paraId="19194546" w14:textId="6109DB15" w:rsidR="00EB50D0" w:rsidRPr="00872E4E" w:rsidRDefault="00EB50D0" w:rsidP="007907D5">
            <w:pPr>
              <w:rPr>
                <w:rFonts w:ascii="Arial" w:cs="Arial"/>
              </w:rPr>
            </w:pPr>
            <w:r w:rsidRPr="00872E4E">
              <w:rPr>
                <w:rFonts w:ascii="Arial" w:cs="Arial"/>
              </w:rPr>
              <w:t>2.</w:t>
            </w:r>
            <w:r w:rsidR="00306F92">
              <w:rPr>
                <w:rFonts w:ascii="Arial" w:cs="Arial"/>
              </w:rPr>
              <w:t>7</w:t>
            </w:r>
            <w:r>
              <w:rPr>
                <w:rFonts w:ascii="Arial" w:cs="Arial"/>
              </w:rPr>
              <w:t>.3</w:t>
            </w:r>
          </w:p>
        </w:tc>
        <w:tc>
          <w:tcPr>
            <w:tcW w:w="7470" w:type="dxa"/>
          </w:tcPr>
          <w:p w14:paraId="79833CF5" w14:textId="77777777" w:rsidR="00EB50D0" w:rsidRPr="00872E4E" w:rsidRDefault="00EB50D0" w:rsidP="007907D5">
            <w:pPr>
              <w:jc w:val="center"/>
              <w:rPr>
                <w:rFonts w:ascii="Arial" w:cs="Arial"/>
              </w:rPr>
            </w:pPr>
            <w:r w:rsidRPr="002B14E8">
              <w:rPr>
                <w:rFonts w:ascii="Arial" w:eastAsia="Times New Roman" w:cs="Arial"/>
                <w:position w:val="-28"/>
                <w:lang w:eastAsia="es-ES"/>
              </w:rPr>
              <w:object w:dxaOrig="1660" w:dyaOrig="660" w14:anchorId="27A121EF">
                <v:shape id="_x0000_i1501" type="#_x0000_t75" style="width:77.25pt;height:30.75pt" o:ole="">
                  <v:imagedata r:id="rId952" o:title=""/>
                </v:shape>
                <o:OLEObject Type="Embed" ProgID="Equation.DSMT4" ShapeID="_x0000_i1501" DrawAspect="Content" ObjectID="_1706015182" r:id="rId953"/>
              </w:object>
            </w:r>
          </w:p>
        </w:tc>
        <w:tc>
          <w:tcPr>
            <w:tcW w:w="741" w:type="dxa"/>
          </w:tcPr>
          <w:p w14:paraId="3AC67B7D" w14:textId="77777777" w:rsidR="00EB50D0" w:rsidRDefault="00EB50D0" w:rsidP="007907D5">
            <w:pPr>
              <w:rPr>
                <w:rFonts w:cs="Arial"/>
              </w:rPr>
            </w:pPr>
          </w:p>
        </w:tc>
      </w:tr>
    </w:tbl>
    <w:p w14:paraId="19C617C0" w14:textId="77777777" w:rsidR="00EB50D0" w:rsidRDefault="00EB50D0" w:rsidP="00EB50D0">
      <w:pPr>
        <w:jc w:val="left"/>
        <w:rPr>
          <w:rFonts w:cs="Arial"/>
          <w:sz w:val="18"/>
          <w:lang w:val="en-US"/>
        </w:rPr>
      </w:pPr>
    </w:p>
    <w:p w14:paraId="32BD46AC" w14:textId="224D03B0" w:rsidR="00F672D3" w:rsidRDefault="00EB50D0" w:rsidP="00F700CF">
      <w:pPr>
        <w:jc w:val="left"/>
        <w:rPr>
          <w:rFonts w:cs="Arial"/>
        </w:rPr>
      </w:pPr>
      <w:r w:rsidRPr="001B2C88">
        <w:rPr>
          <w:rFonts w:cs="Arial"/>
        </w:rPr>
        <w:t>Donde</w:t>
      </w:r>
      <w:r>
        <w:rPr>
          <w:rFonts w:cs="Arial"/>
        </w:rPr>
        <w:t xml:space="preserve"> </w:t>
      </w:r>
      <w:r w:rsidRPr="006D1121">
        <w:rPr>
          <w:position w:val="-10"/>
        </w:rPr>
        <w:object w:dxaOrig="580" w:dyaOrig="320" w14:anchorId="6B9F86B1">
          <v:shape id="_x0000_i1502" type="#_x0000_t75" style="width:30.75pt;height:15.75pt" o:ole="">
            <v:imagedata r:id="rId954" o:title=""/>
          </v:shape>
          <o:OLEObject Type="Embed" ProgID="Equation.DSMT4" ShapeID="_x0000_i1502" DrawAspect="Content" ObjectID="_1706015183" r:id="rId955"/>
        </w:object>
      </w:r>
      <w:r>
        <w:t>representa el cambio percibido por los ingresos en las simulaciones.</w:t>
      </w:r>
      <w:r>
        <w:rPr>
          <w:rFonts w:cs="Arial"/>
        </w:rPr>
        <w:t xml:space="preserve"> </w:t>
      </w:r>
    </w:p>
    <w:p w14:paraId="721846CB" w14:textId="1B193FAB" w:rsidR="00DE18F7" w:rsidRPr="00580A4E" w:rsidRDefault="00580A4E" w:rsidP="00F92721">
      <w:pPr>
        <w:spacing w:line="240" w:lineRule="auto"/>
        <w:rPr>
          <w:rFonts w:cs="Arial"/>
        </w:rPr>
      </w:pPr>
      <w:r>
        <w:rPr>
          <w:rFonts w:cs="Arial"/>
        </w:rPr>
        <w:br w:type="page"/>
      </w:r>
    </w:p>
    <w:p w14:paraId="6E33458A" w14:textId="691C1A82" w:rsidR="0062331E" w:rsidRDefault="00BF2386" w:rsidP="008D69D8">
      <w:pPr>
        <w:pStyle w:val="Heading1"/>
        <w:spacing w:line="240" w:lineRule="auto"/>
      </w:pPr>
      <w:bookmarkStart w:id="148" w:name="_Toc2853759"/>
      <w:r>
        <w:lastRenderedPageBreak/>
        <w:t>Cap</w:t>
      </w:r>
      <w:r w:rsidR="001B061C">
        <w:t>í</w:t>
      </w:r>
      <w:r>
        <w:t xml:space="preserve">tulo III: </w:t>
      </w:r>
      <w:r w:rsidR="0018106B" w:rsidRPr="0018106B">
        <w:t>Metodología de la Investigación</w:t>
      </w:r>
      <w:bookmarkEnd w:id="148"/>
    </w:p>
    <w:p w14:paraId="3840785E" w14:textId="154353E6" w:rsidR="000A2C2F" w:rsidRPr="000E7961" w:rsidRDefault="004502C6" w:rsidP="00765032">
      <w:pPr>
        <w:pStyle w:val="Heading2"/>
      </w:pPr>
      <w:bookmarkStart w:id="149" w:name="_Toc2853760"/>
      <w:r w:rsidRPr="000E7961">
        <w:t>3</w:t>
      </w:r>
      <w:r w:rsidR="00F33EF8" w:rsidRPr="000E7961">
        <w:t>.</w:t>
      </w:r>
      <w:r w:rsidRPr="000E7961">
        <w:t xml:space="preserve">1 </w:t>
      </w:r>
      <w:r w:rsidR="000A2C2F" w:rsidRPr="000E7961">
        <w:t xml:space="preserve">Tipo de </w:t>
      </w:r>
      <w:r w:rsidR="00902BD4">
        <w:t>I</w:t>
      </w:r>
      <w:r w:rsidR="008316EE" w:rsidRPr="000E7961">
        <w:t>nvestigación</w:t>
      </w:r>
      <w:r w:rsidR="000A2C2F" w:rsidRPr="000E7961">
        <w:t>:</w:t>
      </w:r>
      <w:bookmarkEnd w:id="149"/>
    </w:p>
    <w:p w14:paraId="1C568D16" w14:textId="3CEB8348" w:rsidR="000A2C2F" w:rsidRPr="00B870F5" w:rsidRDefault="000A2C2F" w:rsidP="00C139E7">
      <w:pPr>
        <w:spacing w:line="240" w:lineRule="auto"/>
        <w:rPr>
          <w:rFonts w:cs="Arial"/>
        </w:rPr>
      </w:pPr>
      <w:r w:rsidRPr="00B870F5">
        <w:rPr>
          <w:rFonts w:cs="Arial"/>
        </w:rPr>
        <w:t xml:space="preserve">Para definir el tipo de investigación es necesario exponer los estudios de alcance descriptivo, los cuales consisten en especificar las propiedades y perfiles de los objetos a estudiar. Por otro lado, también es un estudio explicativo, porque va más allá de la descripción de conceptos o establecer relaciones, sino dirigido a responder por las causas de los fenómenos. </w:t>
      </w:r>
      <w:r w:rsidRPr="00B870F5">
        <w:rPr>
          <w:rFonts w:cs="Arial"/>
        </w:rPr>
        <w:fldChar w:fldCharType="begin" w:fldLock="1"/>
      </w:r>
      <w:r w:rsidR="00475856">
        <w:rPr>
          <w:rFonts w:cs="Arial"/>
        </w:rPr>
        <w:instrText>ADDIN CSL_CITATION {"citationItems":[{"id":"ITEM-1","itemData":{"DOI":"- ISBN 978-92-75-32913-9","ISBN":"9789684229310","abstract":"Esta quinta edición conserva su carácter didáctico y multidisciplinario, pero expande sus perspectivas, ya que se ha convertido en un libro interactivo que vincula el contenido del texto ; de tal manera que la parte impresa resulta ahora más manejable para el lector ; asi como distintos ejemplos cuantitativos, cualitativos y de estudios mixtos. Por ello, puede utilizarse en cursos básicos de unvestigación, pero también en asignaturas de nivel intermedio y avanzado.","author":[{"dropping-particle":"","family":"Hernandez Sampieri","given":"Roberto","non-dropping-particle":"","parse-names":false,"suffix":""},{"dropping-particle":"","family":"Fernandez Collado","given":"Carlos","non-dropping-particle":"","parse-names":false,"suffix":""},{"dropping-particle":"","family":"Baptista Lucio","given":"Maria del Pilar","non-dropping-particle":"","parse-names":false,"suffix":""}],"id":"ITEM-1","issued":{"date-parts":[["1991"]]},"publisher":"McGraw-Hill","publisher-place":"México","title":"Metodología de la investigación","type":"book"},"uris":["http://www.mendeley.com/documents/?uuid=ace2d0eb-08eb-4885-941a-fe2ad7706d1b"]}],"mendeley":{"formattedCitation":"(Hernandez Sampieri, Fernandez Collado, &amp; Baptista Lucio, 1991)","plainTextFormattedCitation":"(Hernandez Sampieri, Fernandez Collado, &amp; Baptista Lucio, 1991)","previouslyFormattedCitation":"(Hernandez Sampieri, Fernandez Collado, &amp; Baptista Lucio, 1991)"},"properties":{"noteIndex":0},"schema":"https://github.com/citation-style-language/schema/raw/master/csl-citation.json"}</w:instrText>
      </w:r>
      <w:r w:rsidRPr="00B870F5">
        <w:rPr>
          <w:rFonts w:cs="Arial"/>
        </w:rPr>
        <w:fldChar w:fldCharType="separate"/>
      </w:r>
      <w:r w:rsidRPr="00B870F5">
        <w:rPr>
          <w:rFonts w:cs="Arial"/>
          <w:noProof/>
        </w:rPr>
        <w:t>(Hernandez Sampieri, Fernandez Collado, &amp; Baptista Lucio, 1991)</w:t>
      </w:r>
      <w:r w:rsidRPr="00B870F5">
        <w:rPr>
          <w:rFonts w:cs="Arial"/>
        </w:rPr>
        <w:fldChar w:fldCharType="end"/>
      </w:r>
      <w:r w:rsidRPr="00B870F5">
        <w:rPr>
          <w:rFonts w:cs="Arial"/>
        </w:rPr>
        <w:t>.</w:t>
      </w:r>
    </w:p>
    <w:p w14:paraId="29A23C16" w14:textId="0D1B21DC" w:rsidR="000A2C2F" w:rsidRPr="00B870F5" w:rsidRDefault="000A2C2F" w:rsidP="00C139E7">
      <w:pPr>
        <w:spacing w:line="240" w:lineRule="auto"/>
        <w:rPr>
          <w:rFonts w:cs="Arial"/>
        </w:rPr>
      </w:pPr>
      <w:r w:rsidRPr="00B870F5">
        <w:rPr>
          <w:rFonts w:cs="Arial"/>
        </w:rPr>
        <w:t xml:space="preserve">De esta forma, el alcance del proyecto de graduación consiste en describir la situación del IVA y explicar la incidencia </w:t>
      </w:r>
      <w:r w:rsidR="00DD2844" w:rsidRPr="00B870F5">
        <w:rPr>
          <w:rFonts w:cs="Arial"/>
        </w:rPr>
        <w:t>de este</w:t>
      </w:r>
      <w:r w:rsidRPr="00B870F5">
        <w:rPr>
          <w:rFonts w:cs="Arial"/>
        </w:rPr>
        <w:t xml:space="preserve"> en un contexto de equilibrio general. Por tanto, se busca explicar el impacto de un aumento en alícuota y estimar como se traslada el efecto entre los agentes. </w:t>
      </w:r>
    </w:p>
    <w:p w14:paraId="0B756BDE" w14:textId="61C99F8C" w:rsidR="000A2C2F" w:rsidRPr="00B870F5" w:rsidRDefault="000A2C2F" w:rsidP="00C139E7">
      <w:pPr>
        <w:spacing w:line="240" w:lineRule="auto"/>
        <w:rPr>
          <w:rFonts w:cs="Arial"/>
        </w:rPr>
      </w:pPr>
      <w:r w:rsidRPr="00B870F5">
        <w:rPr>
          <w:rFonts w:cs="Arial"/>
        </w:rPr>
        <w:t xml:space="preserve">Los estudios cuantitativos plantean las relaciones entre las variables con la finalidad de llegar a proposiciones y hacer recomendaciones. De esta manera, con este tipo de enfoque se puede llegar a datos precisos que permitan revelar algún cambio posible mediante el proyecto de graduación. </w:t>
      </w:r>
      <w:r w:rsidRPr="00B870F5">
        <w:rPr>
          <w:rFonts w:cs="Arial"/>
        </w:rPr>
        <w:fldChar w:fldCharType="begin" w:fldLock="1"/>
      </w:r>
      <w:r w:rsidR="00475856">
        <w:rPr>
          <w:rFonts w:cs="Arial"/>
        </w:rPr>
        <w:instrText>ADDIN CSL_CITATION {"citationItems":[{"id":"ITEM-1","itemData":{"DOI":"- ISBN 978-92-75-32913-9","ISBN":"9789684229310","abstract":"Esta quinta edición conserva su carácter didáctico y multidisciplinario, pero expande sus perspectivas, ya que se ha convertido en un libro interactivo que vincula el contenido del texto ; de tal manera que la parte impresa resulta ahora más manejable para el lector ; asi como distintos ejemplos cuantitativos, cualitativos y de estudios mixtos. Por ello, puede utilizarse en cursos básicos de unvestigación, pero también en asignaturas de nivel intermedio y avanzado.","author":[{"dropping-particle":"","family":"Hernandez Sampieri","given":"Roberto","non-dropping-particle":"","parse-names":false,"suffix":""},{"dropping-particle":"","family":"Fernandez Collado","given":"Carlos","non-dropping-particle":"","parse-names":false,"suffix":""},{"dropping-particle":"","family":"Baptista Lucio","given":"Maria del Pilar","non-dropping-particle":"","parse-names":false,"suffix":""}],"id":"ITEM-1","issued":{"date-parts":[["1991"]]},"publisher":"McGraw-Hill","publisher-place":"México","title":"Metodología de la investigación","type":"book"},"uris":["http://www.mendeley.com/documents/?uuid=ace2d0eb-08eb-4885-941a-fe2ad7706d1b"]}],"mendeley":{"formattedCitation":"(Hernandez Sampieri et al., 1991)","plainTextFormattedCitation":"(Hernandez Sampieri et al., 1991)","previouslyFormattedCitation":"(Hernandez Sampieri et al., 1991)"},"properties":{"noteIndex":0},"schema":"https://github.com/citation-style-language/schema/raw/master/csl-citation.json"}</w:instrText>
      </w:r>
      <w:r w:rsidRPr="00B870F5">
        <w:rPr>
          <w:rFonts w:cs="Arial"/>
        </w:rPr>
        <w:fldChar w:fldCharType="separate"/>
      </w:r>
      <w:r w:rsidR="00801FC7" w:rsidRPr="00801FC7">
        <w:rPr>
          <w:rFonts w:cs="Arial"/>
          <w:noProof/>
        </w:rPr>
        <w:t>(Hernandez Samieri et al., 1991)</w:t>
      </w:r>
      <w:r w:rsidRPr="00B870F5">
        <w:rPr>
          <w:rFonts w:cs="Arial"/>
        </w:rPr>
        <w:fldChar w:fldCharType="end"/>
      </w:r>
      <w:r w:rsidRPr="00B870F5">
        <w:rPr>
          <w:rFonts w:cs="Arial"/>
        </w:rPr>
        <w:t>.</w:t>
      </w:r>
    </w:p>
    <w:p w14:paraId="54AA56EE" w14:textId="77777777" w:rsidR="000A2C2F" w:rsidRPr="00B870F5" w:rsidRDefault="000A2C2F" w:rsidP="00C139E7">
      <w:pPr>
        <w:spacing w:line="240" w:lineRule="auto"/>
        <w:rPr>
          <w:rFonts w:cs="Arial"/>
        </w:rPr>
      </w:pPr>
      <w:r w:rsidRPr="00B870F5">
        <w:rPr>
          <w:rFonts w:cs="Arial"/>
        </w:rPr>
        <w:t xml:space="preserve">Los modelos de equilibrio general computable requieren un tipo de análisis cuantitativo, donde se esperan que los resultados se expresen en los valores finales de las variables, en este caso, son las variaciones en las utilidades obtenidas ante los cambios en la alícuotas del IVA, permitiendo el análisis sobre la incidencia del impuesto en los hogares. </w:t>
      </w:r>
    </w:p>
    <w:p w14:paraId="07958871" w14:textId="6688AB5E" w:rsidR="00E4028C" w:rsidRPr="000E7961" w:rsidRDefault="00B35E09" w:rsidP="00765032">
      <w:pPr>
        <w:pStyle w:val="Heading2"/>
      </w:pPr>
      <w:bookmarkStart w:id="150" w:name="_Toc2853761"/>
      <w:r w:rsidRPr="000E7961">
        <w:t xml:space="preserve">3.2 </w:t>
      </w:r>
      <w:r w:rsidR="00E4028C" w:rsidRPr="000E7961">
        <w:t xml:space="preserve">Sujetos y </w:t>
      </w:r>
      <w:r w:rsidR="0009524D">
        <w:t>F</w:t>
      </w:r>
      <w:r w:rsidR="00E4028C" w:rsidRPr="000E7961">
        <w:t xml:space="preserve">uentes de </w:t>
      </w:r>
      <w:r w:rsidR="0063495D">
        <w:t>I</w:t>
      </w:r>
      <w:r w:rsidR="00E4028C" w:rsidRPr="000E7961">
        <w:t>nformación</w:t>
      </w:r>
      <w:r w:rsidRPr="000E7961">
        <w:t>:</w:t>
      </w:r>
      <w:bookmarkEnd w:id="150"/>
    </w:p>
    <w:p w14:paraId="2211DD07" w14:textId="0E199B72" w:rsidR="000A2C2F" w:rsidRDefault="000A2C2F" w:rsidP="00C139E7">
      <w:pPr>
        <w:widowControl w:val="0"/>
        <w:autoSpaceDE w:val="0"/>
        <w:autoSpaceDN w:val="0"/>
        <w:adjustRightInd w:val="0"/>
        <w:spacing w:line="240" w:lineRule="auto"/>
        <w:rPr>
          <w:rFonts w:cs="Arial"/>
        </w:rPr>
      </w:pPr>
      <w:r w:rsidRPr="00B870F5">
        <w:rPr>
          <w:rFonts w:cs="Arial"/>
        </w:rPr>
        <w:t>Dado lo mencionado anteriormente, es la incidencia de los hogares el objeto de estudio, donde se trata de aproximar mediante la variación equivalente</w:t>
      </w:r>
      <w:r w:rsidR="00C16B72">
        <w:rPr>
          <w:rFonts w:cs="Arial"/>
        </w:rPr>
        <w:t xml:space="preserve"> de</w:t>
      </w:r>
      <w:r w:rsidR="003C1610">
        <w:rPr>
          <w:rFonts w:cs="Arial"/>
        </w:rPr>
        <w:t xml:space="preserve"> </w:t>
      </w:r>
      <w:r w:rsidR="003C1610" w:rsidRPr="003C1610">
        <w:rPr>
          <w:rFonts w:cs="Arial"/>
        </w:rPr>
        <w:t>Slutsky</w:t>
      </w:r>
      <w:r w:rsidRPr="00B870F5">
        <w:rPr>
          <w:rFonts w:cs="Arial"/>
        </w:rPr>
        <w:t xml:space="preserve">, la cual mide en términos de ingreso, el cambio en utilidad derivado de un </w:t>
      </w:r>
      <w:r w:rsidR="004D112F">
        <w:rPr>
          <w:rFonts w:cs="Arial"/>
        </w:rPr>
        <w:t>choque</w:t>
      </w:r>
      <w:r w:rsidRPr="00B870F5">
        <w:rPr>
          <w:rFonts w:cs="Arial"/>
        </w:rPr>
        <w:t xml:space="preserve">, expresado de otra forma, cuanto </w:t>
      </w:r>
      <w:r w:rsidR="00CB16D8" w:rsidRPr="00B870F5">
        <w:rPr>
          <w:rFonts w:cs="Arial"/>
        </w:rPr>
        <w:t>varía</w:t>
      </w:r>
      <w:r w:rsidRPr="00B870F5">
        <w:rPr>
          <w:rFonts w:cs="Arial"/>
        </w:rPr>
        <w:t xml:space="preserve"> el ingreso de un agente para que experimente la modificación de utilidad si se produjera un impulso que aumente o disminuya los precios de los bienes. </w:t>
      </w:r>
      <w:r w:rsidRPr="00B870F5">
        <w:rPr>
          <w:rFonts w:cs="Arial"/>
        </w:rPr>
        <w:fldChar w:fldCharType="begin" w:fldLock="1"/>
      </w:r>
      <w:r w:rsidR="00475856">
        <w:rPr>
          <w:rFonts w:cs="Arial"/>
        </w:rPr>
        <w:instrText>ADDIN CSL_CITATION {"citationItems":[{"id":"ITEM-1","itemData":{"author":[{"dropping-particle":"","family":"Chisari","given":"Omar","non-dropping-particle":"","parse-names":false,"suffix":""},{"dropping-particle":"","family":"Maquieyra","given":"Javier A","non-dropping-particle":"","parse-names":false,"suffix":""},{"dropping-particle":"","family":"Miller","given":"Sebastián J","non-dropping-particle":"","parse-names":false,"suffix":""}],"container-title":"BID","id":"ITEM-1","issued":{"date-parts":[["2012"]]},"page":"261","title":"Manual sobre Modelos de Equilibrio General Computado para Económico del Cambio Climático Manual sobre Modelos de Equilibrio General Computado para Economías de LAC con Énfasis en el Análisis Económico del Cambio Climático","type":"article-journal"},"uris":["http://www.mendeley.com/documents/?uuid=e201be0a-3600-4c0d-8e0e-81a26c921024"]}],"mendeley":{"formattedCitation":"(O. Chisari et al., 2012)","plainTextFormattedCitation":"(O. Chisari et al., 2012)","previouslyFormattedCitation":"(O. Chisari et al., 2012)"},"properties":{"noteIndex":0},"schema":"https://github.com/citation-style-language/schema/raw/master/csl-citation.json"}</w:instrText>
      </w:r>
      <w:r w:rsidRPr="00B870F5">
        <w:rPr>
          <w:rFonts w:cs="Arial"/>
        </w:rPr>
        <w:fldChar w:fldCharType="separate"/>
      </w:r>
      <w:r w:rsidR="00801FC7" w:rsidRPr="00801FC7">
        <w:rPr>
          <w:rFonts w:cs="Arial"/>
          <w:noProof/>
        </w:rPr>
        <w:t>(O. Chisari et al., 2012)</w:t>
      </w:r>
      <w:r w:rsidRPr="00B870F5">
        <w:rPr>
          <w:rFonts w:cs="Arial"/>
        </w:rPr>
        <w:fldChar w:fldCharType="end"/>
      </w:r>
      <w:r w:rsidRPr="00B870F5">
        <w:rPr>
          <w:rFonts w:cs="Arial"/>
        </w:rPr>
        <w:t>.</w:t>
      </w:r>
    </w:p>
    <w:p w14:paraId="4D1AB238" w14:textId="01567E69" w:rsidR="000A2C2F" w:rsidRPr="00B870F5" w:rsidRDefault="000A2C2F" w:rsidP="00C139E7">
      <w:pPr>
        <w:spacing w:line="240" w:lineRule="auto"/>
        <w:rPr>
          <w:rFonts w:cs="Arial"/>
        </w:rPr>
      </w:pPr>
      <w:r w:rsidRPr="00B870F5">
        <w:rPr>
          <w:rFonts w:cs="Arial"/>
        </w:rPr>
        <w:t xml:space="preserve">Los escenarios de política son realmente los </w:t>
      </w:r>
      <w:r w:rsidR="004D112F">
        <w:rPr>
          <w:rFonts w:cs="Arial"/>
        </w:rPr>
        <w:t>choques</w:t>
      </w:r>
      <w:r w:rsidRPr="00B870F5">
        <w:rPr>
          <w:rFonts w:cs="Arial"/>
        </w:rPr>
        <w:t xml:space="preserve"> que se plantean simular, para realizar una aproximación de los posibles resultados. En función de la  delimitación del proyecto de tesis, se plantea un aumento en alícuota </w:t>
      </w:r>
      <w:r w:rsidR="00240A9A">
        <w:rPr>
          <w:rFonts w:cs="Arial"/>
        </w:rPr>
        <w:t>y de la base</w:t>
      </w:r>
      <w:r w:rsidR="004D112F">
        <w:rPr>
          <w:rFonts w:cs="Arial"/>
        </w:rPr>
        <w:t>,</w:t>
      </w:r>
      <w:r w:rsidR="00240A9A">
        <w:rPr>
          <w:rFonts w:cs="Arial"/>
        </w:rPr>
        <w:t xml:space="preserve"> manteniendo la lógica de lo</w:t>
      </w:r>
      <w:r w:rsidRPr="00B870F5">
        <w:rPr>
          <w:rFonts w:cs="Arial"/>
        </w:rPr>
        <w:t xml:space="preserve"> estipulado en </w:t>
      </w:r>
      <w:r w:rsidRPr="00B870F5">
        <w:rPr>
          <w:rFonts w:cs="Arial"/>
        </w:rPr>
        <w:fldChar w:fldCharType="begin" w:fldLock="1"/>
      </w:r>
      <w:r w:rsidR="00475856">
        <w:rPr>
          <w:rFonts w:cs="Arial"/>
        </w:rPr>
        <w:instrText>ADDIN CSL_CITATION {"citationItems":[{"id":"ITEM-1","itemData":{"id":"ITEM-1","issue":"19.678","issued":{"date-parts":[["2015"]]},"number":"19.678","publisher":"La Gaceta diario oficial de Costa","publisher-place":"San José","title":"Proyecto de Ley del Impuesto sobre el Valor Agregado","type":"legislation"},"uris":["http://www.mendeley.com/documents/?uuid=4fdaed38-9b94-498e-8476-2ff53b683298"]}],"mendeley":{"formattedCitation":"(Proyecto de Ley del Impuesto sobre el Valor Agregado, 2015)","manualFormatting":"Proyecto de Ley del Impuesto sobre el Valor Agregado del  2015","plainTextFormattedCitation":"(Proyecto de Ley del Impuesto sobre el Valor Agregado, 2015)","previouslyFormattedCitation":"(Proyecto de Ley del Impuesto sobre el Valor Agregado, 2015)"},"properties":{"noteIndex":0},"schema":"https://github.com/citation-style-language/schema/raw/master/csl-citation.json"}</w:instrText>
      </w:r>
      <w:r w:rsidRPr="00B870F5">
        <w:rPr>
          <w:rFonts w:cs="Arial"/>
        </w:rPr>
        <w:fldChar w:fldCharType="separate"/>
      </w:r>
      <w:r w:rsidRPr="00B870F5">
        <w:rPr>
          <w:rFonts w:cs="Arial"/>
          <w:noProof/>
        </w:rPr>
        <w:t>Proyecto de Ley del Impuesto sobre el Valor Agregado del  2015</w:t>
      </w:r>
      <w:r w:rsidRPr="00B870F5">
        <w:rPr>
          <w:rFonts w:cs="Arial"/>
        </w:rPr>
        <w:fldChar w:fldCharType="end"/>
      </w:r>
      <w:r w:rsidRPr="00B870F5">
        <w:rPr>
          <w:rFonts w:cs="Arial"/>
        </w:rPr>
        <w:t>.</w:t>
      </w:r>
    </w:p>
    <w:p w14:paraId="28EBA764" w14:textId="71CF25BF" w:rsidR="000A2C2F" w:rsidRPr="00B870F5" w:rsidRDefault="000A2C2F" w:rsidP="00C139E7">
      <w:pPr>
        <w:spacing w:line="240" w:lineRule="auto"/>
        <w:rPr>
          <w:rFonts w:cs="Arial"/>
        </w:rPr>
      </w:pPr>
      <w:r w:rsidRPr="00B870F5">
        <w:rPr>
          <w:rFonts w:cs="Arial"/>
        </w:rPr>
        <w:t xml:space="preserve">Este tipo de modelos, como se mostró previamente, evidencian los posibles escenarios de una Política Económica: “El análisis de las decisiones de política macro y microeconómicas debe hacerse con consistencia analítica y cuantitativa, rigor intelectual y sentido común, porque tales decisiones afectan el bienestar social, presente y futuro”. </w:t>
      </w:r>
      <w:r w:rsidRPr="00B870F5">
        <w:rPr>
          <w:rFonts w:cs="Arial"/>
        </w:rPr>
        <w:fldChar w:fldCharType="begin" w:fldLock="1"/>
      </w:r>
      <w:r w:rsidR="00475856">
        <w:rPr>
          <w:rFonts w:cs="Arial"/>
        </w:rPr>
        <w:instrText>ADDIN CSL_CITATION {"citationItems":[{"id":"ITEM-1","itemData":{"author":[{"dropping-particle":"","family":"Polo","given":"Clemente","non-dropping-particle":"","parse-names":false,"suffix":""},{"dropping-particle":"","family":"Sancho","given":"Ferran","non-dropping-particle":"","parse-names":false,"suffix":""}],"container-title":"Cuadernos Económicos de ICE","id":"ITEM-1","issue":"48","issued":{"date-parts":[["1991"]]},"page":"239-252","title":"Equivalencia recaudatoria y asignación de recursos: Un análisis de simulación","type":"article-journal","volume":"2"},"uris":["http://www.mendeley.com/documents/?uuid=da0e148f-da55-4954-8253-b8938ec44c9d"]}],"mendeley":{"formattedCitation":"(Polo &amp; Sancho, 1991)","plainTextFormattedCitation":"(Polo &amp; Sancho, 1991)","previouslyFormattedCitation":"(Polo &amp; Sancho, 1991)"},"properties":{"noteIndex":0},"schema":"https://github.com/citation-style-language/schema/raw/master/csl-citation.json"}</w:instrText>
      </w:r>
      <w:r w:rsidRPr="00B870F5">
        <w:rPr>
          <w:rFonts w:cs="Arial"/>
        </w:rPr>
        <w:fldChar w:fldCharType="separate"/>
      </w:r>
      <w:r w:rsidRPr="00B870F5">
        <w:rPr>
          <w:rFonts w:cs="Arial"/>
          <w:noProof/>
        </w:rPr>
        <w:t>(Polo &amp; Sancho, 1991)</w:t>
      </w:r>
      <w:r w:rsidRPr="00B870F5">
        <w:rPr>
          <w:rFonts w:cs="Arial"/>
        </w:rPr>
        <w:fldChar w:fldCharType="end"/>
      </w:r>
      <w:r w:rsidRPr="00B870F5">
        <w:rPr>
          <w:rFonts w:cs="Arial"/>
        </w:rPr>
        <w:t>.</w:t>
      </w:r>
    </w:p>
    <w:p w14:paraId="671EBEE7" w14:textId="57D677A6" w:rsidR="000A2C2F" w:rsidRPr="00B870F5" w:rsidRDefault="000A2C2F" w:rsidP="00C139E7">
      <w:pPr>
        <w:spacing w:line="240" w:lineRule="auto"/>
        <w:rPr>
          <w:rFonts w:cs="Arial"/>
        </w:rPr>
      </w:pPr>
      <w:r w:rsidRPr="00B870F5">
        <w:rPr>
          <w:rFonts w:cs="Arial"/>
        </w:rPr>
        <w:t>Una variable es una propiedad que puede cambiar de estado en diferentes momentos, y su variación es susceptible a como se mide. Este concepto puede aplicarse a distintos objetos.  El beneficio se obtiene cuando un cierto grupo de variables</w:t>
      </w:r>
      <w:r w:rsidRPr="00B870F5">
        <w:rPr>
          <w:rFonts w:cs="Arial"/>
          <w:color w:val="FF0000"/>
        </w:rPr>
        <w:t xml:space="preserve"> </w:t>
      </w:r>
      <w:r w:rsidRPr="00B870F5">
        <w:rPr>
          <w:rFonts w:cs="Arial"/>
        </w:rPr>
        <w:t xml:space="preserve">actúan y se pueden definir ciertos comportamientos, formando hipótesis y teorías. </w:t>
      </w:r>
      <w:r w:rsidRPr="00B870F5">
        <w:rPr>
          <w:rFonts w:cs="Arial"/>
        </w:rPr>
        <w:fldChar w:fldCharType="begin" w:fldLock="1"/>
      </w:r>
      <w:r w:rsidR="00475856">
        <w:rPr>
          <w:rFonts w:cs="Arial"/>
        </w:rPr>
        <w:instrText>ADDIN CSL_CITATION {"citationItems":[{"id":"ITEM-1","itemData":{"DOI":"- ISBN 978-92-75-32913-9","ISBN":"9789684229310","abstract":"Esta quinta edición conserva su carácter didáctico y multidisciplinario, pero expande sus perspectivas, ya que se ha convertido en un libro interactivo que vincula el contenido del texto ; de tal manera que la parte impresa resulta ahora más manejable para el lector ; asi como distintos ejemplos cuantitativos, cualitativos y de estudios mixtos. Por ello, puede utilizarse en cursos básicos de unvestigación, pero también en asignaturas de nivel intermedio y avanzado.","author":[{"dropping-particle":"","family":"Hernandez Sampieri","given":"Roberto","non-dropping-particle":"","parse-names":false,"suffix":""},{"dropping-particle":"","family":"Fernandez Collado","given":"Carlos","non-dropping-particle":"","parse-names":false,"suffix":""},{"dropping-particle":"","family":"Baptista Lucio","given":"Maria del Pilar","non-dropping-particle":"","parse-names":false,"suffix":""}],"id":"ITEM-1","issued":{"date-parts":[["1991"]]},"publisher":"McGraw-Hill","publisher-place":"México","title":"Metodología de la investigación","type":"book"},"uris":["http://www.mendeley.com/documents/?uuid=ace2d0eb-08eb-4885-941a-fe2ad7706d1b"]}],"mendeley":{"formattedCitation":"(Hernandez Sampieri et al., 1991)","plainTextFormattedCitation":"(Hernandez Sampieri et al., 1991)","previouslyFormattedCitation":"(Hernandez Sampieri et al., 1991)"},"properties":{"noteIndex":0},"schema":"https://github.com/citation-style-language/schema/raw/master/csl-citation.json"}</w:instrText>
      </w:r>
      <w:r w:rsidRPr="00B870F5">
        <w:rPr>
          <w:rFonts w:cs="Arial"/>
        </w:rPr>
        <w:fldChar w:fldCharType="separate"/>
      </w:r>
      <w:r w:rsidR="00801FC7" w:rsidRPr="00801FC7">
        <w:rPr>
          <w:rFonts w:cs="Arial"/>
          <w:noProof/>
        </w:rPr>
        <w:t>(Hernandez Sampieri et al., 1991)</w:t>
      </w:r>
      <w:r w:rsidRPr="00B870F5">
        <w:rPr>
          <w:rFonts w:cs="Arial"/>
        </w:rPr>
        <w:fldChar w:fldCharType="end"/>
      </w:r>
      <w:r w:rsidRPr="00B870F5">
        <w:rPr>
          <w:rFonts w:cs="Arial"/>
        </w:rPr>
        <w:t>.</w:t>
      </w:r>
    </w:p>
    <w:p w14:paraId="77A2B1C9" w14:textId="7BA9741A" w:rsidR="000A2C2F" w:rsidRPr="00B870F5" w:rsidRDefault="000A2C2F" w:rsidP="00C139E7">
      <w:pPr>
        <w:spacing w:line="240" w:lineRule="auto"/>
        <w:rPr>
          <w:rFonts w:cs="Arial"/>
        </w:rPr>
      </w:pPr>
      <w:r w:rsidRPr="00B870F5">
        <w:rPr>
          <w:rFonts w:cs="Arial"/>
        </w:rPr>
        <w:lastRenderedPageBreak/>
        <w:t>Los MEGC utilizan un gran número de variables, las cuales estas asociadas a los agentes que se planean simular, formando así un ejercicio de simulación de una economía real. Para los hogares las variables más relevantes son los ingresos y los gastos de los hogares, los cuales a</w:t>
      </w:r>
      <w:r w:rsidR="00510873">
        <w:rPr>
          <w:rFonts w:cs="Arial"/>
        </w:rPr>
        <w:t xml:space="preserve"> </w:t>
      </w:r>
      <w:r w:rsidRPr="00B870F5">
        <w:rPr>
          <w:rFonts w:cs="Arial"/>
        </w:rPr>
        <w:t>s</w:t>
      </w:r>
      <w:r w:rsidR="00510873">
        <w:rPr>
          <w:rFonts w:cs="Arial"/>
        </w:rPr>
        <w:t>u</w:t>
      </w:r>
      <w:r w:rsidRPr="00B870F5">
        <w:rPr>
          <w:rFonts w:cs="Arial"/>
        </w:rPr>
        <w:t xml:space="preserve"> vez dependen del capital y el trabajo. </w:t>
      </w:r>
    </w:p>
    <w:p w14:paraId="2E5E310B" w14:textId="40CD70A6" w:rsidR="000A2C2F" w:rsidRPr="00B870F5" w:rsidRDefault="000A2C2F" w:rsidP="00C139E7">
      <w:pPr>
        <w:spacing w:line="240" w:lineRule="auto"/>
        <w:rPr>
          <w:rFonts w:cs="Arial"/>
        </w:rPr>
      </w:pPr>
      <w:r w:rsidRPr="00B870F5">
        <w:rPr>
          <w:rFonts w:cs="Arial"/>
        </w:rPr>
        <w:t xml:space="preserve">Las variables restantes tienen su relación con la dimensión de la investigación, la cual es incidencia fiscal, además, de entender como están compuestos los ingresos, gastos del gobierno, y la determinación de las transferencias hacia los hogares defiendo las variaciones en utilidades ante </w:t>
      </w:r>
      <w:r w:rsidR="00220D55">
        <w:rPr>
          <w:rFonts w:cs="Arial"/>
        </w:rPr>
        <w:t>choques</w:t>
      </w:r>
      <w:r w:rsidRPr="00B870F5">
        <w:rPr>
          <w:rFonts w:cs="Arial"/>
        </w:rPr>
        <w:t xml:space="preserve"> de política fiscal. </w:t>
      </w:r>
    </w:p>
    <w:p w14:paraId="6E8C395A" w14:textId="77777777" w:rsidR="000A2C2F" w:rsidRPr="00B870F5" w:rsidRDefault="000A2C2F" w:rsidP="00C139E7">
      <w:pPr>
        <w:spacing w:line="240" w:lineRule="auto"/>
        <w:rPr>
          <w:rFonts w:cs="Arial"/>
        </w:rPr>
      </w:pPr>
      <w:r w:rsidRPr="00B870F5">
        <w:rPr>
          <w:rFonts w:cs="Arial"/>
        </w:rPr>
        <w:t>Además, la base imponible es otra variable de transcendencia para el análisis de incidencia fiscal, siendo definida como la suma de ingresos brutos generados en el periodo fiscal, por tanto, depende de la cantidad de bienes y servicios que están gravados, de esta manera es un claro determinante de los ingresos percibidos por el gobierno.</w:t>
      </w:r>
    </w:p>
    <w:p w14:paraId="38DD537A" w14:textId="5A01C643" w:rsidR="000A2C2F" w:rsidRPr="00B870F5" w:rsidRDefault="000A2C2F" w:rsidP="00C139E7">
      <w:pPr>
        <w:spacing w:line="240" w:lineRule="auto"/>
        <w:rPr>
          <w:rFonts w:cs="Arial"/>
        </w:rPr>
      </w:pPr>
      <w:r w:rsidRPr="00B870F5">
        <w:rPr>
          <w:rFonts w:cs="Arial"/>
        </w:rPr>
        <w:t xml:space="preserve">El problema de incidencia radica en cómo se distribuyen los recursos generados por </w:t>
      </w:r>
      <w:r w:rsidR="00C57069">
        <w:rPr>
          <w:rFonts w:cs="Arial"/>
        </w:rPr>
        <w:t>l</w:t>
      </w:r>
      <w:r w:rsidRPr="00B870F5">
        <w:rPr>
          <w:rFonts w:cs="Arial"/>
        </w:rPr>
        <w:t xml:space="preserve">a recaudación adicional, dado un impulso de política fiscal, y entender las alternativas para compensarlo </w:t>
      </w:r>
      <w:r w:rsidR="006F4D38">
        <w:rPr>
          <w:rFonts w:cs="Arial"/>
        </w:rPr>
        <w:t>(</w:t>
      </w:r>
      <w:r w:rsidRPr="00B870F5">
        <w:rPr>
          <w:rFonts w:cs="Arial"/>
        </w:rPr>
        <w:t>transferencias</w:t>
      </w:r>
      <w:r w:rsidR="006F4D38">
        <w:rPr>
          <w:rFonts w:cs="Arial"/>
        </w:rPr>
        <w:t>)</w:t>
      </w:r>
      <w:r w:rsidRPr="00B870F5">
        <w:rPr>
          <w:rFonts w:cs="Arial"/>
        </w:rPr>
        <w:t xml:space="preserve">. También es necesario comprender la forma en que se encuentra el gobierno, en equilibrio o desequilibrio. </w:t>
      </w:r>
      <w:r w:rsidRPr="00B870F5">
        <w:rPr>
          <w:rFonts w:cs="Arial"/>
        </w:rPr>
        <w:fldChar w:fldCharType="begin" w:fldLock="1"/>
      </w:r>
      <w:r w:rsidR="00475856">
        <w:rPr>
          <w:rFonts w:cs="Arial"/>
        </w:rPr>
        <w:instrText>ADDIN CSL_CITATION {"citationItems":[{"id":"ITEM-1","itemData":{"author":[{"dropping-particle":"","family":"Lora","given":"E","non-dropping-particle":"","parse-names":false,"suffix":""}],"container-title":"El Trimestre Económico","id":"ITEM-1","issued":{"date-parts":[["1995"]]},"page":"21-78","publisher":"JSTOR","title":"Los modelos de equilibrio general computable en análisis de incidencia fiscal","type":"article-journal"},"uris":["http://www.mendeley.com/documents/?uuid=c2424cd3-924f-4a16-bbe9-f48837230f28"]}],"mendeley":{"formattedCitation":"(Lora, 1995)","plainTextFormattedCitation":"(Lora, 1995)","previouslyFormattedCitation":"(Lora, 1995)"},"properties":{"noteIndex":0},"schema":"https://github.com/citation-style-language/schema/raw/master/csl-citation.json"}</w:instrText>
      </w:r>
      <w:r w:rsidRPr="00B870F5">
        <w:rPr>
          <w:rFonts w:cs="Arial"/>
        </w:rPr>
        <w:fldChar w:fldCharType="separate"/>
      </w:r>
      <w:r w:rsidRPr="00B870F5">
        <w:rPr>
          <w:rFonts w:cs="Arial"/>
          <w:noProof/>
        </w:rPr>
        <w:t>(Lora, 1995)</w:t>
      </w:r>
      <w:r w:rsidRPr="00B870F5">
        <w:rPr>
          <w:rFonts w:cs="Arial"/>
        </w:rPr>
        <w:fldChar w:fldCharType="end"/>
      </w:r>
      <w:r w:rsidRPr="00B870F5">
        <w:rPr>
          <w:rFonts w:cs="Arial"/>
        </w:rPr>
        <w:t xml:space="preserve">. </w:t>
      </w:r>
    </w:p>
    <w:p w14:paraId="4E18409A" w14:textId="6289CE06" w:rsidR="00F35932" w:rsidRDefault="00F35932" w:rsidP="00C139E7">
      <w:pPr>
        <w:widowControl w:val="0"/>
        <w:autoSpaceDE w:val="0"/>
        <w:autoSpaceDN w:val="0"/>
        <w:adjustRightInd w:val="0"/>
        <w:spacing w:line="240" w:lineRule="auto"/>
        <w:rPr>
          <w:rFonts w:cs="Arial"/>
        </w:rPr>
      </w:pPr>
      <w:r>
        <w:rPr>
          <w:rFonts w:cs="Arial"/>
        </w:rPr>
        <w:t>La definición de fuente se puede entender mediante la fuente primaria</w:t>
      </w:r>
      <w:r w:rsidR="00EB47C7">
        <w:rPr>
          <w:rFonts w:cs="Arial"/>
        </w:rPr>
        <w:t>, donde proporcionan</w:t>
      </w:r>
      <w:r w:rsidRPr="00F35932">
        <w:rPr>
          <w:rFonts w:cs="Arial"/>
        </w:rPr>
        <w:t xml:space="preserve"> datos de primera mano</w:t>
      </w:r>
      <w:r w:rsidR="001633A4">
        <w:rPr>
          <w:rFonts w:cs="Arial"/>
        </w:rPr>
        <w:t>, como bases de datos o documentos que incluyen resultados relacionados con el tema de estudio</w:t>
      </w:r>
      <w:r>
        <w:rPr>
          <w:rFonts w:cs="Arial"/>
        </w:rPr>
        <w:t xml:space="preserve">. </w:t>
      </w:r>
      <w:r w:rsidR="00EB47C7">
        <w:rPr>
          <w:rFonts w:cs="Arial"/>
        </w:rPr>
        <w:fldChar w:fldCharType="begin" w:fldLock="1"/>
      </w:r>
      <w:r w:rsidR="00475856">
        <w:rPr>
          <w:rFonts w:cs="Arial"/>
        </w:rPr>
        <w:instrText>ADDIN CSL_CITATION {"citationItems":[{"id":"ITEM-1","itemData":{"DOI":"- ISBN 978-92-75-32913-9","ISBN":"9789684229310","abstract":"Esta quinta edición conserva su carácter didáctico y multidisciplinario, pero expande sus perspectivas, ya que se ha convertido en un libro interactivo que vincula el contenido del texto ; de tal manera que la parte impresa resulta ahora más manejable para el lector ; asi como distintos ejemplos cuantitativos, cualitativos y de estudios mixtos. Por ello, puede utilizarse en cursos básicos de unvestigación, pero también en asignaturas de nivel intermedio y avanzado.","author":[{"dropping-particle":"","family":"Hernandez Sampieri","given":"Roberto","non-dropping-particle":"","parse-names":false,"suffix":""},{"dropping-particle":"","family":"Fernandez Collado","given":"Carlos","non-dropping-particle":"","parse-names":false,"suffix":""},{"dropping-particle":"","family":"Baptista Lucio","given":"Maria del Pilar","non-dropping-particle":"","parse-names":false,"suffix":""}],"id":"ITEM-1","issued":{"date-parts":[["1991"]]},"publisher":"McGraw-Hill","publisher-place":"México","title":"Metodología de la investigación","type":"book"},"uris":["http://www.mendeley.com/documents/?uuid=ace2d0eb-08eb-4885-941a-fe2ad7706d1b"]}],"mendeley":{"formattedCitation":"(Hernandez Sampieri et al., 1991)","plainTextFormattedCitation":"(Hernandez Sampieri et al., 1991)","previouslyFormattedCitation":"(Hernandez Sampieri et al., 1991)"},"properties":{"noteIndex":0},"schema":"https://github.com/citation-style-language/schema/raw/master/csl-citation.json"}</w:instrText>
      </w:r>
      <w:r w:rsidR="00EB47C7">
        <w:rPr>
          <w:rFonts w:cs="Arial"/>
        </w:rPr>
        <w:fldChar w:fldCharType="separate"/>
      </w:r>
      <w:r w:rsidR="00801FC7" w:rsidRPr="00801FC7">
        <w:rPr>
          <w:rFonts w:cs="Arial"/>
          <w:noProof/>
        </w:rPr>
        <w:t>(Hernandez Sampieri et al., 1991)</w:t>
      </w:r>
      <w:r w:rsidR="00EB47C7">
        <w:rPr>
          <w:rFonts w:cs="Arial"/>
        </w:rPr>
        <w:fldChar w:fldCharType="end"/>
      </w:r>
      <w:r w:rsidR="00EB47C7">
        <w:rPr>
          <w:rFonts w:cs="Arial"/>
        </w:rPr>
        <w:t>.</w:t>
      </w:r>
    </w:p>
    <w:p w14:paraId="4BDCEBDA" w14:textId="614025FE" w:rsidR="000A2C2F" w:rsidRPr="00B870F5" w:rsidRDefault="000A2C2F" w:rsidP="00C139E7">
      <w:pPr>
        <w:spacing w:line="240" w:lineRule="auto"/>
        <w:rPr>
          <w:rFonts w:cs="Arial"/>
        </w:rPr>
      </w:pPr>
      <w:r w:rsidRPr="00B870F5">
        <w:rPr>
          <w:rFonts w:cs="Arial"/>
        </w:rPr>
        <w:t>La fuente principal de los MEG</w:t>
      </w:r>
      <w:r w:rsidR="007B58DF">
        <w:rPr>
          <w:rFonts w:cs="Arial"/>
        </w:rPr>
        <w:t>C</w:t>
      </w:r>
      <w:r w:rsidRPr="00B870F5">
        <w:rPr>
          <w:rFonts w:cs="Arial"/>
        </w:rPr>
        <w:t xml:space="preserve"> es la </w:t>
      </w:r>
      <w:r w:rsidR="004B5ABF">
        <w:rPr>
          <w:rFonts w:cs="Arial"/>
        </w:rPr>
        <w:t>MCS</w:t>
      </w:r>
      <w:r w:rsidRPr="00B870F5">
        <w:rPr>
          <w:rFonts w:cs="Arial"/>
        </w:rPr>
        <w:t>, la cual, en muchos casos usan información proveniente de las matrices de insumo producto y las cuentas nacionales, también es posible que se obtengan datos de alguna encuesta:</w:t>
      </w:r>
    </w:p>
    <w:p w14:paraId="7550EFB8" w14:textId="348B8BDD" w:rsidR="000A2C2F" w:rsidRPr="00B870F5" w:rsidRDefault="000A2C2F" w:rsidP="00C139E7">
      <w:pPr>
        <w:spacing w:line="240" w:lineRule="auto"/>
        <w:ind w:left="708"/>
        <w:rPr>
          <w:rFonts w:cs="Arial"/>
        </w:rPr>
      </w:pPr>
      <w:r w:rsidRPr="00B870F5">
        <w:rPr>
          <w:rFonts w:cs="Arial"/>
        </w:rPr>
        <w:t xml:space="preserve">En la construcción de una SAM se combinan diversas fuentes de información, que muchas veces son inconsistentes entre sí. En particular, se combinan datos de cuentas nacionales, tablas de insumo-producto, información sobre recaudación tributaria, datos del balance de pagos, y encuestas de hogares. </w:t>
      </w:r>
      <w:r w:rsidRPr="00B870F5">
        <w:rPr>
          <w:rFonts w:cs="Arial"/>
        </w:rPr>
        <w:fldChar w:fldCharType="begin" w:fldLock="1"/>
      </w:r>
      <w:r w:rsidR="00475856">
        <w:rPr>
          <w:rFonts w:cs="Arial"/>
        </w:rPr>
        <w:instrText>ADDIN CSL_CITATION {"citationItems":[{"id":"ITEM-1","itemData":{"ISBN":"9789509445710","author":[{"dropping-particle":"","family":"Chisari","given":"Omar","non-dropping-particle":"","parse-names":false,"suffix":""},{"dropping-particle":"","family":"Guillermo","given":"J","non-dropping-particle":"","parse-names":false,"suffix":""},{"dropping-particle":"","family":"Heymann","given":"Daniel","non-dropping-particle":"","parse-names":false,"suffix":""},{"dropping-particle":"","family":"Kawamura","given":"Enrique","non-dropping-particle":"","parse-names":false,"suffix":""},{"dropping-particle":"","family":"Perazzo","given":"Roberto","non-dropping-particle":"","parse-names":false,"suffix":""},{"dropping-particle":"","family":"Romero","given":"Carlos A","non-dropping-particle":"","parse-names":false,"suffix":""},{"dropping-particle":"","family":"Zimmermann","given":"Martín","non-dropping-particle":"","parse-names":false,"suffix":""}],"edition":"1a","id":"ITEM-1","issued":{"date-parts":[["2009"]]},"publisher":"Temas Grupo Editorial","publisher-place":"Buenos Aires","title":"Progresos en Economía Computacional","type":"book"},"uris":["http://www.mendeley.com/documents/?uuid=e76589d0-969c-4f2f-b1f6-0f822f13b0f6"]}],"mendeley":{"formattedCitation":"(O. Chisari et al., 2009)","plainTextFormattedCitation":"(O. Chisari et al., 2009)","previouslyFormattedCitation":"(O. Chisari et al., 2009)"},"properties":{"noteIndex":0},"schema":"https://github.com/citation-style-language/schema/raw/master/csl-citation.json"}</w:instrText>
      </w:r>
      <w:r w:rsidRPr="00B870F5">
        <w:rPr>
          <w:rFonts w:cs="Arial"/>
        </w:rPr>
        <w:fldChar w:fldCharType="separate"/>
      </w:r>
      <w:r w:rsidR="00801FC7" w:rsidRPr="00801FC7">
        <w:rPr>
          <w:rFonts w:cs="Arial"/>
          <w:noProof/>
        </w:rPr>
        <w:t>(O. Chisari et al., 2009)</w:t>
      </w:r>
      <w:r w:rsidRPr="00B870F5">
        <w:rPr>
          <w:rFonts w:cs="Arial"/>
        </w:rPr>
        <w:fldChar w:fldCharType="end"/>
      </w:r>
      <w:r w:rsidRPr="00B870F5">
        <w:rPr>
          <w:rFonts w:cs="Arial"/>
        </w:rPr>
        <w:t>.</w:t>
      </w:r>
    </w:p>
    <w:p w14:paraId="2D51C409" w14:textId="4597BC45" w:rsidR="000A2C2F" w:rsidRPr="001304DE" w:rsidRDefault="004420B0" w:rsidP="000E7961">
      <w:pPr>
        <w:pStyle w:val="Heading3"/>
      </w:pPr>
      <w:bookmarkStart w:id="151" w:name="_Toc2853762"/>
      <w:r w:rsidRPr="001304DE">
        <w:t>3</w:t>
      </w:r>
      <w:r w:rsidR="00072501" w:rsidRPr="001304DE">
        <w:t xml:space="preserve">.2.1 </w:t>
      </w:r>
      <w:r w:rsidR="000A2C2F" w:rsidRPr="001304DE">
        <w:t>Población:</w:t>
      </w:r>
      <w:bookmarkEnd w:id="151"/>
    </w:p>
    <w:p w14:paraId="34DA5726" w14:textId="77777777" w:rsidR="000A2C2F" w:rsidRPr="00B870F5" w:rsidRDefault="000A2C2F" w:rsidP="00C139E7">
      <w:pPr>
        <w:spacing w:line="240" w:lineRule="auto"/>
        <w:rPr>
          <w:rFonts w:cs="Arial"/>
        </w:rPr>
      </w:pPr>
      <w:r w:rsidRPr="00B870F5">
        <w:rPr>
          <w:rFonts w:cs="Arial"/>
        </w:rPr>
        <w:t>Por tanto, el objetivo del modelo, dados los datos utilizados, es realizar inferencia poblacional sobre los resultados obtenidos en el modelo. La realidad mostrada en MCS son los flujos circulares de los diferentes agentes involucrados en la economía.  De esta forma es posible capturar los efectos redistributivos ante una nueva política fiscal.</w:t>
      </w:r>
    </w:p>
    <w:p w14:paraId="4CBD1326" w14:textId="662E4329" w:rsidR="000A2C2F" w:rsidRPr="00B870F5" w:rsidRDefault="000A2C2F" w:rsidP="00C139E7">
      <w:pPr>
        <w:spacing w:line="240" w:lineRule="auto"/>
        <w:rPr>
          <w:rFonts w:cs="Arial"/>
        </w:rPr>
      </w:pPr>
      <w:r w:rsidRPr="00B870F5">
        <w:rPr>
          <w:rFonts w:cs="Arial"/>
        </w:rPr>
        <w:t>Para el caso de Costa Rica la MCS tiene como principal fuente las cuentas nacionales: “En primer lugar, se construyó una MCS agregada utilizando, como única fuente de información, las cuentas nacionales más agregadas. En segundo lugar, dicha MCS se desagregó utilizando el COU</w:t>
      </w:r>
      <w:r w:rsidR="00F45CD9">
        <w:rPr>
          <w:rFonts w:cs="Arial"/>
        </w:rPr>
        <w:t xml:space="preserve"> </w:t>
      </w:r>
      <w:r w:rsidRPr="00B870F5">
        <w:rPr>
          <w:rFonts w:cs="Arial"/>
        </w:rPr>
        <w:t xml:space="preserve">para industrias y productos, así como otra información complementaria como se detalla más adelante”. </w:t>
      </w:r>
      <w:r w:rsidRPr="00B870F5">
        <w:rPr>
          <w:rFonts w:cs="Arial"/>
        </w:rPr>
        <w:fldChar w:fldCharType="begin" w:fldLock="1"/>
      </w:r>
      <w:r w:rsidR="00475856">
        <w:rPr>
          <w:rFonts w:cs="Arial"/>
        </w:rPr>
        <w:instrText>ADDIN CSL_CITATION {"citationItems":[{"id":"ITEM-1","itemData":{"author":[{"dropping-particle":"","family":"Cicowiez","given":"Martín","non-dropping-particle":"","parse-names":false,"suffix":""},{"dropping-particle":"","family":"Sánchez","given":"Marco Vinicio","non-dropping-particle":"","parse-names":false,"suffix":""},{"dropping-particle":"","family":"Saborío","given":"Gabriela","non-dropping-particle":"","parse-names":false,"suffix":""}],"id":"ITEM-1","issued":{"date-parts":[["2016"]]},"number-of-pages":"34","publisher-place":"San José","title":"Matriz de contabilidad social Costa Rica 2012, fundamentos metodológicos de su construcción","type":"report"},"uris":["http://www.mendeley.com/documents/?uuid=53a07809-4991-432a-b481-137686f6bd14"]}],"mendeley":{"formattedCitation":"(Cicowiez et al., 2016)","plainTextFormattedCitation":"(Cicowiez et al., 2016)","previouslyFormattedCitation":"(Cicowiez et al., 2016)"},"properties":{"noteIndex":0},"schema":"https://github.com/citation-style-language/schema/raw/master/csl-citation.json"}</w:instrText>
      </w:r>
      <w:r w:rsidRPr="00B870F5">
        <w:rPr>
          <w:rFonts w:cs="Arial"/>
        </w:rPr>
        <w:fldChar w:fldCharType="separate"/>
      </w:r>
      <w:r w:rsidR="00801FC7" w:rsidRPr="00801FC7">
        <w:rPr>
          <w:rFonts w:cs="Arial"/>
          <w:noProof/>
        </w:rPr>
        <w:t>(Cicowiez et al., 2016)</w:t>
      </w:r>
      <w:r w:rsidRPr="00B870F5">
        <w:rPr>
          <w:rFonts w:cs="Arial"/>
        </w:rPr>
        <w:fldChar w:fldCharType="end"/>
      </w:r>
      <w:r w:rsidRPr="00B870F5">
        <w:rPr>
          <w:rFonts w:cs="Arial"/>
        </w:rPr>
        <w:t>.</w:t>
      </w:r>
    </w:p>
    <w:p w14:paraId="33CB8EF6" w14:textId="3ECB4512" w:rsidR="000A2C2F" w:rsidRPr="00B870F5" w:rsidRDefault="000A2C2F" w:rsidP="00C139E7">
      <w:pPr>
        <w:spacing w:line="240" w:lineRule="auto"/>
        <w:rPr>
          <w:rFonts w:cs="Arial"/>
        </w:rPr>
      </w:pPr>
      <w:r w:rsidRPr="00B870F5">
        <w:rPr>
          <w:rFonts w:cs="Arial"/>
        </w:rPr>
        <w:t xml:space="preserve">Para la definición de los hogares se recopilo los porcentajes de participación entre rurales y urbanos de la ENIGH 2013. De esta manera las </w:t>
      </w:r>
      <w:r w:rsidR="005358F1" w:rsidRPr="00B870F5">
        <w:rPr>
          <w:rFonts w:cs="Arial"/>
        </w:rPr>
        <w:t>recopilación</w:t>
      </w:r>
      <w:r w:rsidRPr="00B870F5">
        <w:rPr>
          <w:rFonts w:cs="Arial"/>
        </w:rPr>
        <w:t xml:space="preserve"> de datos para la elaboración de la MCS se incluye el uso de encuestas, entre ellas: la Hogares de </w:t>
      </w:r>
      <w:r w:rsidRPr="00B870F5">
        <w:rPr>
          <w:rFonts w:cs="Arial"/>
        </w:rPr>
        <w:lastRenderedPageBreak/>
        <w:t>Propósitos Múltiples de 2009, y la Nacional de Hogares para los años 2010, 2011, 2012 y 2013. (ídem).</w:t>
      </w:r>
    </w:p>
    <w:p w14:paraId="4235F915" w14:textId="77777777" w:rsidR="000A2C2F" w:rsidRPr="00B870F5" w:rsidRDefault="000A2C2F" w:rsidP="00C139E7">
      <w:pPr>
        <w:spacing w:line="240" w:lineRule="auto"/>
        <w:rPr>
          <w:rFonts w:cs="Arial"/>
        </w:rPr>
      </w:pPr>
      <w:r w:rsidRPr="00B870F5">
        <w:rPr>
          <w:rFonts w:cs="Arial"/>
        </w:rPr>
        <w:t>Los parámetros son constantes que se definen previamente en el modelo para la obtención de un equilibrio. Para su estimación suelen usarse la MCS o mediante estimación econométrica. Algunas veces pueden ser definidos por juicio de expertos. La ventaja presente en el uso de una sola fuente está en la capacidad de no caer en algún tipo de sesgo.</w:t>
      </w:r>
    </w:p>
    <w:p w14:paraId="2EA32D4F" w14:textId="755F4E79" w:rsidR="0062331E" w:rsidRPr="0062331E" w:rsidRDefault="000A2C2F" w:rsidP="0062331E">
      <w:pPr>
        <w:spacing w:line="240" w:lineRule="auto"/>
        <w:rPr>
          <w:rFonts w:cs="Arial"/>
        </w:rPr>
      </w:pPr>
      <w:r w:rsidRPr="00B870F5">
        <w:rPr>
          <w:rFonts w:cs="Arial"/>
        </w:rPr>
        <w:t xml:space="preserve">Para el modelo del proyecto de graduación, se usa como única fuente, tanto para los parámetros como las para las variables, la MCS de Costa Rica del periodo 2012.  El proceso de </w:t>
      </w:r>
      <w:r w:rsidR="004C430B" w:rsidRPr="00B870F5">
        <w:rPr>
          <w:rFonts w:cs="Arial"/>
        </w:rPr>
        <w:t>calibración</w:t>
      </w:r>
      <w:r w:rsidRPr="00B870F5">
        <w:rPr>
          <w:rFonts w:cs="Arial"/>
        </w:rPr>
        <w:t xml:space="preserve"> consiste en obtener los parámetros mediante las especificaciones matemáticas y económicas propuestas del modelo.</w:t>
      </w:r>
    </w:p>
    <w:p w14:paraId="78FE1B02" w14:textId="1C26D1F9" w:rsidR="000A2C2F" w:rsidRPr="00B870F5" w:rsidRDefault="00A8110A" w:rsidP="004B49A8">
      <w:pPr>
        <w:pStyle w:val="Heading2"/>
      </w:pPr>
      <w:bookmarkStart w:id="152" w:name="_Toc2853763"/>
      <w:r>
        <w:t>3.</w:t>
      </w:r>
      <w:r w:rsidR="00A74045">
        <w:t>4</w:t>
      </w:r>
      <w:r>
        <w:t xml:space="preserve"> </w:t>
      </w:r>
      <w:r w:rsidR="000A2C2F" w:rsidRPr="00B870F5">
        <w:t>Alcance y Limitaciones:</w:t>
      </w:r>
      <w:bookmarkEnd w:id="152"/>
    </w:p>
    <w:p w14:paraId="475F25D2" w14:textId="6235319F" w:rsidR="000A2C2F" w:rsidRPr="00B870F5" w:rsidRDefault="000A2C2F" w:rsidP="00C139E7">
      <w:pPr>
        <w:spacing w:line="240" w:lineRule="auto"/>
        <w:rPr>
          <w:rFonts w:cs="Arial"/>
        </w:rPr>
      </w:pPr>
      <w:r w:rsidRPr="00B870F5">
        <w:rPr>
          <w:rFonts w:cs="Arial"/>
        </w:rPr>
        <w:t xml:space="preserve">El alcance de la investigación radica en los resultados de incidencia fiscal en el contexto de equilibrio general, generado de esta manera resultados de los cuales se puedan inferir posibles recomendaciones sobre políticas económicas. La ventaja </w:t>
      </w:r>
      <w:r w:rsidR="0008345E">
        <w:rPr>
          <w:rFonts w:cs="Arial"/>
        </w:rPr>
        <w:t>que</w:t>
      </w:r>
      <w:r w:rsidRPr="00B870F5">
        <w:rPr>
          <w:rFonts w:cs="Arial"/>
        </w:rPr>
        <w:t xml:space="preserve"> proporcionan los MEG</w:t>
      </w:r>
      <w:r w:rsidR="0008345E">
        <w:rPr>
          <w:rFonts w:cs="Arial"/>
        </w:rPr>
        <w:t>C</w:t>
      </w:r>
      <w:r w:rsidRPr="00B870F5">
        <w:rPr>
          <w:rFonts w:cs="Arial"/>
        </w:rPr>
        <w:t xml:space="preserve"> están relacionados a la cualidad de representar las interrelaciones existentes en la economía, por tanto, es posible observar otros resultados, como el impacto sectorial ante cambios en la política fiscal.</w:t>
      </w:r>
    </w:p>
    <w:p w14:paraId="7003AA2D" w14:textId="57D198CC" w:rsidR="000A2C2F" w:rsidRPr="00B870F5" w:rsidRDefault="000A2C2F" w:rsidP="00C139E7">
      <w:pPr>
        <w:spacing w:line="240" w:lineRule="auto"/>
        <w:rPr>
          <w:rFonts w:cs="Arial"/>
        </w:rPr>
      </w:pPr>
      <w:r w:rsidRPr="00B870F5">
        <w:rPr>
          <w:rFonts w:cs="Arial"/>
        </w:rPr>
        <w:t>Un ejemplo del alcance, mencionado anteriormente, de los MEG</w:t>
      </w:r>
      <w:r w:rsidR="002512E5">
        <w:rPr>
          <w:rFonts w:cs="Arial"/>
        </w:rPr>
        <w:t>C</w:t>
      </w:r>
      <w:r w:rsidRPr="00B870F5">
        <w:rPr>
          <w:rFonts w:cs="Arial"/>
        </w:rPr>
        <w:t xml:space="preserve"> frente a los demás tipos de modelos, es cuando se tienen en cuenta las elasticidades permitiendo obtener resultados convencionales de la teoría económica. Es claro que la teoría económica, por razones de eficiencia, deben gravarse relativamente más los bienes o factores que tienen elasticidad más baja de oferta y demanda. </w:t>
      </w:r>
      <w:r w:rsidRPr="00B870F5">
        <w:rPr>
          <w:rFonts w:cs="Arial"/>
        </w:rPr>
        <w:fldChar w:fldCharType="begin" w:fldLock="1"/>
      </w:r>
      <w:r w:rsidR="00475856">
        <w:rPr>
          <w:rFonts w:cs="Arial"/>
        </w:rPr>
        <w:instrText>ADDIN CSL_CITATION {"citationItems":[{"id":"ITEM-1","itemData":{"author":[{"dropping-particle":"","family":"Lora","given":"E","non-dropping-particle":"","parse-names":false,"suffix":""}],"container-title":"El Trimestre Económico","id":"ITEM-1","issued":{"date-parts":[["1995"]]},"page":"21-78","publisher":"JSTOR","title":"Los modelos de equilibrio general computable en análisis de incidencia fiscal","type":"article-journal"},"uris":["http://www.mendeley.com/documents/?uuid=c2424cd3-924f-4a16-bbe9-f48837230f28"]}],"mendeley":{"formattedCitation":"(Lora, 1995)","plainTextFormattedCitation":"(Lora, 1995)","previouslyFormattedCitation":"(Lora, 1995)"},"properties":{"noteIndex":0},"schema":"https://github.com/citation-style-language/schema/raw/master/csl-citation.json"}</w:instrText>
      </w:r>
      <w:r w:rsidRPr="00B870F5">
        <w:rPr>
          <w:rFonts w:cs="Arial"/>
        </w:rPr>
        <w:fldChar w:fldCharType="separate"/>
      </w:r>
      <w:r w:rsidRPr="00B870F5">
        <w:rPr>
          <w:rFonts w:cs="Arial"/>
          <w:noProof/>
        </w:rPr>
        <w:t>(Lora, 1995)</w:t>
      </w:r>
      <w:r w:rsidRPr="00B870F5">
        <w:rPr>
          <w:rFonts w:cs="Arial"/>
        </w:rPr>
        <w:fldChar w:fldCharType="end"/>
      </w:r>
      <w:r w:rsidRPr="00B870F5">
        <w:rPr>
          <w:rFonts w:cs="Arial"/>
        </w:rPr>
        <w:t>.</w:t>
      </w:r>
    </w:p>
    <w:p w14:paraId="5C323AFC" w14:textId="0539CC19" w:rsidR="000A2C2F" w:rsidRPr="00B870F5" w:rsidRDefault="000A2C2F" w:rsidP="00C139E7">
      <w:pPr>
        <w:spacing w:line="240" w:lineRule="auto"/>
        <w:rPr>
          <w:rFonts w:cs="Arial"/>
        </w:rPr>
      </w:pPr>
      <w:r w:rsidRPr="00B870F5">
        <w:rPr>
          <w:rFonts w:cs="Arial"/>
        </w:rPr>
        <w:t>Una limitación que se puede encontrar en MEG</w:t>
      </w:r>
      <w:r w:rsidR="002512E5">
        <w:rPr>
          <w:rFonts w:cs="Arial"/>
        </w:rPr>
        <w:t>C</w:t>
      </w:r>
      <w:r w:rsidRPr="00B870F5">
        <w:rPr>
          <w:rFonts w:cs="Arial"/>
        </w:rPr>
        <w:t xml:space="preserve"> del proyecto de graduación, es su análisis estático, por tanto, las conclusiones a que se llegan son explicad</w:t>
      </w:r>
      <w:r w:rsidR="009F39E7">
        <w:rPr>
          <w:rFonts w:cs="Arial"/>
        </w:rPr>
        <w:t>a</w:t>
      </w:r>
      <w:r w:rsidR="00994F73">
        <w:rPr>
          <w:rFonts w:cs="Arial"/>
        </w:rPr>
        <w:t>s</w:t>
      </w:r>
      <w:r w:rsidRPr="00B870F5">
        <w:rPr>
          <w:rFonts w:cs="Arial"/>
        </w:rPr>
        <w:t xml:space="preserve"> por la economía en ese periodo de tiempo, es decir, el año base de la fuente de datos. </w:t>
      </w:r>
      <w:r w:rsidR="001E1D69" w:rsidRPr="00B870F5">
        <w:rPr>
          <w:rFonts w:cs="Arial"/>
        </w:rPr>
        <w:t>Es</w:t>
      </w:r>
      <w:r w:rsidR="001E1D69">
        <w:rPr>
          <w:rFonts w:cs="Arial"/>
        </w:rPr>
        <w:t xml:space="preserve"> </w:t>
      </w:r>
      <w:r w:rsidR="001E1D69" w:rsidRPr="00B870F5">
        <w:rPr>
          <w:rFonts w:cs="Arial"/>
        </w:rPr>
        <w:t>eso</w:t>
      </w:r>
      <w:r w:rsidR="001E1D69">
        <w:rPr>
          <w:rFonts w:cs="Arial"/>
        </w:rPr>
        <w:t xml:space="preserve"> q</w:t>
      </w:r>
      <w:r w:rsidR="0067362A" w:rsidRPr="00B870F5">
        <w:rPr>
          <w:rFonts w:cs="Arial"/>
        </w:rPr>
        <w:t>ue</w:t>
      </w:r>
      <w:r w:rsidRPr="00B870F5">
        <w:rPr>
          <w:rFonts w:cs="Arial"/>
        </w:rPr>
        <w:t xml:space="preserve"> existen alternativas como los modelos de Equilibrio General Dinámicos estocásticos, los cuales permiten hacer un análisis del sendero de las variables.</w:t>
      </w:r>
    </w:p>
    <w:p w14:paraId="42D3E3AC" w14:textId="5CB6E217" w:rsidR="000A2C2F" w:rsidRDefault="000A2C2F" w:rsidP="00C139E7">
      <w:pPr>
        <w:spacing w:line="240" w:lineRule="auto"/>
      </w:pPr>
      <w:r w:rsidRPr="00B870F5">
        <w:rPr>
          <w:rFonts w:cs="Arial"/>
        </w:rPr>
        <w:t>Además, de manera general los MEG</w:t>
      </w:r>
      <w:r w:rsidR="002512E5">
        <w:rPr>
          <w:rFonts w:cs="Arial"/>
        </w:rPr>
        <w:t>C</w:t>
      </w:r>
      <w:r w:rsidRPr="00B870F5">
        <w:rPr>
          <w:rFonts w:cs="Arial"/>
        </w:rPr>
        <w:t xml:space="preserve"> tienen la limitación de que no pueden describir los procesos de ajuste de una reforma, siendo imposible medir el costo de adopción que tiene una reforma fiscal para ciertos grupos sociales. Esto puede ocasionar resultados erróneos, ya que es posible no soportar ese costo y no llegar al equilibrio modelado. </w:t>
      </w:r>
      <w:r w:rsidRPr="00B870F5">
        <w:rPr>
          <w:rFonts w:cs="Arial"/>
        </w:rPr>
        <w:fldChar w:fldCharType="begin" w:fldLock="1"/>
      </w:r>
      <w:r w:rsidR="00475856">
        <w:rPr>
          <w:rFonts w:cs="Arial"/>
        </w:rPr>
        <w:instrText>ADDIN CSL_CITATION {"citationItems":[{"id":"ITEM-1","itemData":{"author":[{"dropping-particle":"","family":"Lora","given":"E","non-dropping-particle":"","parse-names":false,"suffix":""},{"dropping-particle":"","family":"Herrera","given":"A","non-dropping-particle":"","parse-names":false,"suffix":""}],"container-title":"Fedesarrollo","id":"ITEM-1","issued":{"date-parts":[["1994"]]},"title":"A tax incidence in Colombia: a general equilibrium analysis","type":"article-journal"},"uris":["http://www.mendeley.com/documents/?uuid=276a170c-31bc-478c-9611-7aa9ff9d62c1"]}],"mendeley":{"formattedCitation":"(Lora &amp; Herrera, 1994)","plainTextFormattedCitation":"(Lora &amp; Herrera, 1994)","previouslyFormattedCitation":"(Lora &amp; Herrera, 1994)"},"properties":{"noteIndex":0},"schema":"https://github.com/citation-style-language/schema/raw/master/csl-citation.json"}</w:instrText>
      </w:r>
      <w:r w:rsidRPr="00B870F5">
        <w:rPr>
          <w:rFonts w:cs="Arial"/>
        </w:rPr>
        <w:fldChar w:fldCharType="separate"/>
      </w:r>
      <w:r w:rsidRPr="00B870F5">
        <w:rPr>
          <w:rFonts w:cs="Arial"/>
          <w:noProof/>
        </w:rPr>
        <w:t>(Lora &amp; Herrera, 1994)</w:t>
      </w:r>
      <w:r w:rsidRPr="00B870F5">
        <w:rPr>
          <w:rFonts w:cs="Arial"/>
        </w:rPr>
        <w:fldChar w:fldCharType="end"/>
      </w:r>
      <w:r>
        <w:t>.</w:t>
      </w:r>
    </w:p>
    <w:p w14:paraId="35556755" w14:textId="3030998A" w:rsidR="00154462" w:rsidRDefault="00A75FD4" w:rsidP="00792E5B">
      <w:pPr>
        <w:jc w:val="left"/>
      </w:pPr>
      <w:r>
        <w:br w:type="page"/>
      </w:r>
    </w:p>
    <w:p w14:paraId="332B7ECD" w14:textId="636F0530" w:rsidR="000A2C2F" w:rsidRDefault="00BF2386" w:rsidP="00C139E7">
      <w:pPr>
        <w:pStyle w:val="Heading1"/>
        <w:spacing w:after="0" w:line="240" w:lineRule="auto"/>
      </w:pPr>
      <w:bookmarkStart w:id="153" w:name="_Toc2853764"/>
      <w:r>
        <w:lastRenderedPageBreak/>
        <w:t>Cap</w:t>
      </w:r>
      <w:r w:rsidR="001B061C">
        <w:t>í</w:t>
      </w:r>
      <w:r>
        <w:t>tulo IV: Análisis de Resultados</w:t>
      </w:r>
      <w:bookmarkEnd w:id="153"/>
      <w:r>
        <w:t xml:space="preserve"> </w:t>
      </w:r>
    </w:p>
    <w:p w14:paraId="49B734CB" w14:textId="77777777" w:rsidR="004C584F" w:rsidRDefault="004C584F" w:rsidP="004C584F">
      <w:pPr>
        <w:spacing w:line="240" w:lineRule="auto"/>
      </w:pPr>
    </w:p>
    <w:p w14:paraId="567639CA" w14:textId="585B82D6" w:rsidR="004C584F" w:rsidRDefault="004C584F" w:rsidP="004C584F">
      <w:pPr>
        <w:spacing w:line="240" w:lineRule="auto"/>
      </w:pPr>
      <w:r>
        <w:t>La motivación de este apartado es realizar escenarios de política tributaria, del tal manera que se sustente con la modelistica planteada con anterioridad. El modelo STAGE permite realizar choques fiscales mediante el uso de las herramientas de impuestos, de esta forma es posible realizar simulaciones que se acoplen a los objetivos del Proyecto de Graduación.</w:t>
      </w:r>
    </w:p>
    <w:p w14:paraId="478A72B3" w14:textId="38E18F5A" w:rsidR="00CB2DD3" w:rsidRDefault="00CB2DD3" w:rsidP="00CB2DD3">
      <w:pPr>
        <w:pStyle w:val="Heading2"/>
      </w:pPr>
      <w:bookmarkStart w:id="154" w:name="_Toc2853765"/>
      <w:r>
        <w:t xml:space="preserve">4.1 Escenario </w:t>
      </w:r>
      <w:r w:rsidR="00931981">
        <w:t>B</w:t>
      </w:r>
      <w:r>
        <w:t>ase</w:t>
      </w:r>
      <w:bookmarkEnd w:id="154"/>
    </w:p>
    <w:p w14:paraId="1F49CE5F" w14:textId="17D35BF9" w:rsidR="00335EFC" w:rsidRDefault="00022FD6" w:rsidP="00D37CFA">
      <w:pPr>
        <w:spacing w:line="240" w:lineRule="auto"/>
        <w:rPr>
          <w:rFonts w:cs="Arial"/>
        </w:rPr>
      </w:pPr>
      <w:r>
        <w:t xml:space="preserve">Para la </w:t>
      </w:r>
      <w:r w:rsidR="00013E4D">
        <w:t xml:space="preserve">introducción de la matriz en el modelo STAGE se agregó la matriz </w:t>
      </w:r>
      <w:r w:rsidR="00614654" w:rsidRPr="00B351AA">
        <w:rPr>
          <w:rFonts w:cs="Arial"/>
        </w:rPr>
        <w:t xml:space="preserve">en 32 tipos </w:t>
      </w:r>
      <w:r w:rsidR="00F670A6">
        <w:rPr>
          <w:rFonts w:cs="Arial"/>
        </w:rPr>
        <w:t xml:space="preserve">de bienes y </w:t>
      </w:r>
      <w:r w:rsidR="00B814BF">
        <w:rPr>
          <w:rFonts w:cs="Arial"/>
        </w:rPr>
        <w:t>servicios</w:t>
      </w:r>
      <w:r w:rsidR="00B814BF" w:rsidRPr="00B351AA">
        <w:rPr>
          <w:rFonts w:cs="Arial"/>
        </w:rPr>
        <w:t>,</w:t>
      </w:r>
      <w:r w:rsidR="00B814BF">
        <w:rPr>
          <w:rFonts w:cs="Arial"/>
        </w:rPr>
        <w:t xml:space="preserve"> de</w:t>
      </w:r>
      <w:r w:rsidR="00F670A6">
        <w:rPr>
          <w:rFonts w:cs="Arial"/>
        </w:rPr>
        <w:t xml:space="preserve"> igual manera en su contraparte, </w:t>
      </w:r>
      <w:r w:rsidR="00F424FE">
        <w:rPr>
          <w:rFonts w:cs="Arial"/>
        </w:rPr>
        <w:t xml:space="preserve">las </w:t>
      </w:r>
      <w:r w:rsidR="00F670A6">
        <w:rPr>
          <w:rFonts w:cs="Arial"/>
        </w:rPr>
        <w:t>actividades de producción, esto</w:t>
      </w:r>
      <w:r w:rsidR="00614654" w:rsidRPr="00B351AA">
        <w:rPr>
          <w:rFonts w:cs="Arial"/>
        </w:rPr>
        <w:t xml:space="preserve"> pensado en la facilitar la integración al MEGC</w:t>
      </w:r>
      <w:r w:rsidR="00B814BF">
        <w:rPr>
          <w:rFonts w:cs="Arial"/>
        </w:rPr>
        <w:t xml:space="preserve"> y siguiendo la lógica mostrada en el manual metodológico del BCCR</w:t>
      </w:r>
      <w:r w:rsidR="00902BD2">
        <w:rPr>
          <w:rFonts w:cs="Arial"/>
        </w:rPr>
        <w:t xml:space="preserve">, este esquema se </w:t>
      </w:r>
      <w:r w:rsidR="00602A46">
        <w:rPr>
          <w:rFonts w:cs="Arial"/>
        </w:rPr>
        <w:t>muestra</w:t>
      </w:r>
      <w:r w:rsidR="00197E33">
        <w:rPr>
          <w:rFonts w:cs="Arial"/>
        </w:rPr>
        <w:t xml:space="preserve"> </w:t>
      </w:r>
      <w:r w:rsidR="00197E33">
        <w:rPr>
          <w:rFonts w:cs="Arial"/>
        </w:rPr>
        <w:fldChar w:fldCharType="begin"/>
      </w:r>
      <w:r w:rsidR="00197E33">
        <w:rPr>
          <w:rFonts w:cs="Arial"/>
        </w:rPr>
        <w:instrText xml:space="preserve"> REF _Ref526155829 \h </w:instrText>
      </w:r>
      <w:r w:rsidR="00197E33" w:rsidRPr="00197E33">
        <w:rPr>
          <w:rFonts w:cs="Arial"/>
        </w:rPr>
        <w:instrText>\*</w:instrText>
      </w:r>
      <w:r w:rsidR="00197E33">
        <w:rPr>
          <w:rFonts w:cs="Arial"/>
        </w:rPr>
        <w:instrText xml:space="preserve"> lower </w:instrText>
      </w:r>
      <w:r w:rsidR="00197E33">
        <w:rPr>
          <w:rFonts w:cs="Arial"/>
        </w:rPr>
      </w:r>
      <w:r w:rsidR="00197E33">
        <w:rPr>
          <w:rFonts w:cs="Arial"/>
        </w:rPr>
        <w:fldChar w:fldCharType="separate"/>
      </w:r>
      <w:r w:rsidR="00A95E32">
        <w:t xml:space="preserve">tabla </w:t>
      </w:r>
      <w:r w:rsidR="00A95E32">
        <w:rPr>
          <w:noProof/>
        </w:rPr>
        <w:t>19</w:t>
      </w:r>
      <w:r w:rsidR="00197E33">
        <w:rPr>
          <w:rFonts w:cs="Arial"/>
        </w:rPr>
        <w:fldChar w:fldCharType="end"/>
      </w:r>
      <w:r w:rsidR="00602A46">
        <w:rPr>
          <w:rFonts w:cs="Arial"/>
        </w:rPr>
        <w:t>.</w:t>
      </w:r>
      <w:r w:rsidR="00614654" w:rsidRPr="00B351AA">
        <w:rPr>
          <w:rFonts w:cs="Arial"/>
        </w:rPr>
        <w:t xml:space="preserve"> </w:t>
      </w:r>
      <w:r w:rsidR="00614654" w:rsidRPr="00B351AA">
        <w:rPr>
          <w:rFonts w:cs="Arial"/>
        </w:rPr>
        <w:fldChar w:fldCharType="begin" w:fldLock="1"/>
      </w:r>
      <w:r w:rsidR="00475856">
        <w:rPr>
          <w:rFonts w:cs="Arial"/>
        </w:rPr>
        <w:instrText>ADDIN CSL_CITATION {"citationItems":[{"id":"ITEM-1","itemData":{"author":[{"dropping-particle":"","family":"Cicowiez","given":"Martín","non-dropping-particle":"","parse-names":false,"suffix":""},{"dropping-particle":"","family":"Sánchez","given":"Marco Vinicio","non-dropping-particle":"","parse-names":false,"suffix":""},{"dropping-particle":"","family":"Saborío","given":"Gabriela","non-dropping-particle":"","parse-names":false,"suffix":""}],"id":"ITEM-1","issued":{"date-parts":[["2016"]]},"number-of-pages":"34","publisher-place":"San José","title":"Matriz de contabilidad social Costa Rica 2012, fundamentos metodológicos de su construcción","type":"report"},"uris":["http://www.mendeley.com/documents/?uuid=53a07809-4991-432a-b481-137686f6bd14"]}],"mendeley":{"formattedCitation":"(Cicowiez et al., 2016)","plainTextFormattedCitation":"(Cicowiez et al., 2016)","previouslyFormattedCitation":"(Cicowiez et al., 2016)"},"properties":{"noteIndex":0},"schema":"https://github.com/citation-style-language/schema/raw/master/csl-citation.json"}</w:instrText>
      </w:r>
      <w:r w:rsidR="00614654" w:rsidRPr="00B351AA">
        <w:rPr>
          <w:rFonts w:cs="Arial"/>
        </w:rPr>
        <w:fldChar w:fldCharType="separate"/>
      </w:r>
      <w:r w:rsidR="00614654" w:rsidRPr="00B351AA">
        <w:rPr>
          <w:rFonts w:cs="Arial"/>
          <w:noProof/>
        </w:rPr>
        <w:t>(Cicowiez et al., 2016)</w:t>
      </w:r>
      <w:r w:rsidR="00614654" w:rsidRPr="00B351AA">
        <w:rPr>
          <w:rFonts w:cs="Arial"/>
        </w:rPr>
        <w:fldChar w:fldCharType="end"/>
      </w:r>
      <w:r w:rsidR="00614654" w:rsidRPr="00B351AA">
        <w:rPr>
          <w:rFonts w:cs="Arial"/>
        </w:rPr>
        <w:t>.</w:t>
      </w:r>
      <w:r w:rsidR="00817900">
        <w:rPr>
          <w:rFonts w:cs="Arial"/>
        </w:rPr>
        <w:t xml:space="preserve"> De tal manera</w:t>
      </w:r>
      <w:r w:rsidR="00025EC8">
        <w:rPr>
          <w:rFonts w:cs="Arial"/>
        </w:rPr>
        <w:t xml:space="preserve">, </w:t>
      </w:r>
      <w:r w:rsidR="00817900">
        <w:rPr>
          <w:rFonts w:cs="Arial"/>
        </w:rPr>
        <w:t>esta agregación</w:t>
      </w:r>
      <w:r w:rsidR="00025EC8">
        <w:rPr>
          <w:rFonts w:cs="Arial"/>
        </w:rPr>
        <w:t xml:space="preserve"> propuesta</w:t>
      </w:r>
      <w:r w:rsidR="00817900">
        <w:rPr>
          <w:rFonts w:cs="Arial"/>
        </w:rPr>
        <w:t xml:space="preserve"> facilita la compresión de</w:t>
      </w:r>
      <w:r w:rsidR="00415B59">
        <w:rPr>
          <w:rFonts w:cs="Arial"/>
        </w:rPr>
        <w:t xml:space="preserve">l modelo y permite identificar los </w:t>
      </w:r>
      <w:r w:rsidR="00025EC8">
        <w:rPr>
          <w:rFonts w:cs="Arial"/>
        </w:rPr>
        <w:t>sectores estratégicos ante una posible transformación al IVA.</w:t>
      </w:r>
    </w:p>
    <w:p w14:paraId="031ADA8E" w14:textId="383F2A97" w:rsidR="00D37CFA" w:rsidRDefault="00D37CFA" w:rsidP="00D37CFA">
      <w:pPr>
        <w:spacing w:line="240" w:lineRule="auto"/>
        <w:rPr>
          <w:rFonts w:cs="Arial"/>
        </w:rPr>
      </w:pPr>
    </w:p>
    <w:p w14:paraId="6A51B4C1" w14:textId="4DB4D3BD" w:rsidR="00D37CFA" w:rsidRPr="002E5374" w:rsidRDefault="00D37CFA" w:rsidP="002D2D95">
      <w:pPr>
        <w:pStyle w:val="Caption"/>
      </w:pPr>
      <w:bookmarkStart w:id="155" w:name="_Ref526155829"/>
      <w:bookmarkStart w:id="156" w:name="_Toc526175262"/>
      <w:bookmarkStart w:id="157" w:name="_Toc2853709"/>
      <w:r>
        <w:t xml:space="preserve">Tabla </w:t>
      </w:r>
      <w:r w:rsidR="000720E7">
        <w:rPr>
          <w:noProof/>
        </w:rPr>
        <w:fldChar w:fldCharType="begin"/>
      </w:r>
      <w:r w:rsidR="000720E7">
        <w:rPr>
          <w:noProof/>
        </w:rPr>
        <w:instrText xml:space="preserve"> SEQ Tabla \* ARABIC </w:instrText>
      </w:r>
      <w:r w:rsidR="000720E7">
        <w:rPr>
          <w:noProof/>
        </w:rPr>
        <w:fldChar w:fldCharType="separate"/>
      </w:r>
      <w:r w:rsidR="00A95E32">
        <w:rPr>
          <w:noProof/>
        </w:rPr>
        <w:t>19</w:t>
      </w:r>
      <w:r w:rsidR="000720E7">
        <w:rPr>
          <w:noProof/>
        </w:rPr>
        <w:fldChar w:fldCharType="end"/>
      </w:r>
      <w:bookmarkEnd w:id="155"/>
      <w:r w:rsidR="009954A4">
        <w:t xml:space="preserve"> </w:t>
      </w:r>
      <w:r w:rsidR="005976A6">
        <w:br/>
      </w:r>
      <w:r w:rsidRPr="008F4569">
        <w:t>Esquema de agregación de la Matriz de Contabilidad Social</w:t>
      </w:r>
      <w:bookmarkEnd w:id="156"/>
      <w:r w:rsidR="008B054F">
        <w:t xml:space="preserve"> 2012</w:t>
      </w:r>
      <w:bookmarkEnd w:id="157"/>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99"/>
        <w:gridCol w:w="4527"/>
      </w:tblGrid>
      <w:tr w:rsidR="005371E4" w:rsidRPr="00892E37" w14:paraId="3033E6C5" w14:textId="77777777" w:rsidTr="005E32C2">
        <w:tc>
          <w:tcPr>
            <w:tcW w:w="4499" w:type="dxa"/>
            <w:tcBorders>
              <w:bottom w:val="single" w:sz="4" w:space="0" w:color="auto"/>
              <w:right w:val="single" w:sz="4" w:space="0" w:color="auto"/>
            </w:tcBorders>
          </w:tcPr>
          <w:p w14:paraId="0BDD11B9" w14:textId="54900680" w:rsidR="005371E4" w:rsidRPr="004345F6" w:rsidRDefault="002E5374" w:rsidP="00DB0816">
            <w:pPr>
              <w:pStyle w:val="NormalWeb"/>
              <w:jc w:val="center"/>
              <w:rPr>
                <w:rFonts w:ascii="Arial" w:cs="Arial"/>
                <w:szCs w:val="22"/>
                <w:lang w:val="es-CR"/>
              </w:rPr>
            </w:pPr>
            <w:r>
              <w:rPr>
                <w:rFonts w:ascii="Arial" w:cs="Arial"/>
                <w:szCs w:val="22"/>
                <w:lang w:val="es-CR"/>
              </w:rPr>
              <w:t xml:space="preserve"> </w:t>
            </w:r>
            <w:r w:rsidR="005371E4" w:rsidRPr="004345F6">
              <w:rPr>
                <w:rFonts w:ascii="Arial" w:cs="Arial"/>
                <w:szCs w:val="22"/>
                <w:lang w:val="es-CR"/>
              </w:rPr>
              <w:t>Cuenta agregada</w:t>
            </w:r>
          </w:p>
        </w:tc>
        <w:tc>
          <w:tcPr>
            <w:tcW w:w="4527" w:type="dxa"/>
            <w:tcBorders>
              <w:left w:val="single" w:sz="4" w:space="0" w:color="auto"/>
              <w:bottom w:val="single" w:sz="4" w:space="0" w:color="auto"/>
            </w:tcBorders>
          </w:tcPr>
          <w:p w14:paraId="3AFDA872" w14:textId="122082BD" w:rsidR="005371E4" w:rsidRPr="004345F6" w:rsidRDefault="005371E4" w:rsidP="00DB0816">
            <w:pPr>
              <w:pStyle w:val="NormalWeb"/>
              <w:jc w:val="center"/>
              <w:rPr>
                <w:rFonts w:ascii="Arial" w:cs="Arial"/>
                <w:szCs w:val="22"/>
                <w:lang w:val="es-CR"/>
              </w:rPr>
            </w:pPr>
            <w:r w:rsidRPr="004345F6">
              <w:rPr>
                <w:rFonts w:ascii="Arial" w:cs="Arial"/>
                <w:szCs w:val="22"/>
                <w:lang w:val="es-CR"/>
              </w:rPr>
              <w:t>Bienes y servicios de la MCS</w:t>
            </w:r>
          </w:p>
        </w:tc>
      </w:tr>
      <w:tr w:rsidR="00022FD6" w:rsidRPr="00892E37" w14:paraId="3107D74F" w14:textId="77777777" w:rsidTr="005E32C2">
        <w:tc>
          <w:tcPr>
            <w:tcW w:w="4499" w:type="dxa"/>
            <w:tcBorders>
              <w:top w:val="single" w:sz="4" w:space="0" w:color="auto"/>
              <w:right w:val="single" w:sz="4" w:space="0" w:color="auto"/>
            </w:tcBorders>
          </w:tcPr>
          <w:p w14:paraId="23945A4E"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Agricultura</w:t>
            </w:r>
          </w:p>
        </w:tc>
        <w:tc>
          <w:tcPr>
            <w:tcW w:w="4527" w:type="dxa"/>
            <w:tcBorders>
              <w:top w:val="single" w:sz="4" w:space="0" w:color="auto"/>
              <w:left w:val="single" w:sz="4" w:space="0" w:color="auto"/>
            </w:tcBorders>
          </w:tcPr>
          <w:p w14:paraId="0D592C5E"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Frijol</w:t>
            </w:r>
          </w:p>
        </w:tc>
      </w:tr>
      <w:tr w:rsidR="00022FD6" w:rsidRPr="00892E37" w14:paraId="4AF30794" w14:textId="77777777" w:rsidTr="005E32C2">
        <w:tc>
          <w:tcPr>
            <w:tcW w:w="4499" w:type="dxa"/>
            <w:tcBorders>
              <w:right w:val="single" w:sz="4" w:space="0" w:color="auto"/>
            </w:tcBorders>
          </w:tcPr>
          <w:p w14:paraId="14DBBE47"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4D1F75B2"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Maíz</w:t>
            </w:r>
          </w:p>
        </w:tc>
      </w:tr>
      <w:tr w:rsidR="00022FD6" w:rsidRPr="00892E37" w14:paraId="69687952" w14:textId="77777777" w:rsidTr="005E32C2">
        <w:tc>
          <w:tcPr>
            <w:tcW w:w="4499" w:type="dxa"/>
            <w:tcBorders>
              <w:right w:val="single" w:sz="4" w:space="0" w:color="auto"/>
            </w:tcBorders>
          </w:tcPr>
          <w:p w14:paraId="68769167"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27B5180D"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Trigo</w:t>
            </w:r>
          </w:p>
        </w:tc>
      </w:tr>
      <w:tr w:rsidR="00022FD6" w:rsidRPr="00892E37" w14:paraId="20C15400" w14:textId="77777777" w:rsidTr="005E32C2">
        <w:tc>
          <w:tcPr>
            <w:tcW w:w="4499" w:type="dxa"/>
            <w:tcBorders>
              <w:right w:val="single" w:sz="4" w:space="0" w:color="auto"/>
            </w:tcBorders>
          </w:tcPr>
          <w:p w14:paraId="68032D62"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5CF0E656"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Otros cereales</w:t>
            </w:r>
          </w:p>
        </w:tc>
      </w:tr>
      <w:tr w:rsidR="00022FD6" w:rsidRPr="00892E37" w14:paraId="63646323" w14:textId="77777777" w:rsidTr="005E32C2">
        <w:tc>
          <w:tcPr>
            <w:tcW w:w="4499" w:type="dxa"/>
            <w:tcBorders>
              <w:right w:val="single" w:sz="4" w:space="0" w:color="auto"/>
            </w:tcBorders>
          </w:tcPr>
          <w:p w14:paraId="33C046E9"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726D3A59"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Legumbres y otras semillas oleaginosas</w:t>
            </w:r>
          </w:p>
        </w:tc>
      </w:tr>
      <w:tr w:rsidR="00022FD6" w:rsidRPr="00892E37" w14:paraId="4E892991" w14:textId="77777777" w:rsidTr="005E32C2">
        <w:tc>
          <w:tcPr>
            <w:tcW w:w="4499" w:type="dxa"/>
            <w:tcBorders>
              <w:right w:val="single" w:sz="4" w:space="0" w:color="auto"/>
            </w:tcBorders>
          </w:tcPr>
          <w:p w14:paraId="1D3C2AD5"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2843DD2F"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Arroz</w:t>
            </w:r>
          </w:p>
        </w:tc>
      </w:tr>
      <w:tr w:rsidR="00022FD6" w:rsidRPr="00892E37" w14:paraId="1B4DC57D" w14:textId="77777777" w:rsidTr="005E32C2">
        <w:tc>
          <w:tcPr>
            <w:tcW w:w="4499" w:type="dxa"/>
            <w:tcBorders>
              <w:right w:val="single" w:sz="4" w:space="0" w:color="auto"/>
            </w:tcBorders>
          </w:tcPr>
          <w:p w14:paraId="7F0C832D"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1E115DF2"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Sandía</w:t>
            </w:r>
          </w:p>
        </w:tc>
      </w:tr>
      <w:tr w:rsidR="00022FD6" w:rsidRPr="00892E37" w14:paraId="3FB16B57" w14:textId="77777777" w:rsidTr="005E32C2">
        <w:tc>
          <w:tcPr>
            <w:tcW w:w="4499" w:type="dxa"/>
            <w:tcBorders>
              <w:right w:val="single" w:sz="4" w:space="0" w:color="auto"/>
            </w:tcBorders>
          </w:tcPr>
          <w:p w14:paraId="119E0535"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763A8FF4"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Melón</w:t>
            </w:r>
          </w:p>
        </w:tc>
      </w:tr>
      <w:tr w:rsidR="00022FD6" w:rsidRPr="00892E37" w14:paraId="58331C83" w14:textId="77777777" w:rsidTr="005E32C2">
        <w:tc>
          <w:tcPr>
            <w:tcW w:w="4499" w:type="dxa"/>
            <w:tcBorders>
              <w:right w:val="single" w:sz="4" w:space="0" w:color="auto"/>
            </w:tcBorders>
          </w:tcPr>
          <w:p w14:paraId="146FD16F"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20C24739"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Cebolla</w:t>
            </w:r>
          </w:p>
        </w:tc>
      </w:tr>
      <w:tr w:rsidR="00022FD6" w:rsidRPr="00892E37" w14:paraId="06FEF5D6" w14:textId="77777777" w:rsidTr="005E32C2">
        <w:tc>
          <w:tcPr>
            <w:tcW w:w="4499" w:type="dxa"/>
            <w:tcBorders>
              <w:right w:val="single" w:sz="4" w:space="0" w:color="auto"/>
            </w:tcBorders>
          </w:tcPr>
          <w:p w14:paraId="3BD9C061"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2BB62D92"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Chayote</w:t>
            </w:r>
          </w:p>
        </w:tc>
      </w:tr>
      <w:tr w:rsidR="00022FD6" w:rsidRPr="00892E37" w14:paraId="0499C5B0" w14:textId="77777777" w:rsidTr="005E32C2">
        <w:tc>
          <w:tcPr>
            <w:tcW w:w="4499" w:type="dxa"/>
            <w:tcBorders>
              <w:right w:val="single" w:sz="4" w:space="0" w:color="auto"/>
            </w:tcBorders>
          </w:tcPr>
          <w:p w14:paraId="7E29C444"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235B6761"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Papa</w:t>
            </w:r>
          </w:p>
        </w:tc>
      </w:tr>
      <w:tr w:rsidR="00022FD6" w:rsidRPr="00892E37" w14:paraId="6F46CB47" w14:textId="77777777" w:rsidTr="005E32C2">
        <w:tc>
          <w:tcPr>
            <w:tcW w:w="4499" w:type="dxa"/>
            <w:tcBorders>
              <w:right w:val="single" w:sz="4" w:space="0" w:color="auto"/>
            </w:tcBorders>
          </w:tcPr>
          <w:p w14:paraId="1A41B56D"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65D9CAD2"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Raíces y tubérculos n.c.p</w:t>
            </w:r>
          </w:p>
        </w:tc>
      </w:tr>
      <w:tr w:rsidR="00022FD6" w:rsidRPr="00892E37" w14:paraId="3D9B36C5" w14:textId="77777777" w:rsidTr="005E32C2">
        <w:tc>
          <w:tcPr>
            <w:tcW w:w="4499" w:type="dxa"/>
            <w:tcBorders>
              <w:right w:val="single" w:sz="4" w:space="0" w:color="auto"/>
            </w:tcBorders>
          </w:tcPr>
          <w:p w14:paraId="09F15FB4"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0BF12814"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Hortalizas n.c.p</w:t>
            </w:r>
          </w:p>
        </w:tc>
      </w:tr>
      <w:tr w:rsidR="00022FD6" w:rsidRPr="00892E37" w14:paraId="73E73690" w14:textId="77777777" w:rsidTr="005E32C2">
        <w:tc>
          <w:tcPr>
            <w:tcW w:w="4499" w:type="dxa"/>
            <w:tcBorders>
              <w:right w:val="single" w:sz="4" w:space="0" w:color="auto"/>
            </w:tcBorders>
          </w:tcPr>
          <w:p w14:paraId="0691038E"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044205DA"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Caña de azúcar</w:t>
            </w:r>
          </w:p>
        </w:tc>
      </w:tr>
      <w:tr w:rsidR="00022FD6" w:rsidRPr="00892E37" w14:paraId="41261C5B" w14:textId="77777777" w:rsidTr="005E32C2">
        <w:tc>
          <w:tcPr>
            <w:tcW w:w="4499" w:type="dxa"/>
            <w:tcBorders>
              <w:right w:val="single" w:sz="4" w:space="0" w:color="auto"/>
            </w:tcBorders>
          </w:tcPr>
          <w:p w14:paraId="08251F43"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132D0504"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Flores</w:t>
            </w:r>
          </w:p>
        </w:tc>
      </w:tr>
      <w:tr w:rsidR="00022FD6" w:rsidRPr="00892E37" w14:paraId="71352CFD" w14:textId="77777777" w:rsidTr="005E32C2">
        <w:tc>
          <w:tcPr>
            <w:tcW w:w="4499" w:type="dxa"/>
            <w:tcBorders>
              <w:right w:val="single" w:sz="4" w:space="0" w:color="auto"/>
            </w:tcBorders>
          </w:tcPr>
          <w:p w14:paraId="6E1AA7D9"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0FA6130A"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Follajes</w:t>
            </w:r>
          </w:p>
        </w:tc>
      </w:tr>
      <w:tr w:rsidR="00022FD6" w:rsidRPr="00892E37" w14:paraId="1CD550FD" w14:textId="77777777" w:rsidTr="005E32C2">
        <w:tc>
          <w:tcPr>
            <w:tcW w:w="4499" w:type="dxa"/>
            <w:tcBorders>
              <w:right w:val="single" w:sz="4" w:space="0" w:color="auto"/>
            </w:tcBorders>
          </w:tcPr>
          <w:p w14:paraId="200BD542"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0100F576"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Plátano</w:t>
            </w:r>
          </w:p>
        </w:tc>
      </w:tr>
      <w:tr w:rsidR="00022FD6" w:rsidRPr="00892E37" w14:paraId="772D66C0" w14:textId="77777777" w:rsidTr="005E32C2">
        <w:tc>
          <w:tcPr>
            <w:tcW w:w="4499" w:type="dxa"/>
            <w:tcBorders>
              <w:right w:val="single" w:sz="4" w:space="0" w:color="auto"/>
            </w:tcBorders>
          </w:tcPr>
          <w:p w14:paraId="3E90B854"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50FC3942"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Piña</w:t>
            </w:r>
          </w:p>
        </w:tc>
      </w:tr>
      <w:tr w:rsidR="00022FD6" w:rsidRPr="00892E37" w14:paraId="070B30E9" w14:textId="77777777" w:rsidTr="005E32C2">
        <w:tc>
          <w:tcPr>
            <w:tcW w:w="4499" w:type="dxa"/>
            <w:tcBorders>
              <w:right w:val="single" w:sz="4" w:space="0" w:color="auto"/>
            </w:tcBorders>
          </w:tcPr>
          <w:p w14:paraId="23CBC26C"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5AEE67A6"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Palma aceitera</w:t>
            </w:r>
          </w:p>
        </w:tc>
      </w:tr>
      <w:tr w:rsidR="00022FD6" w:rsidRPr="00892E37" w14:paraId="0DB60D29" w14:textId="77777777" w:rsidTr="005E32C2">
        <w:tc>
          <w:tcPr>
            <w:tcW w:w="4499" w:type="dxa"/>
            <w:tcBorders>
              <w:right w:val="single" w:sz="4" w:space="0" w:color="auto"/>
            </w:tcBorders>
          </w:tcPr>
          <w:p w14:paraId="536019CF"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28CAF8C3"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Mango</w:t>
            </w:r>
          </w:p>
        </w:tc>
      </w:tr>
      <w:tr w:rsidR="00022FD6" w:rsidRPr="00892E37" w14:paraId="2E0A911C" w14:textId="77777777" w:rsidTr="005E32C2">
        <w:tc>
          <w:tcPr>
            <w:tcW w:w="4499" w:type="dxa"/>
            <w:tcBorders>
              <w:right w:val="single" w:sz="4" w:space="0" w:color="auto"/>
            </w:tcBorders>
          </w:tcPr>
          <w:p w14:paraId="1C2399D7"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1CD18C92"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Naranja</w:t>
            </w:r>
          </w:p>
        </w:tc>
      </w:tr>
      <w:tr w:rsidR="00022FD6" w:rsidRPr="00892E37" w14:paraId="6BC0D661" w14:textId="77777777" w:rsidTr="005E32C2">
        <w:tc>
          <w:tcPr>
            <w:tcW w:w="4499" w:type="dxa"/>
            <w:tcBorders>
              <w:right w:val="single" w:sz="4" w:space="0" w:color="auto"/>
            </w:tcBorders>
          </w:tcPr>
          <w:p w14:paraId="666DB15E"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193A46F5"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Palmito</w:t>
            </w:r>
          </w:p>
        </w:tc>
      </w:tr>
      <w:tr w:rsidR="00022FD6" w:rsidRPr="00892E37" w14:paraId="6F1F8810" w14:textId="77777777" w:rsidTr="005E32C2">
        <w:tc>
          <w:tcPr>
            <w:tcW w:w="4499" w:type="dxa"/>
            <w:tcBorders>
              <w:right w:val="single" w:sz="4" w:space="0" w:color="auto"/>
            </w:tcBorders>
          </w:tcPr>
          <w:p w14:paraId="5FED3BFA"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2B22BFA9"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Otros productos de plantas no perennes y perennes n.c.p</w:t>
            </w:r>
          </w:p>
        </w:tc>
      </w:tr>
      <w:tr w:rsidR="00022FD6" w:rsidRPr="00892E37" w14:paraId="7472A68A" w14:textId="77777777" w:rsidTr="005E32C2">
        <w:tc>
          <w:tcPr>
            <w:tcW w:w="4499" w:type="dxa"/>
            <w:tcBorders>
              <w:right w:val="single" w:sz="4" w:space="0" w:color="auto"/>
            </w:tcBorders>
          </w:tcPr>
          <w:p w14:paraId="27B3CD91"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37E201FA"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Otras frutas, nueces y otros frutos oleaginosos</w:t>
            </w:r>
          </w:p>
        </w:tc>
      </w:tr>
      <w:tr w:rsidR="00022FD6" w:rsidRPr="00892E37" w14:paraId="0912C496" w14:textId="77777777" w:rsidTr="005E32C2">
        <w:tc>
          <w:tcPr>
            <w:tcW w:w="4499" w:type="dxa"/>
            <w:tcBorders>
              <w:right w:val="single" w:sz="4" w:space="0" w:color="auto"/>
            </w:tcBorders>
          </w:tcPr>
          <w:p w14:paraId="6D6BEA5A"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600A6007"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Plantas y raíces vivas</w:t>
            </w:r>
          </w:p>
        </w:tc>
      </w:tr>
      <w:tr w:rsidR="00022FD6" w:rsidRPr="00892E37" w14:paraId="7A2626A5" w14:textId="77777777" w:rsidTr="005E32C2">
        <w:tc>
          <w:tcPr>
            <w:tcW w:w="4499" w:type="dxa"/>
            <w:tcBorders>
              <w:right w:val="single" w:sz="4" w:space="0" w:color="auto"/>
            </w:tcBorders>
          </w:tcPr>
          <w:p w14:paraId="300C7261"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688CBC71"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Ganado bovino</w:t>
            </w:r>
          </w:p>
        </w:tc>
      </w:tr>
      <w:tr w:rsidR="00022FD6" w:rsidRPr="00892E37" w14:paraId="6ED2E3FA" w14:textId="77777777" w:rsidTr="005E32C2">
        <w:tc>
          <w:tcPr>
            <w:tcW w:w="4499" w:type="dxa"/>
            <w:tcBorders>
              <w:right w:val="single" w:sz="4" w:space="0" w:color="auto"/>
            </w:tcBorders>
          </w:tcPr>
          <w:p w14:paraId="24A581DA"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7C73500C"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Ganado porcino</w:t>
            </w:r>
          </w:p>
        </w:tc>
      </w:tr>
      <w:tr w:rsidR="00022FD6" w:rsidRPr="00892E37" w14:paraId="6A5EC223" w14:textId="77777777" w:rsidTr="005E32C2">
        <w:tc>
          <w:tcPr>
            <w:tcW w:w="4499" w:type="dxa"/>
            <w:tcBorders>
              <w:right w:val="single" w:sz="4" w:space="0" w:color="auto"/>
            </w:tcBorders>
          </w:tcPr>
          <w:p w14:paraId="2B80E555"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0AEABCEF"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Pollo en pie</w:t>
            </w:r>
          </w:p>
        </w:tc>
      </w:tr>
      <w:tr w:rsidR="00022FD6" w:rsidRPr="00892E37" w14:paraId="58E33EC8" w14:textId="77777777" w:rsidTr="005E32C2">
        <w:tc>
          <w:tcPr>
            <w:tcW w:w="4499" w:type="dxa"/>
            <w:tcBorders>
              <w:right w:val="single" w:sz="4" w:space="0" w:color="auto"/>
            </w:tcBorders>
          </w:tcPr>
          <w:p w14:paraId="504AA416"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5A85C4FF"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Otros animales vivos</w:t>
            </w:r>
          </w:p>
        </w:tc>
      </w:tr>
      <w:tr w:rsidR="00022FD6" w:rsidRPr="00892E37" w14:paraId="4E031292" w14:textId="77777777" w:rsidTr="005E32C2">
        <w:tc>
          <w:tcPr>
            <w:tcW w:w="4499" w:type="dxa"/>
            <w:tcBorders>
              <w:right w:val="single" w:sz="4" w:space="0" w:color="auto"/>
            </w:tcBorders>
          </w:tcPr>
          <w:p w14:paraId="20EC57D3"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25F1F2F9"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 xml:space="preserve">Huevos </w:t>
            </w:r>
          </w:p>
        </w:tc>
      </w:tr>
      <w:tr w:rsidR="00022FD6" w:rsidRPr="00892E37" w14:paraId="42E0CC6C" w14:textId="77777777" w:rsidTr="005E32C2">
        <w:tc>
          <w:tcPr>
            <w:tcW w:w="4499" w:type="dxa"/>
            <w:tcBorders>
              <w:right w:val="single" w:sz="4" w:space="0" w:color="auto"/>
            </w:tcBorders>
          </w:tcPr>
          <w:p w14:paraId="66EC5C41"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149C1510"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Leche cruda</w:t>
            </w:r>
          </w:p>
        </w:tc>
      </w:tr>
      <w:tr w:rsidR="00022FD6" w:rsidRPr="00892E37" w14:paraId="573C801D" w14:textId="77777777" w:rsidTr="005E32C2">
        <w:tc>
          <w:tcPr>
            <w:tcW w:w="4499" w:type="dxa"/>
            <w:tcBorders>
              <w:right w:val="single" w:sz="4" w:space="0" w:color="auto"/>
            </w:tcBorders>
          </w:tcPr>
          <w:p w14:paraId="450F1B42"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6F958C83"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Servicios de apoyo a la agricultura</w:t>
            </w:r>
          </w:p>
        </w:tc>
      </w:tr>
      <w:tr w:rsidR="00022FD6" w:rsidRPr="00892E37" w14:paraId="41BDD2A2" w14:textId="77777777" w:rsidTr="005E32C2">
        <w:tc>
          <w:tcPr>
            <w:tcW w:w="4499" w:type="dxa"/>
            <w:tcBorders>
              <w:right w:val="single" w:sz="4" w:space="0" w:color="auto"/>
            </w:tcBorders>
          </w:tcPr>
          <w:p w14:paraId="470BC28F" w14:textId="763EBB0B"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2933C29D"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Banano</w:t>
            </w:r>
          </w:p>
        </w:tc>
      </w:tr>
      <w:tr w:rsidR="00022FD6" w:rsidRPr="00892E37" w14:paraId="6DB70BAB" w14:textId="77777777" w:rsidTr="005E32C2">
        <w:tc>
          <w:tcPr>
            <w:tcW w:w="4499" w:type="dxa"/>
            <w:tcBorders>
              <w:right w:val="single" w:sz="4" w:space="0" w:color="auto"/>
            </w:tcBorders>
          </w:tcPr>
          <w:p w14:paraId="2A466346"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Café</w:t>
            </w:r>
          </w:p>
        </w:tc>
        <w:tc>
          <w:tcPr>
            <w:tcW w:w="4527" w:type="dxa"/>
            <w:tcBorders>
              <w:left w:val="single" w:sz="4" w:space="0" w:color="auto"/>
            </w:tcBorders>
          </w:tcPr>
          <w:p w14:paraId="695B46C6"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Café en fruta</w:t>
            </w:r>
          </w:p>
        </w:tc>
      </w:tr>
      <w:tr w:rsidR="00022FD6" w:rsidRPr="00892E37" w14:paraId="2CABB701" w14:textId="77777777" w:rsidTr="005E32C2">
        <w:tc>
          <w:tcPr>
            <w:tcW w:w="4499" w:type="dxa"/>
            <w:tcBorders>
              <w:right w:val="single" w:sz="4" w:space="0" w:color="auto"/>
            </w:tcBorders>
          </w:tcPr>
          <w:p w14:paraId="224794FC"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Textiles y cuero</w:t>
            </w:r>
          </w:p>
        </w:tc>
        <w:tc>
          <w:tcPr>
            <w:tcW w:w="4527" w:type="dxa"/>
            <w:tcBorders>
              <w:left w:val="single" w:sz="4" w:space="0" w:color="auto"/>
            </w:tcBorders>
          </w:tcPr>
          <w:p w14:paraId="2F2B56BF"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Artículos textiles, excepto prendas de vestir</w:t>
            </w:r>
          </w:p>
        </w:tc>
      </w:tr>
      <w:tr w:rsidR="00022FD6" w:rsidRPr="00892E37" w14:paraId="0F962F21" w14:textId="77777777" w:rsidTr="005E32C2">
        <w:tc>
          <w:tcPr>
            <w:tcW w:w="4499" w:type="dxa"/>
            <w:tcBorders>
              <w:right w:val="single" w:sz="4" w:space="0" w:color="auto"/>
            </w:tcBorders>
          </w:tcPr>
          <w:p w14:paraId="52985E21"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3A5FFDBE"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Prendas de vestir</w:t>
            </w:r>
          </w:p>
        </w:tc>
      </w:tr>
      <w:tr w:rsidR="00022FD6" w:rsidRPr="00892E37" w14:paraId="055ACC73" w14:textId="77777777" w:rsidTr="005E32C2">
        <w:tc>
          <w:tcPr>
            <w:tcW w:w="4499" w:type="dxa"/>
            <w:tcBorders>
              <w:right w:val="single" w:sz="4" w:space="0" w:color="auto"/>
            </w:tcBorders>
          </w:tcPr>
          <w:p w14:paraId="0F9AB4F2"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3D1C64FB"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Cuero y productos conexos, excepto calzado</w:t>
            </w:r>
          </w:p>
        </w:tc>
      </w:tr>
      <w:tr w:rsidR="00022FD6" w:rsidRPr="00892E37" w14:paraId="3C2BD692" w14:textId="77777777" w:rsidTr="005E32C2">
        <w:tc>
          <w:tcPr>
            <w:tcW w:w="4499" w:type="dxa"/>
            <w:tcBorders>
              <w:right w:val="single" w:sz="4" w:space="0" w:color="auto"/>
            </w:tcBorders>
          </w:tcPr>
          <w:p w14:paraId="07621466"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58B53E82"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Calzado</w:t>
            </w:r>
          </w:p>
        </w:tc>
      </w:tr>
      <w:tr w:rsidR="00022FD6" w:rsidRPr="00892E37" w14:paraId="5B4DFED7" w14:textId="77777777" w:rsidTr="005E32C2">
        <w:tc>
          <w:tcPr>
            <w:tcW w:w="4499" w:type="dxa"/>
            <w:tcBorders>
              <w:right w:val="single" w:sz="4" w:space="0" w:color="auto"/>
            </w:tcBorders>
          </w:tcPr>
          <w:p w14:paraId="78D3749B"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Manufactura</w:t>
            </w:r>
          </w:p>
        </w:tc>
        <w:tc>
          <w:tcPr>
            <w:tcW w:w="4527" w:type="dxa"/>
            <w:tcBorders>
              <w:left w:val="single" w:sz="4" w:space="0" w:color="auto"/>
            </w:tcBorders>
          </w:tcPr>
          <w:p w14:paraId="632D48C8"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Madera y corcho, productos madera y corcho</w:t>
            </w:r>
          </w:p>
        </w:tc>
      </w:tr>
      <w:tr w:rsidR="00022FD6" w:rsidRPr="00892E37" w14:paraId="345D83D8" w14:textId="77777777" w:rsidTr="005E32C2">
        <w:tc>
          <w:tcPr>
            <w:tcW w:w="4499" w:type="dxa"/>
            <w:tcBorders>
              <w:right w:val="single" w:sz="4" w:space="0" w:color="auto"/>
            </w:tcBorders>
          </w:tcPr>
          <w:p w14:paraId="5A36644E"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73B2FB3F"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Papel y productos de papel</w:t>
            </w:r>
          </w:p>
        </w:tc>
      </w:tr>
      <w:tr w:rsidR="00022FD6" w:rsidRPr="00892E37" w14:paraId="09330B65" w14:textId="77777777" w:rsidTr="005E32C2">
        <w:tc>
          <w:tcPr>
            <w:tcW w:w="4499" w:type="dxa"/>
            <w:tcBorders>
              <w:right w:val="single" w:sz="4" w:space="0" w:color="auto"/>
            </w:tcBorders>
          </w:tcPr>
          <w:p w14:paraId="0297B4F0"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110508E6"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Productos de la edición, impresión y grabaciones</w:t>
            </w:r>
          </w:p>
        </w:tc>
      </w:tr>
      <w:tr w:rsidR="00022FD6" w:rsidRPr="00892E37" w14:paraId="68ABE281" w14:textId="77777777" w:rsidTr="005E32C2">
        <w:tc>
          <w:tcPr>
            <w:tcW w:w="4499" w:type="dxa"/>
            <w:tcBorders>
              <w:right w:val="single" w:sz="4" w:space="0" w:color="auto"/>
            </w:tcBorders>
          </w:tcPr>
          <w:p w14:paraId="0648CFC7"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3257AD9B"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Muebles de madera</w:t>
            </w:r>
          </w:p>
        </w:tc>
      </w:tr>
      <w:tr w:rsidR="00022FD6" w:rsidRPr="00892E37" w14:paraId="1CCC108D" w14:textId="77777777" w:rsidTr="005E32C2">
        <w:tc>
          <w:tcPr>
            <w:tcW w:w="4499" w:type="dxa"/>
            <w:tcBorders>
              <w:right w:val="single" w:sz="4" w:space="0" w:color="auto"/>
            </w:tcBorders>
          </w:tcPr>
          <w:p w14:paraId="251D6ED8"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7532113C"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Muebles de otro tipo de material</w:t>
            </w:r>
          </w:p>
        </w:tc>
      </w:tr>
      <w:tr w:rsidR="00022FD6" w:rsidRPr="00892E37" w14:paraId="29144ECF" w14:textId="77777777" w:rsidTr="005E32C2">
        <w:tc>
          <w:tcPr>
            <w:tcW w:w="4499" w:type="dxa"/>
            <w:tcBorders>
              <w:right w:val="single" w:sz="4" w:space="0" w:color="auto"/>
            </w:tcBorders>
          </w:tcPr>
          <w:p w14:paraId="5BA3BE79"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33CF0C36"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Otros productos manufactureros</w:t>
            </w:r>
          </w:p>
        </w:tc>
      </w:tr>
      <w:tr w:rsidR="00022FD6" w:rsidRPr="00892E37" w14:paraId="0EE2CA8A" w14:textId="77777777" w:rsidTr="005E32C2">
        <w:tc>
          <w:tcPr>
            <w:tcW w:w="4499" w:type="dxa"/>
            <w:tcBorders>
              <w:right w:val="single" w:sz="4" w:space="0" w:color="auto"/>
            </w:tcBorders>
          </w:tcPr>
          <w:p w14:paraId="0B2010DA"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683330C4"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Desperdicios y desechos</w:t>
            </w:r>
          </w:p>
        </w:tc>
      </w:tr>
      <w:tr w:rsidR="00022FD6" w:rsidRPr="00892E37" w14:paraId="4EFC2B73" w14:textId="77777777" w:rsidTr="005E32C2">
        <w:tc>
          <w:tcPr>
            <w:tcW w:w="4499" w:type="dxa"/>
            <w:tcBorders>
              <w:right w:val="single" w:sz="4" w:space="0" w:color="auto"/>
            </w:tcBorders>
          </w:tcPr>
          <w:p w14:paraId="2D80C2DC"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3FC04AA3"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Servicio de manufactura</w:t>
            </w:r>
          </w:p>
        </w:tc>
      </w:tr>
      <w:tr w:rsidR="00022FD6" w:rsidRPr="00892E37" w14:paraId="4940FF5D" w14:textId="77777777" w:rsidTr="005E32C2">
        <w:tc>
          <w:tcPr>
            <w:tcW w:w="4499" w:type="dxa"/>
            <w:tcBorders>
              <w:right w:val="single" w:sz="4" w:space="0" w:color="auto"/>
            </w:tcBorders>
          </w:tcPr>
          <w:p w14:paraId="3B1BCB9F"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 xml:space="preserve">Refinados del petróleo </w:t>
            </w:r>
          </w:p>
        </w:tc>
        <w:tc>
          <w:tcPr>
            <w:tcW w:w="4527" w:type="dxa"/>
            <w:tcBorders>
              <w:left w:val="single" w:sz="4" w:space="0" w:color="auto"/>
            </w:tcBorders>
          </w:tcPr>
          <w:p w14:paraId="345F5B5E"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Gasolina</w:t>
            </w:r>
          </w:p>
        </w:tc>
      </w:tr>
      <w:tr w:rsidR="00022FD6" w:rsidRPr="00892E37" w14:paraId="22AC6F8F" w14:textId="77777777" w:rsidTr="005E32C2">
        <w:tc>
          <w:tcPr>
            <w:tcW w:w="4499" w:type="dxa"/>
            <w:tcBorders>
              <w:right w:val="single" w:sz="4" w:space="0" w:color="auto"/>
            </w:tcBorders>
          </w:tcPr>
          <w:p w14:paraId="5D9160EF"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2D409BF9"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Diesel</w:t>
            </w:r>
          </w:p>
        </w:tc>
      </w:tr>
      <w:tr w:rsidR="00022FD6" w:rsidRPr="00892E37" w14:paraId="1F323FBA" w14:textId="77777777" w:rsidTr="005E32C2">
        <w:tc>
          <w:tcPr>
            <w:tcW w:w="4499" w:type="dxa"/>
            <w:tcBorders>
              <w:right w:val="single" w:sz="4" w:space="0" w:color="auto"/>
            </w:tcBorders>
          </w:tcPr>
          <w:p w14:paraId="4C407B18"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60BF1FC2"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Bunker</w:t>
            </w:r>
          </w:p>
        </w:tc>
      </w:tr>
      <w:tr w:rsidR="00022FD6" w:rsidRPr="00892E37" w14:paraId="452B0C97" w14:textId="77777777" w:rsidTr="005E32C2">
        <w:tc>
          <w:tcPr>
            <w:tcW w:w="4499" w:type="dxa"/>
            <w:tcBorders>
              <w:right w:val="single" w:sz="4" w:space="0" w:color="auto"/>
            </w:tcBorders>
          </w:tcPr>
          <w:p w14:paraId="65C38BC6"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19D61688"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Aceites y grasas lubricantes</w:t>
            </w:r>
          </w:p>
        </w:tc>
      </w:tr>
      <w:tr w:rsidR="00022FD6" w:rsidRPr="00892E37" w14:paraId="6A00D8FB" w14:textId="77777777" w:rsidTr="005E32C2">
        <w:tc>
          <w:tcPr>
            <w:tcW w:w="4499" w:type="dxa"/>
            <w:tcBorders>
              <w:right w:val="single" w:sz="4" w:space="0" w:color="auto"/>
            </w:tcBorders>
          </w:tcPr>
          <w:p w14:paraId="1F8EC4A4"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431A7B81"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Otros productos derivados del petróleo y de coque</w:t>
            </w:r>
          </w:p>
        </w:tc>
      </w:tr>
      <w:tr w:rsidR="00022FD6" w:rsidRPr="00892E37" w14:paraId="70FA7357" w14:textId="77777777" w:rsidTr="005E32C2">
        <w:tc>
          <w:tcPr>
            <w:tcW w:w="4499" w:type="dxa"/>
            <w:tcBorders>
              <w:right w:val="single" w:sz="4" w:space="0" w:color="auto"/>
            </w:tcBorders>
          </w:tcPr>
          <w:p w14:paraId="3D90FC36"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Químicos</w:t>
            </w:r>
          </w:p>
        </w:tc>
        <w:tc>
          <w:tcPr>
            <w:tcW w:w="4527" w:type="dxa"/>
            <w:tcBorders>
              <w:left w:val="single" w:sz="4" w:space="0" w:color="auto"/>
            </w:tcBorders>
          </w:tcPr>
          <w:p w14:paraId="7E287416"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Sustancias químicas básicas y abono</w:t>
            </w:r>
          </w:p>
        </w:tc>
      </w:tr>
      <w:tr w:rsidR="00022FD6" w:rsidRPr="00892E37" w14:paraId="7CBCEEDA" w14:textId="77777777" w:rsidTr="005E32C2">
        <w:tc>
          <w:tcPr>
            <w:tcW w:w="4499" w:type="dxa"/>
            <w:tcBorders>
              <w:right w:val="single" w:sz="4" w:space="0" w:color="auto"/>
            </w:tcBorders>
          </w:tcPr>
          <w:p w14:paraId="5327BA7A"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3629CD7C"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 xml:space="preserve">Plástico y caucho sintético en formas primarias </w:t>
            </w:r>
          </w:p>
        </w:tc>
      </w:tr>
      <w:tr w:rsidR="00022FD6" w:rsidRPr="00892E37" w14:paraId="51DC1DD6" w14:textId="77777777" w:rsidTr="005E32C2">
        <w:tc>
          <w:tcPr>
            <w:tcW w:w="4499" w:type="dxa"/>
            <w:tcBorders>
              <w:right w:val="single" w:sz="4" w:space="0" w:color="auto"/>
            </w:tcBorders>
          </w:tcPr>
          <w:p w14:paraId="7724151B"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3E4AAD03"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Pesticidas y otros productos químicos de uso agropecuario</w:t>
            </w:r>
          </w:p>
        </w:tc>
      </w:tr>
      <w:tr w:rsidR="00022FD6" w:rsidRPr="00892E37" w14:paraId="74141359" w14:textId="77777777" w:rsidTr="005E32C2">
        <w:tc>
          <w:tcPr>
            <w:tcW w:w="4499" w:type="dxa"/>
            <w:tcBorders>
              <w:right w:val="single" w:sz="4" w:space="0" w:color="auto"/>
            </w:tcBorders>
          </w:tcPr>
          <w:p w14:paraId="04717B1B"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108C5E8D"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Pinturas, barnices, revestimientos</w:t>
            </w:r>
          </w:p>
        </w:tc>
      </w:tr>
      <w:tr w:rsidR="00022FD6" w:rsidRPr="00892E37" w14:paraId="790BEBAD" w14:textId="77777777" w:rsidTr="005E32C2">
        <w:tc>
          <w:tcPr>
            <w:tcW w:w="4499" w:type="dxa"/>
            <w:tcBorders>
              <w:right w:val="single" w:sz="4" w:space="0" w:color="auto"/>
            </w:tcBorders>
          </w:tcPr>
          <w:p w14:paraId="41372C27"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7CA5A084"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Jabones, detergentes, perfumes</w:t>
            </w:r>
          </w:p>
        </w:tc>
      </w:tr>
      <w:tr w:rsidR="00022FD6" w:rsidRPr="00892E37" w14:paraId="31527191" w14:textId="77777777" w:rsidTr="005E32C2">
        <w:tc>
          <w:tcPr>
            <w:tcW w:w="4499" w:type="dxa"/>
            <w:tcBorders>
              <w:right w:val="single" w:sz="4" w:space="0" w:color="auto"/>
            </w:tcBorders>
          </w:tcPr>
          <w:p w14:paraId="595D3246"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675E8CF5"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Fibras artificiales y productos químicos n.c.p</w:t>
            </w:r>
          </w:p>
        </w:tc>
      </w:tr>
      <w:tr w:rsidR="00022FD6" w:rsidRPr="00892E37" w14:paraId="57A1D898" w14:textId="77777777" w:rsidTr="005E32C2">
        <w:tc>
          <w:tcPr>
            <w:tcW w:w="4499" w:type="dxa"/>
            <w:tcBorders>
              <w:right w:val="single" w:sz="4" w:space="0" w:color="auto"/>
            </w:tcBorders>
          </w:tcPr>
          <w:p w14:paraId="42DB83FE"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7A638993"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Productos farmacéuticos y medicinales</w:t>
            </w:r>
          </w:p>
        </w:tc>
      </w:tr>
      <w:tr w:rsidR="00022FD6" w:rsidRPr="00892E37" w14:paraId="59E8DD1C" w14:textId="77777777" w:rsidTr="005E32C2">
        <w:tc>
          <w:tcPr>
            <w:tcW w:w="4499" w:type="dxa"/>
            <w:tcBorders>
              <w:right w:val="single" w:sz="4" w:space="0" w:color="auto"/>
            </w:tcBorders>
          </w:tcPr>
          <w:p w14:paraId="76FF135C"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Caucho y plástico</w:t>
            </w:r>
          </w:p>
        </w:tc>
        <w:tc>
          <w:tcPr>
            <w:tcW w:w="4527" w:type="dxa"/>
            <w:tcBorders>
              <w:left w:val="single" w:sz="4" w:space="0" w:color="auto"/>
            </w:tcBorders>
          </w:tcPr>
          <w:p w14:paraId="3296AFF3"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Productos de caucho</w:t>
            </w:r>
          </w:p>
        </w:tc>
      </w:tr>
      <w:tr w:rsidR="00022FD6" w:rsidRPr="00892E37" w14:paraId="3D5BEF68" w14:textId="77777777" w:rsidTr="005E32C2">
        <w:tc>
          <w:tcPr>
            <w:tcW w:w="4499" w:type="dxa"/>
            <w:tcBorders>
              <w:right w:val="single" w:sz="4" w:space="0" w:color="auto"/>
            </w:tcBorders>
          </w:tcPr>
          <w:p w14:paraId="55776139"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5FD9B0AE"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Perfiles, tubería y conexiones de plástico</w:t>
            </w:r>
          </w:p>
        </w:tc>
      </w:tr>
      <w:tr w:rsidR="00022FD6" w:rsidRPr="00892E37" w14:paraId="436A7688" w14:textId="77777777" w:rsidTr="005E32C2">
        <w:tc>
          <w:tcPr>
            <w:tcW w:w="4499" w:type="dxa"/>
            <w:tcBorders>
              <w:right w:val="single" w:sz="4" w:space="0" w:color="auto"/>
            </w:tcBorders>
          </w:tcPr>
          <w:p w14:paraId="0AFC4DB7"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0C3E0C4C"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Otros productos de plástico</w:t>
            </w:r>
          </w:p>
        </w:tc>
      </w:tr>
      <w:tr w:rsidR="00022FD6" w:rsidRPr="00892E37" w14:paraId="4C03145B" w14:textId="77777777" w:rsidTr="005E32C2">
        <w:tc>
          <w:tcPr>
            <w:tcW w:w="4499" w:type="dxa"/>
            <w:tcBorders>
              <w:right w:val="single" w:sz="4" w:space="0" w:color="auto"/>
            </w:tcBorders>
          </w:tcPr>
          <w:p w14:paraId="66521EB7"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 xml:space="preserve">No Metálicos </w:t>
            </w:r>
          </w:p>
        </w:tc>
        <w:tc>
          <w:tcPr>
            <w:tcW w:w="4527" w:type="dxa"/>
            <w:tcBorders>
              <w:left w:val="single" w:sz="4" w:space="0" w:color="auto"/>
            </w:tcBorders>
          </w:tcPr>
          <w:p w14:paraId="77712E1D"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Vidrio y productos de vidrio</w:t>
            </w:r>
          </w:p>
        </w:tc>
      </w:tr>
      <w:tr w:rsidR="00022FD6" w:rsidRPr="00892E37" w14:paraId="0B6F8049" w14:textId="77777777" w:rsidTr="005E32C2">
        <w:tc>
          <w:tcPr>
            <w:tcW w:w="4499" w:type="dxa"/>
            <w:tcBorders>
              <w:right w:val="single" w:sz="4" w:space="0" w:color="auto"/>
            </w:tcBorders>
          </w:tcPr>
          <w:p w14:paraId="2D30D0C9" w14:textId="77777777" w:rsidR="00022FD6" w:rsidRPr="00BE3D1F"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44C66DCF"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Productos refractarios, materiales de construcción</w:t>
            </w:r>
          </w:p>
        </w:tc>
      </w:tr>
      <w:tr w:rsidR="00022FD6" w:rsidRPr="00892E37" w14:paraId="782ADA19" w14:textId="77777777" w:rsidTr="005E32C2">
        <w:tc>
          <w:tcPr>
            <w:tcW w:w="4499" w:type="dxa"/>
            <w:tcBorders>
              <w:right w:val="single" w:sz="4" w:space="0" w:color="auto"/>
            </w:tcBorders>
          </w:tcPr>
          <w:p w14:paraId="4F991B14"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3FB0AEB3"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Cemento, cal y yeso</w:t>
            </w:r>
          </w:p>
        </w:tc>
      </w:tr>
      <w:tr w:rsidR="00022FD6" w:rsidRPr="00892E37" w14:paraId="135D5216" w14:textId="77777777" w:rsidTr="005E32C2">
        <w:tc>
          <w:tcPr>
            <w:tcW w:w="4499" w:type="dxa"/>
            <w:tcBorders>
              <w:right w:val="single" w:sz="4" w:space="0" w:color="auto"/>
            </w:tcBorders>
          </w:tcPr>
          <w:p w14:paraId="1EFDDF74"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0C722E0D"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Artículos de hormigón, cemento y yeso</w:t>
            </w:r>
          </w:p>
        </w:tc>
      </w:tr>
      <w:tr w:rsidR="00022FD6" w:rsidRPr="00892E37" w14:paraId="4BD2955F" w14:textId="77777777" w:rsidTr="005E32C2">
        <w:tc>
          <w:tcPr>
            <w:tcW w:w="4499" w:type="dxa"/>
            <w:tcBorders>
              <w:right w:val="single" w:sz="4" w:space="0" w:color="auto"/>
            </w:tcBorders>
          </w:tcPr>
          <w:p w14:paraId="7E22D3A8"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 xml:space="preserve">Metálicos </w:t>
            </w:r>
          </w:p>
        </w:tc>
        <w:tc>
          <w:tcPr>
            <w:tcW w:w="4527" w:type="dxa"/>
            <w:tcBorders>
              <w:left w:val="single" w:sz="4" w:space="0" w:color="auto"/>
            </w:tcBorders>
          </w:tcPr>
          <w:p w14:paraId="191EC0AE"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Productos básicos de hierro y acero</w:t>
            </w:r>
          </w:p>
        </w:tc>
      </w:tr>
      <w:tr w:rsidR="00022FD6" w:rsidRPr="00892E37" w14:paraId="1400C4C8" w14:textId="77777777" w:rsidTr="005E32C2">
        <w:tc>
          <w:tcPr>
            <w:tcW w:w="4499" w:type="dxa"/>
            <w:tcBorders>
              <w:right w:val="single" w:sz="4" w:space="0" w:color="auto"/>
            </w:tcBorders>
          </w:tcPr>
          <w:p w14:paraId="68B94642"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26C94FA2"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Productos primarios de aluminio, zinc</w:t>
            </w:r>
          </w:p>
        </w:tc>
      </w:tr>
      <w:tr w:rsidR="00022FD6" w:rsidRPr="00892E37" w14:paraId="16244DDC" w14:textId="77777777" w:rsidTr="005E32C2">
        <w:tc>
          <w:tcPr>
            <w:tcW w:w="4499" w:type="dxa"/>
            <w:tcBorders>
              <w:right w:val="single" w:sz="4" w:space="0" w:color="auto"/>
            </w:tcBorders>
          </w:tcPr>
          <w:p w14:paraId="7C89F8B5"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54171F9B"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Productos metálicos para uso estructural</w:t>
            </w:r>
          </w:p>
        </w:tc>
      </w:tr>
      <w:tr w:rsidR="00022FD6" w:rsidRPr="00892E37" w14:paraId="2C53C633" w14:textId="77777777" w:rsidTr="005E32C2">
        <w:tc>
          <w:tcPr>
            <w:tcW w:w="4499" w:type="dxa"/>
            <w:tcBorders>
              <w:right w:val="single" w:sz="4" w:space="0" w:color="auto"/>
            </w:tcBorders>
          </w:tcPr>
          <w:p w14:paraId="09CBAE84"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65F2BD44"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Otros productos de metal</w:t>
            </w:r>
          </w:p>
        </w:tc>
      </w:tr>
      <w:tr w:rsidR="00022FD6" w:rsidRPr="00892E37" w14:paraId="4CDF57CE" w14:textId="77777777" w:rsidTr="005E32C2">
        <w:tc>
          <w:tcPr>
            <w:tcW w:w="4499" w:type="dxa"/>
            <w:tcBorders>
              <w:right w:val="single" w:sz="4" w:space="0" w:color="auto"/>
            </w:tcBorders>
          </w:tcPr>
          <w:p w14:paraId="24E76CF8" w14:textId="18E2BD93"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Maquinar</w:t>
            </w:r>
            <w:r w:rsidR="004B752B">
              <w:rPr>
                <w:rFonts w:ascii="Arial" w:cs="Arial"/>
                <w:sz w:val="22"/>
                <w:szCs w:val="22"/>
                <w:lang w:val="es-CR"/>
              </w:rPr>
              <w:t>i</w:t>
            </w:r>
            <w:r w:rsidRPr="00892E37">
              <w:rPr>
                <w:rFonts w:ascii="Arial" w:cs="Arial"/>
                <w:sz w:val="22"/>
                <w:szCs w:val="22"/>
                <w:lang w:val="es-CR"/>
              </w:rPr>
              <w:t>a</w:t>
            </w:r>
          </w:p>
        </w:tc>
        <w:tc>
          <w:tcPr>
            <w:tcW w:w="4527" w:type="dxa"/>
            <w:tcBorders>
              <w:left w:val="single" w:sz="4" w:space="0" w:color="auto"/>
            </w:tcBorders>
          </w:tcPr>
          <w:p w14:paraId="5D4C22C9"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 xml:space="preserve">Componentes y tableros electrónicos </w:t>
            </w:r>
          </w:p>
        </w:tc>
      </w:tr>
      <w:tr w:rsidR="00022FD6" w:rsidRPr="00892E37" w14:paraId="44466748" w14:textId="77777777" w:rsidTr="005E32C2">
        <w:tc>
          <w:tcPr>
            <w:tcW w:w="4499" w:type="dxa"/>
            <w:tcBorders>
              <w:right w:val="single" w:sz="4" w:space="0" w:color="auto"/>
            </w:tcBorders>
          </w:tcPr>
          <w:p w14:paraId="2F384B0F"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1DA45465"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Equipos de comunicaciones</w:t>
            </w:r>
          </w:p>
        </w:tc>
      </w:tr>
      <w:tr w:rsidR="00022FD6" w:rsidRPr="00892E37" w14:paraId="389A69ED" w14:textId="77777777" w:rsidTr="005E32C2">
        <w:tc>
          <w:tcPr>
            <w:tcW w:w="4499" w:type="dxa"/>
            <w:tcBorders>
              <w:right w:val="single" w:sz="4" w:space="0" w:color="auto"/>
            </w:tcBorders>
          </w:tcPr>
          <w:p w14:paraId="5BF4FEA9"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60DA7A80"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Equipo de medición, prueba y navegación</w:t>
            </w:r>
          </w:p>
        </w:tc>
      </w:tr>
      <w:tr w:rsidR="00022FD6" w:rsidRPr="00892E37" w14:paraId="3F7B217A" w14:textId="77777777" w:rsidTr="005E32C2">
        <w:tc>
          <w:tcPr>
            <w:tcW w:w="4499" w:type="dxa"/>
            <w:tcBorders>
              <w:right w:val="single" w:sz="4" w:space="0" w:color="auto"/>
            </w:tcBorders>
          </w:tcPr>
          <w:p w14:paraId="16DE7261"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6ED6BF70"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 xml:space="preserve">Equipo de irradiación, electrónicos y médico </w:t>
            </w:r>
          </w:p>
        </w:tc>
      </w:tr>
      <w:tr w:rsidR="00022FD6" w:rsidRPr="00892E37" w14:paraId="605BAB04" w14:textId="77777777" w:rsidTr="005E32C2">
        <w:tc>
          <w:tcPr>
            <w:tcW w:w="4499" w:type="dxa"/>
            <w:tcBorders>
              <w:right w:val="single" w:sz="4" w:space="0" w:color="auto"/>
            </w:tcBorders>
          </w:tcPr>
          <w:p w14:paraId="71C00D79"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6FD1D816"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 xml:space="preserve">Instrumentos ópticos, fotográfico </w:t>
            </w:r>
          </w:p>
        </w:tc>
      </w:tr>
      <w:tr w:rsidR="00022FD6" w:rsidRPr="00892E37" w14:paraId="10924657" w14:textId="77777777" w:rsidTr="005E32C2">
        <w:tc>
          <w:tcPr>
            <w:tcW w:w="4499" w:type="dxa"/>
            <w:tcBorders>
              <w:right w:val="single" w:sz="4" w:space="0" w:color="auto"/>
            </w:tcBorders>
          </w:tcPr>
          <w:p w14:paraId="37BCAF5D"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5CA066BD"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 xml:space="preserve">Motores, generadores y transformaciones eléctricos </w:t>
            </w:r>
          </w:p>
        </w:tc>
      </w:tr>
      <w:tr w:rsidR="00022FD6" w:rsidRPr="00892E37" w14:paraId="2755E024" w14:textId="77777777" w:rsidTr="005E32C2">
        <w:tc>
          <w:tcPr>
            <w:tcW w:w="4499" w:type="dxa"/>
            <w:tcBorders>
              <w:right w:val="single" w:sz="4" w:space="0" w:color="auto"/>
            </w:tcBorders>
          </w:tcPr>
          <w:p w14:paraId="56A13DBD" w14:textId="77777777" w:rsidR="00022FD6" w:rsidRPr="00892E37" w:rsidRDefault="00022FD6" w:rsidP="00DB0816">
            <w:pPr>
              <w:pStyle w:val="NormalWeb"/>
              <w:rPr>
                <w:rFonts w:ascii="Arial" w:cs="Arial"/>
                <w:sz w:val="22"/>
                <w:szCs w:val="22"/>
                <w:lang w:val="es-CR"/>
              </w:rPr>
            </w:pPr>
          </w:p>
        </w:tc>
        <w:tc>
          <w:tcPr>
            <w:tcW w:w="4527" w:type="dxa"/>
            <w:tcBorders>
              <w:left w:val="single" w:sz="4" w:space="0" w:color="auto"/>
            </w:tcBorders>
          </w:tcPr>
          <w:p w14:paraId="02CA561A"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Pilas, batería, acumuladores y cables</w:t>
            </w:r>
          </w:p>
        </w:tc>
      </w:tr>
      <w:tr w:rsidR="00022FD6" w:rsidRPr="00892E37" w14:paraId="7863CF72" w14:textId="77777777" w:rsidTr="005E32C2">
        <w:tc>
          <w:tcPr>
            <w:tcW w:w="4499" w:type="dxa"/>
            <w:tcBorders>
              <w:right w:val="single" w:sz="4" w:space="0" w:color="auto"/>
            </w:tcBorders>
          </w:tcPr>
          <w:p w14:paraId="24847D81"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09CF7FBB"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Equipo eléctrico de iluminación</w:t>
            </w:r>
          </w:p>
        </w:tc>
      </w:tr>
      <w:tr w:rsidR="00022FD6" w:rsidRPr="00892E37" w14:paraId="104E3E72" w14:textId="77777777" w:rsidTr="005E32C2">
        <w:tc>
          <w:tcPr>
            <w:tcW w:w="4499" w:type="dxa"/>
            <w:tcBorders>
              <w:right w:val="single" w:sz="4" w:space="0" w:color="auto"/>
            </w:tcBorders>
          </w:tcPr>
          <w:p w14:paraId="281A3031"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0FB7914F"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Refrigeradores, cocinas y lavadoras</w:t>
            </w:r>
          </w:p>
        </w:tc>
      </w:tr>
      <w:tr w:rsidR="00022FD6" w:rsidRPr="00892E37" w14:paraId="18D0DB26" w14:textId="77777777" w:rsidTr="005E32C2">
        <w:tc>
          <w:tcPr>
            <w:tcW w:w="4499" w:type="dxa"/>
            <w:tcBorders>
              <w:right w:val="single" w:sz="4" w:space="0" w:color="auto"/>
            </w:tcBorders>
          </w:tcPr>
          <w:p w14:paraId="24BE5E7A"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363B379A"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Otros tipos de equipo eléctrico</w:t>
            </w:r>
          </w:p>
        </w:tc>
      </w:tr>
      <w:tr w:rsidR="00022FD6" w:rsidRPr="00892E37" w14:paraId="7988CA9F" w14:textId="77777777" w:rsidTr="005E32C2">
        <w:tc>
          <w:tcPr>
            <w:tcW w:w="4499" w:type="dxa"/>
            <w:tcBorders>
              <w:right w:val="single" w:sz="4" w:space="0" w:color="auto"/>
            </w:tcBorders>
          </w:tcPr>
          <w:p w14:paraId="1F74103B"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429F6F97"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Maquinaria de uso general y especial</w:t>
            </w:r>
          </w:p>
        </w:tc>
      </w:tr>
      <w:tr w:rsidR="00022FD6" w:rsidRPr="00892E37" w14:paraId="710C57A2" w14:textId="77777777" w:rsidTr="005E32C2">
        <w:tc>
          <w:tcPr>
            <w:tcW w:w="4499" w:type="dxa"/>
            <w:tcBorders>
              <w:right w:val="single" w:sz="4" w:space="0" w:color="auto"/>
            </w:tcBorders>
          </w:tcPr>
          <w:p w14:paraId="0FD21CA4"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0AA18231"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Instrumentos y suministros médicos y dentales</w:t>
            </w:r>
          </w:p>
        </w:tc>
      </w:tr>
      <w:tr w:rsidR="00022FD6" w:rsidRPr="00892E37" w14:paraId="371AAF8A" w14:textId="77777777" w:rsidTr="005E32C2">
        <w:tc>
          <w:tcPr>
            <w:tcW w:w="4499" w:type="dxa"/>
            <w:tcBorders>
              <w:right w:val="single" w:sz="4" w:space="0" w:color="auto"/>
            </w:tcBorders>
          </w:tcPr>
          <w:p w14:paraId="018AC6C9"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 xml:space="preserve">Vehículos </w:t>
            </w:r>
          </w:p>
        </w:tc>
        <w:tc>
          <w:tcPr>
            <w:tcW w:w="4527" w:type="dxa"/>
            <w:tcBorders>
              <w:left w:val="single" w:sz="4" w:space="0" w:color="auto"/>
            </w:tcBorders>
          </w:tcPr>
          <w:p w14:paraId="43F8B3E8"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Remolques y semirremolques</w:t>
            </w:r>
          </w:p>
        </w:tc>
      </w:tr>
      <w:tr w:rsidR="00022FD6" w:rsidRPr="00892E37" w14:paraId="79C482A9" w14:textId="77777777" w:rsidTr="005E32C2">
        <w:tc>
          <w:tcPr>
            <w:tcW w:w="4499" w:type="dxa"/>
            <w:tcBorders>
              <w:right w:val="single" w:sz="4" w:space="0" w:color="auto"/>
            </w:tcBorders>
          </w:tcPr>
          <w:p w14:paraId="15CD016D"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74BC603A"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Partes y piezas para vehículos automotores</w:t>
            </w:r>
          </w:p>
        </w:tc>
      </w:tr>
      <w:tr w:rsidR="00022FD6" w:rsidRPr="00892E37" w14:paraId="4A168A4D" w14:textId="77777777" w:rsidTr="005E32C2">
        <w:tc>
          <w:tcPr>
            <w:tcW w:w="4499" w:type="dxa"/>
            <w:tcBorders>
              <w:right w:val="single" w:sz="4" w:space="0" w:color="auto"/>
            </w:tcBorders>
          </w:tcPr>
          <w:p w14:paraId="02D57553"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5202A23B"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Otros tipos de equipos de transporte</w:t>
            </w:r>
          </w:p>
        </w:tc>
      </w:tr>
      <w:tr w:rsidR="00022FD6" w:rsidRPr="00892E37" w14:paraId="0BAF8DC5" w14:textId="77777777" w:rsidTr="005E32C2">
        <w:tc>
          <w:tcPr>
            <w:tcW w:w="4499" w:type="dxa"/>
            <w:tcBorders>
              <w:right w:val="single" w:sz="4" w:space="0" w:color="auto"/>
            </w:tcBorders>
          </w:tcPr>
          <w:p w14:paraId="5DC486C9"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Silvicultura</w:t>
            </w:r>
          </w:p>
        </w:tc>
        <w:tc>
          <w:tcPr>
            <w:tcW w:w="4527" w:type="dxa"/>
            <w:tcBorders>
              <w:left w:val="single" w:sz="4" w:space="0" w:color="auto"/>
            </w:tcBorders>
          </w:tcPr>
          <w:p w14:paraId="5773AC8D"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Silvicultura</w:t>
            </w:r>
          </w:p>
        </w:tc>
      </w:tr>
      <w:tr w:rsidR="00022FD6" w:rsidRPr="00892E37" w14:paraId="6F21FC59" w14:textId="77777777" w:rsidTr="005E32C2">
        <w:tc>
          <w:tcPr>
            <w:tcW w:w="4499" w:type="dxa"/>
            <w:tcBorders>
              <w:right w:val="single" w:sz="4" w:space="0" w:color="auto"/>
            </w:tcBorders>
          </w:tcPr>
          <w:p w14:paraId="68DE6B4C"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Pesca</w:t>
            </w:r>
          </w:p>
        </w:tc>
        <w:tc>
          <w:tcPr>
            <w:tcW w:w="4527" w:type="dxa"/>
            <w:tcBorders>
              <w:left w:val="single" w:sz="4" w:space="0" w:color="auto"/>
            </w:tcBorders>
          </w:tcPr>
          <w:p w14:paraId="37C72D4F"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Productos de la pesca</w:t>
            </w:r>
          </w:p>
        </w:tc>
      </w:tr>
      <w:tr w:rsidR="00022FD6" w:rsidRPr="00892E37" w14:paraId="2997D75A" w14:textId="77777777" w:rsidTr="005E32C2">
        <w:tc>
          <w:tcPr>
            <w:tcW w:w="4499" w:type="dxa"/>
            <w:tcBorders>
              <w:right w:val="single" w:sz="4" w:space="0" w:color="auto"/>
            </w:tcBorders>
          </w:tcPr>
          <w:p w14:paraId="05DADB92"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38261F9F"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Productos de acuicultura</w:t>
            </w:r>
          </w:p>
        </w:tc>
      </w:tr>
      <w:tr w:rsidR="00022FD6" w:rsidRPr="00892E37" w14:paraId="0995AA48" w14:textId="77777777" w:rsidTr="005E32C2">
        <w:tc>
          <w:tcPr>
            <w:tcW w:w="4499" w:type="dxa"/>
            <w:tcBorders>
              <w:right w:val="single" w:sz="4" w:space="0" w:color="auto"/>
            </w:tcBorders>
          </w:tcPr>
          <w:p w14:paraId="412D6133"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 xml:space="preserve">Minería </w:t>
            </w:r>
          </w:p>
        </w:tc>
        <w:tc>
          <w:tcPr>
            <w:tcW w:w="4527" w:type="dxa"/>
            <w:tcBorders>
              <w:left w:val="single" w:sz="4" w:space="0" w:color="auto"/>
            </w:tcBorders>
          </w:tcPr>
          <w:p w14:paraId="04F6C2A3"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Piedra, arena y arcilla</w:t>
            </w:r>
          </w:p>
        </w:tc>
      </w:tr>
      <w:tr w:rsidR="00022FD6" w:rsidRPr="00892E37" w14:paraId="60D7B33B" w14:textId="77777777" w:rsidTr="005E32C2">
        <w:tc>
          <w:tcPr>
            <w:tcW w:w="4499" w:type="dxa"/>
            <w:tcBorders>
              <w:right w:val="single" w:sz="4" w:space="0" w:color="auto"/>
            </w:tcBorders>
          </w:tcPr>
          <w:p w14:paraId="4DB22F13"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47C4B81B"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Sal</w:t>
            </w:r>
          </w:p>
        </w:tc>
      </w:tr>
      <w:tr w:rsidR="00022FD6" w:rsidRPr="00892E37" w14:paraId="13F013A9" w14:textId="77777777" w:rsidTr="005E32C2">
        <w:tc>
          <w:tcPr>
            <w:tcW w:w="4499" w:type="dxa"/>
            <w:tcBorders>
              <w:right w:val="single" w:sz="4" w:space="0" w:color="auto"/>
            </w:tcBorders>
          </w:tcPr>
          <w:p w14:paraId="4E03CCF4"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02DA8369"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Petróleo y gas natural</w:t>
            </w:r>
          </w:p>
        </w:tc>
      </w:tr>
      <w:tr w:rsidR="00022FD6" w:rsidRPr="00892E37" w14:paraId="6967906E" w14:textId="77777777" w:rsidTr="005E32C2">
        <w:tc>
          <w:tcPr>
            <w:tcW w:w="4499" w:type="dxa"/>
            <w:tcBorders>
              <w:right w:val="single" w:sz="4" w:space="0" w:color="auto"/>
            </w:tcBorders>
          </w:tcPr>
          <w:p w14:paraId="7C2EFCEE"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31AA32B1"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Otros minerales metálicos, no metálicos</w:t>
            </w:r>
          </w:p>
        </w:tc>
      </w:tr>
      <w:tr w:rsidR="00022FD6" w:rsidRPr="00892E37" w14:paraId="69D55F55" w14:textId="77777777" w:rsidTr="005E32C2">
        <w:tc>
          <w:tcPr>
            <w:tcW w:w="4499" w:type="dxa"/>
            <w:tcBorders>
              <w:right w:val="single" w:sz="4" w:space="0" w:color="auto"/>
            </w:tcBorders>
          </w:tcPr>
          <w:p w14:paraId="451CCDE3"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Alimentos</w:t>
            </w:r>
          </w:p>
        </w:tc>
        <w:tc>
          <w:tcPr>
            <w:tcW w:w="4527" w:type="dxa"/>
            <w:tcBorders>
              <w:left w:val="single" w:sz="4" w:space="0" w:color="auto"/>
            </w:tcBorders>
          </w:tcPr>
          <w:p w14:paraId="7D1355F4"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 xml:space="preserve">Carne y despojos comestibles de aves </w:t>
            </w:r>
          </w:p>
        </w:tc>
      </w:tr>
      <w:tr w:rsidR="00022FD6" w:rsidRPr="00892E37" w14:paraId="6EAFD2BC" w14:textId="77777777" w:rsidTr="005E32C2">
        <w:tc>
          <w:tcPr>
            <w:tcW w:w="4499" w:type="dxa"/>
            <w:tcBorders>
              <w:right w:val="single" w:sz="4" w:space="0" w:color="auto"/>
            </w:tcBorders>
          </w:tcPr>
          <w:p w14:paraId="39B73D16"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45AF3C79"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Carne y despojos comestibles de ganado vacuno</w:t>
            </w:r>
          </w:p>
        </w:tc>
      </w:tr>
      <w:tr w:rsidR="00022FD6" w:rsidRPr="00892E37" w14:paraId="725D4030" w14:textId="77777777" w:rsidTr="005E32C2">
        <w:tc>
          <w:tcPr>
            <w:tcW w:w="4499" w:type="dxa"/>
            <w:tcBorders>
              <w:right w:val="single" w:sz="4" w:space="0" w:color="auto"/>
            </w:tcBorders>
          </w:tcPr>
          <w:p w14:paraId="6A345BE6"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75B66C14"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Carne y despojos comestibles de ganado porcino</w:t>
            </w:r>
          </w:p>
        </w:tc>
      </w:tr>
      <w:tr w:rsidR="00022FD6" w:rsidRPr="00892E37" w14:paraId="38B49572" w14:textId="77777777" w:rsidTr="005E32C2">
        <w:tc>
          <w:tcPr>
            <w:tcW w:w="4499" w:type="dxa"/>
            <w:tcBorders>
              <w:right w:val="single" w:sz="4" w:space="0" w:color="auto"/>
            </w:tcBorders>
          </w:tcPr>
          <w:p w14:paraId="7E745444"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4FD1A505"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Embutidos y otros productos cárnicos</w:t>
            </w:r>
          </w:p>
        </w:tc>
      </w:tr>
      <w:tr w:rsidR="00022FD6" w:rsidRPr="00892E37" w14:paraId="016C4E16" w14:textId="77777777" w:rsidTr="005E32C2">
        <w:tc>
          <w:tcPr>
            <w:tcW w:w="4499" w:type="dxa"/>
            <w:tcBorders>
              <w:right w:val="single" w:sz="4" w:space="0" w:color="auto"/>
            </w:tcBorders>
          </w:tcPr>
          <w:p w14:paraId="02D60E16"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68E70309"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Pescados, crustáceos y moluscos conservados</w:t>
            </w:r>
          </w:p>
        </w:tc>
      </w:tr>
      <w:tr w:rsidR="00022FD6" w:rsidRPr="00892E37" w14:paraId="498230D4" w14:textId="77777777" w:rsidTr="005E32C2">
        <w:tc>
          <w:tcPr>
            <w:tcW w:w="4499" w:type="dxa"/>
            <w:tcBorders>
              <w:right w:val="single" w:sz="4" w:space="0" w:color="auto"/>
            </w:tcBorders>
          </w:tcPr>
          <w:p w14:paraId="32FC55FE"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157BCD5D"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Frutas, legumbres y hortalizas en conserva</w:t>
            </w:r>
          </w:p>
        </w:tc>
      </w:tr>
      <w:tr w:rsidR="00022FD6" w:rsidRPr="00892E37" w14:paraId="245A9081" w14:textId="77777777" w:rsidTr="005E32C2">
        <w:tc>
          <w:tcPr>
            <w:tcW w:w="4499" w:type="dxa"/>
            <w:tcBorders>
              <w:right w:val="single" w:sz="4" w:space="0" w:color="auto"/>
            </w:tcBorders>
          </w:tcPr>
          <w:p w14:paraId="22981484"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3F57BF81"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Aceites vegetales crudos y refinados</w:t>
            </w:r>
          </w:p>
        </w:tc>
      </w:tr>
      <w:tr w:rsidR="00022FD6" w:rsidRPr="00892E37" w14:paraId="205DB0E0" w14:textId="77777777" w:rsidTr="005E32C2">
        <w:tc>
          <w:tcPr>
            <w:tcW w:w="4499" w:type="dxa"/>
            <w:tcBorders>
              <w:right w:val="single" w:sz="4" w:space="0" w:color="auto"/>
            </w:tcBorders>
          </w:tcPr>
          <w:p w14:paraId="41667A22"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136838F4"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Otros aceites y grasas de origen vegetal y animal n.c.p</w:t>
            </w:r>
          </w:p>
        </w:tc>
      </w:tr>
      <w:tr w:rsidR="00022FD6" w:rsidRPr="00892E37" w14:paraId="4045805A" w14:textId="77777777" w:rsidTr="005E32C2">
        <w:tc>
          <w:tcPr>
            <w:tcW w:w="4499" w:type="dxa"/>
            <w:tcBorders>
              <w:right w:val="single" w:sz="4" w:space="0" w:color="auto"/>
            </w:tcBorders>
          </w:tcPr>
          <w:p w14:paraId="455738BF"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3E28DA25"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 xml:space="preserve">Productos lácteos </w:t>
            </w:r>
          </w:p>
        </w:tc>
      </w:tr>
      <w:tr w:rsidR="00022FD6" w:rsidRPr="00892E37" w14:paraId="14D991F6" w14:textId="77777777" w:rsidTr="005E32C2">
        <w:tc>
          <w:tcPr>
            <w:tcW w:w="4499" w:type="dxa"/>
            <w:tcBorders>
              <w:right w:val="single" w:sz="4" w:space="0" w:color="auto"/>
            </w:tcBorders>
          </w:tcPr>
          <w:p w14:paraId="4559DE67"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23B5E9DD"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Arroz descascarillado, elaborado y semielaborado</w:t>
            </w:r>
          </w:p>
        </w:tc>
      </w:tr>
      <w:tr w:rsidR="00022FD6" w:rsidRPr="00892E37" w14:paraId="57239F03" w14:textId="77777777" w:rsidTr="005E32C2">
        <w:tc>
          <w:tcPr>
            <w:tcW w:w="4499" w:type="dxa"/>
            <w:tcBorders>
              <w:right w:val="single" w:sz="4" w:space="0" w:color="auto"/>
            </w:tcBorders>
          </w:tcPr>
          <w:p w14:paraId="79C15990"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0995E94B"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Harina de trigo</w:t>
            </w:r>
          </w:p>
        </w:tc>
      </w:tr>
      <w:tr w:rsidR="00022FD6" w:rsidRPr="00892E37" w14:paraId="0349895C" w14:textId="77777777" w:rsidTr="005E32C2">
        <w:tc>
          <w:tcPr>
            <w:tcW w:w="4499" w:type="dxa"/>
            <w:tcBorders>
              <w:right w:val="single" w:sz="4" w:space="0" w:color="auto"/>
            </w:tcBorders>
          </w:tcPr>
          <w:p w14:paraId="0C981BD9"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4270FA92"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Otros productos de molinería n.c.p</w:t>
            </w:r>
          </w:p>
        </w:tc>
      </w:tr>
      <w:tr w:rsidR="00022FD6" w:rsidRPr="00892E37" w14:paraId="6B1D2177" w14:textId="77777777" w:rsidTr="005E32C2">
        <w:tc>
          <w:tcPr>
            <w:tcW w:w="4499" w:type="dxa"/>
            <w:tcBorders>
              <w:right w:val="single" w:sz="4" w:space="0" w:color="auto"/>
            </w:tcBorders>
          </w:tcPr>
          <w:p w14:paraId="37274B7D"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7987D5AC"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 xml:space="preserve">Productos panadería </w:t>
            </w:r>
          </w:p>
        </w:tc>
      </w:tr>
      <w:tr w:rsidR="00022FD6" w:rsidRPr="00892E37" w14:paraId="19156115" w14:textId="77777777" w:rsidTr="005E32C2">
        <w:tc>
          <w:tcPr>
            <w:tcW w:w="4499" w:type="dxa"/>
            <w:tcBorders>
              <w:right w:val="single" w:sz="4" w:space="0" w:color="auto"/>
            </w:tcBorders>
          </w:tcPr>
          <w:p w14:paraId="5799C758"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41815136"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Azúcar de caña, melazas, jarabes y otros azúcares</w:t>
            </w:r>
          </w:p>
        </w:tc>
      </w:tr>
      <w:tr w:rsidR="00022FD6" w:rsidRPr="00892E37" w14:paraId="4F4172FB" w14:textId="77777777" w:rsidTr="005E32C2">
        <w:tc>
          <w:tcPr>
            <w:tcW w:w="4499" w:type="dxa"/>
            <w:tcBorders>
              <w:right w:val="single" w:sz="4" w:space="0" w:color="auto"/>
            </w:tcBorders>
          </w:tcPr>
          <w:p w14:paraId="643A1BA6"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244391EA"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 xml:space="preserve">Cacao, Chocolate y productos de confitería </w:t>
            </w:r>
          </w:p>
        </w:tc>
      </w:tr>
      <w:tr w:rsidR="00022FD6" w:rsidRPr="00892E37" w14:paraId="1E479714" w14:textId="77777777" w:rsidTr="005E32C2">
        <w:tc>
          <w:tcPr>
            <w:tcW w:w="4499" w:type="dxa"/>
            <w:tcBorders>
              <w:right w:val="single" w:sz="4" w:space="0" w:color="auto"/>
            </w:tcBorders>
          </w:tcPr>
          <w:p w14:paraId="1CE4F122"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1603790D"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Macarrones, fideos y productos farináceos análogos</w:t>
            </w:r>
          </w:p>
        </w:tc>
      </w:tr>
      <w:tr w:rsidR="00022FD6" w:rsidRPr="00892E37" w14:paraId="7876E071" w14:textId="77777777" w:rsidTr="005E32C2">
        <w:tc>
          <w:tcPr>
            <w:tcW w:w="4499" w:type="dxa"/>
            <w:tcBorders>
              <w:right w:val="single" w:sz="4" w:space="0" w:color="auto"/>
            </w:tcBorders>
          </w:tcPr>
          <w:p w14:paraId="3B7BAC50"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128E4EEF"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 xml:space="preserve">Comidas, platos preparados y otros productos alimenticios </w:t>
            </w:r>
          </w:p>
        </w:tc>
      </w:tr>
      <w:tr w:rsidR="00022FD6" w:rsidRPr="00892E37" w14:paraId="22F457BC" w14:textId="77777777" w:rsidTr="005E32C2">
        <w:tc>
          <w:tcPr>
            <w:tcW w:w="4499" w:type="dxa"/>
            <w:tcBorders>
              <w:right w:val="single" w:sz="4" w:space="0" w:color="auto"/>
            </w:tcBorders>
          </w:tcPr>
          <w:p w14:paraId="038D430B"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5D51B75D"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Alimentos preparados para animales</w:t>
            </w:r>
          </w:p>
        </w:tc>
      </w:tr>
      <w:tr w:rsidR="00022FD6" w:rsidRPr="00892E37" w14:paraId="3373766F" w14:textId="77777777" w:rsidTr="005E32C2">
        <w:tc>
          <w:tcPr>
            <w:tcW w:w="4499" w:type="dxa"/>
            <w:tcBorders>
              <w:right w:val="single" w:sz="4" w:space="0" w:color="auto"/>
            </w:tcBorders>
          </w:tcPr>
          <w:p w14:paraId="12D67ED2"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Producto de café</w:t>
            </w:r>
          </w:p>
        </w:tc>
        <w:tc>
          <w:tcPr>
            <w:tcW w:w="4527" w:type="dxa"/>
            <w:tcBorders>
              <w:left w:val="single" w:sz="4" w:space="0" w:color="auto"/>
            </w:tcBorders>
          </w:tcPr>
          <w:p w14:paraId="49CC089E"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Café oro</w:t>
            </w:r>
          </w:p>
        </w:tc>
      </w:tr>
      <w:tr w:rsidR="00022FD6" w:rsidRPr="00892E37" w14:paraId="4E3B2355" w14:textId="77777777" w:rsidTr="005E32C2">
        <w:tc>
          <w:tcPr>
            <w:tcW w:w="4499" w:type="dxa"/>
            <w:tcBorders>
              <w:right w:val="single" w:sz="4" w:space="0" w:color="auto"/>
            </w:tcBorders>
          </w:tcPr>
          <w:p w14:paraId="6F933C6A"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7E81A245"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Café molido, soluble, extractos y concentrados</w:t>
            </w:r>
          </w:p>
        </w:tc>
      </w:tr>
      <w:tr w:rsidR="00022FD6" w:rsidRPr="00892E37" w14:paraId="7C863E1F" w14:textId="77777777" w:rsidTr="005E32C2">
        <w:tc>
          <w:tcPr>
            <w:tcW w:w="4499" w:type="dxa"/>
            <w:tcBorders>
              <w:right w:val="single" w:sz="4" w:space="0" w:color="auto"/>
            </w:tcBorders>
          </w:tcPr>
          <w:p w14:paraId="4DC74DDE"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Bebidas y tabaco</w:t>
            </w:r>
          </w:p>
        </w:tc>
        <w:tc>
          <w:tcPr>
            <w:tcW w:w="4527" w:type="dxa"/>
            <w:tcBorders>
              <w:left w:val="single" w:sz="4" w:space="0" w:color="auto"/>
            </w:tcBorders>
          </w:tcPr>
          <w:p w14:paraId="72031D41"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Bebidas alcohólicas destiladas y vinos</w:t>
            </w:r>
          </w:p>
        </w:tc>
      </w:tr>
      <w:tr w:rsidR="00022FD6" w:rsidRPr="00892E37" w14:paraId="4617D7EC" w14:textId="77777777" w:rsidTr="005E32C2">
        <w:tc>
          <w:tcPr>
            <w:tcW w:w="4499" w:type="dxa"/>
            <w:tcBorders>
              <w:right w:val="single" w:sz="4" w:space="0" w:color="auto"/>
            </w:tcBorders>
          </w:tcPr>
          <w:p w14:paraId="450A20AD"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3094589A"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Cerveza, malta, bebidas no alcohólicas y agua embotellada</w:t>
            </w:r>
          </w:p>
        </w:tc>
      </w:tr>
      <w:tr w:rsidR="00022FD6" w:rsidRPr="00892E37" w14:paraId="4EAECB03" w14:textId="77777777" w:rsidTr="005E32C2">
        <w:tc>
          <w:tcPr>
            <w:tcW w:w="4499" w:type="dxa"/>
            <w:tcBorders>
              <w:right w:val="single" w:sz="4" w:space="0" w:color="auto"/>
            </w:tcBorders>
          </w:tcPr>
          <w:p w14:paraId="1BC3599F"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3051D6EB"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Productos de tabaco</w:t>
            </w:r>
          </w:p>
        </w:tc>
      </w:tr>
      <w:tr w:rsidR="00022FD6" w:rsidRPr="00892E37" w14:paraId="0A49EC4E" w14:textId="77777777" w:rsidTr="005E32C2">
        <w:tc>
          <w:tcPr>
            <w:tcW w:w="4499" w:type="dxa"/>
            <w:tcBorders>
              <w:right w:val="single" w:sz="4" w:space="0" w:color="auto"/>
            </w:tcBorders>
          </w:tcPr>
          <w:p w14:paraId="22AF2389"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lastRenderedPageBreak/>
              <w:t>Electricidad y gas</w:t>
            </w:r>
          </w:p>
        </w:tc>
        <w:tc>
          <w:tcPr>
            <w:tcW w:w="4527" w:type="dxa"/>
            <w:tcBorders>
              <w:left w:val="single" w:sz="4" w:space="0" w:color="auto"/>
            </w:tcBorders>
          </w:tcPr>
          <w:p w14:paraId="33F2F265"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Energía eléctrica, gas, vapor y aire acondicionado</w:t>
            </w:r>
          </w:p>
        </w:tc>
      </w:tr>
      <w:tr w:rsidR="00022FD6" w:rsidRPr="00892E37" w14:paraId="25C51BDF" w14:textId="77777777" w:rsidTr="005E32C2">
        <w:tc>
          <w:tcPr>
            <w:tcW w:w="4499" w:type="dxa"/>
            <w:tcBorders>
              <w:right w:val="single" w:sz="4" w:space="0" w:color="auto"/>
            </w:tcBorders>
          </w:tcPr>
          <w:p w14:paraId="50FB171F"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Agua</w:t>
            </w:r>
          </w:p>
        </w:tc>
        <w:tc>
          <w:tcPr>
            <w:tcW w:w="4527" w:type="dxa"/>
            <w:tcBorders>
              <w:left w:val="single" w:sz="4" w:space="0" w:color="auto"/>
            </w:tcBorders>
          </w:tcPr>
          <w:p w14:paraId="4BB2CF3C"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Agua potable y alcantarillado</w:t>
            </w:r>
          </w:p>
        </w:tc>
      </w:tr>
      <w:tr w:rsidR="00022FD6" w:rsidRPr="00892E37" w14:paraId="623ED76B" w14:textId="77777777" w:rsidTr="005E32C2">
        <w:tc>
          <w:tcPr>
            <w:tcW w:w="4499" w:type="dxa"/>
            <w:tcBorders>
              <w:right w:val="single" w:sz="4" w:space="0" w:color="auto"/>
            </w:tcBorders>
          </w:tcPr>
          <w:p w14:paraId="15CB0325"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Construcción</w:t>
            </w:r>
          </w:p>
        </w:tc>
        <w:tc>
          <w:tcPr>
            <w:tcW w:w="4527" w:type="dxa"/>
            <w:tcBorders>
              <w:left w:val="single" w:sz="4" w:space="0" w:color="auto"/>
            </w:tcBorders>
          </w:tcPr>
          <w:p w14:paraId="284460B5"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Edificaciones residenciales</w:t>
            </w:r>
          </w:p>
        </w:tc>
      </w:tr>
      <w:tr w:rsidR="00022FD6" w:rsidRPr="00892E37" w14:paraId="740925B0" w14:textId="77777777" w:rsidTr="005E32C2">
        <w:tc>
          <w:tcPr>
            <w:tcW w:w="4499" w:type="dxa"/>
            <w:tcBorders>
              <w:right w:val="single" w:sz="4" w:space="0" w:color="auto"/>
            </w:tcBorders>
          </w:tcPr>
          <w:p w14:paraId="1FDB11A5"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32409E64"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Edificaciones no residenciales</w:t>
            </w:r>
          </w:p>
        </w:tc>
      </w:tr>
      <w:tr w:rsidR="00022FD6" w:rsidRPr="00892E37" w14:paraId="0F65C35B" w14:textId="77777777" w:rsidTr="005E32C2">
        <w:tc>
          <w:tcPr>
            <w:tcW w:w="4499" w:type="dxa"/>
            <w:tcBorders>
              <w:right w:val="single" w:sz="4" w:space="0" w:color="auto"/>
            </w:tcBorders>
          </w:tcPr>
          <w:p w14:paraId="1DF7B618"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43117296"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 xml:space="preserve">Carretas y vías férreas </w:t>
            </w:r>
          </w:p>
        </w:tc>
      </w:tr>
      <w:tr w:rsidR="00022FD6" w:rsidRPr="00892E37" w14:paraId="58E458D8" w14:textId="77777777" w:rsidTr="005E32C2">
        <w:tc>
          <w:tcPr>
            <w:tcW w:w="4499" w:type="dxa"/>
            <w:tcBorders>
              <w:right w:val="single" w:sz="4" w:space="0" w:color="auto"/>
            </w:tcBorders>
          </w:tcPr>
          <w:p w14:paraId="4E042BE3"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1114754A"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Construcción de proyectos de servicio público</w:t>
            </w:r>
          </w:p>
        </w:tc>
      </w:tr>
      <w:tr w:rsidR="00022FD6" w:rsidRPr="00892E37" w14:paraId="2BFEF8E6" w14:textId="77777777" w:rsidTr="005E32C2">
        <w:tc>
          <w:tcPr>
            <w:tcW w:w="4499" w:type="dxa"/>
            <w:tcBorders>
              <w:right w:val="single" w:sz="4" w:space="0" w:color="auto"/>
            </w:tcBorders>
          </w:tcPr>
          <w:p w14:paraId="4B3142D1"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3BDD186E"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Servicios especiales y generales de construcción</w:t>
            </w:r>
          </w:p>
        </w:tc>
      </w:tr>
      <w:tr w:rsidR="00022FD6" w:rsidRPr="00892E37" w14:paraId="58BC402E" w14:textId="77777777" w:rsidTr="005E32C2">
        <w:tc>
          <w:tcPr>
            <w:tcW w:w="4499" w:type="dxa"/>
            <w:tcBorders>
              <w:right w:val="single" w:sz="4" w:space="0" w:color="auto"/>
            </w:tcBorders>
          </w:tcPr>
          <w:p w14:paraId="6F9F4739"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Comercio</w:t>
            </w:r>
          </w:p>
        </w:tc>
        <w:tc>
          <w:tcPr>
            <w:tcW w:w="4527" w:type="dxa"/>
            <w:tcBorders>
              <w:left w:val="single" w:sz="4" w:space="0" w:color="auto"/>
            </w:tcBorders>
          </w:tcPr>
          <w:p w14:paraId="4C7C5456"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 xml:space="preserve">Servicios de comercio </w:t>
            </w:r>
          </w:p>
        </w:tc>
      </w:tr>
      <w:tr w:rsidR="00022FD6" w:rsidRPr="00892E37" w14:paraId="1D6E2694" w14:textId="77777777" w:rsidTr="005E32C2">
        <w:tc>
          <w:tcPr>
            <w:tcW w:w="4499" w:type="dxa"/>
            <w:tcBorders>
              <w:right w:val="single" w:sz="4" w:space="0" w:color="auto"/>
            </w:tcBorders>
          </w:tcPr>
          <w:p w14:paraId="48F715DA"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4A0E30AD"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 xml:space="preserve">Mantenimiento y reparación de vehículos </w:t>
            </w:r>
          </w:p>
        </w:tc>
      </w:tr>
      <w:tr w:rsidR="00022FD6" w:rsidRPr="00892E37" w14:paraId="12067172" w14:textId="77777777" w:rsidTr="005E32C2">
        <w:tc>
          <w:tcPr>
            <w:tcW w:w="4499" w:type="dxa"/>
            <w:tcBorders>
              <w:right w:val="single" w:sz="4" w:space="0" w:color="auto"/>
            </w:tcBorders>
          </w:tcPr>
          <w:p w14:paraId="25CACB6B"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Transporte</w:t>
            </w:r>
          </w:p>
        </w:tc>
        <w:tc>
          <w:tcPr>
            <w:tcW w:w="4527" w:type="dxa"/>
            <w:tcBorders>
              <w:left w:val="single" w:sz="4" w:space="0" w:color="auto"/>
            </w:tcBorders>
          </w:tcPr>
          <w:p w14:paraId="6FEA7E91"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Servicio de transporte por ferrocarril</w:t>
            </w:r>
          </w:p>
        </w:tc>
      </w:tr>
      <w:tr w:rsidR="00022FD6" w:rsidRPr="00892E37" w14:paraId="514E681D" w14:textId="77777777" w:rsidTr="005E32C2">
        <w:tc>
          <w:tcPr>
            <w:tcW w:w="4499" w:type="dxa"/>
            <w:tcBorders>
              <w:right w:val="single" w:sz="4" w:space="0" w:color="auto"/>
            </w:tcBorders>
          </w:tcPr>
          <w:p w14:paraId="1C3AE421"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1A4E84EE"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Servicio de transporte terrestre</w:t>
            </w:r>
          </w:p>
        </w:tc>
      </w:tr>
      <w:tr w:rsidR="00022FD6" w:rsidRPr="00892E37" w14:paraId="35C5114F" w14:textId="77777777" w:rsidTr="005E32C2">
        <w:tc>
          <w:tcPr>
            <w:tcW w:w="4499" w:type="dxa"/>
            <w:tcBorders>
              <w:right w:val="single" w:sz="4" w:space="0" w:color="auto"/>
            </w:tcBorders>
          </w:tcPr>
          <w:p w14:paraId="47FD0F94"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524B81F2"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Servicio de taxis</w:t>
            </w:r>
          </w:p>
        </w:tc>
      </w:tr>
      <w:tr w:rsidR="00022FD6" w:rsidRPr="00892E37" w14:paraId="60BA3667" w14:textId="77777777" w:rsidTr="005E32C2">
        <w:tc>
          <w:tcPr>
            <w:tcW w:w="4499" w:type="dxa"/>
            <w:tcBorders>
              <w:right w:val="single" w:sz="4" w:space="0" w:color="auto"/>
            </w:tcBorders>
          </w:tcPr>
          <w:p w14:paraId="6435C8DB"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7E676C7F"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Transporte de carga</w:t>
            </w:r>
          </w:p>
        </w:tc>
      </w:tr>
      <w:tr w:rsidR="00022FD6" w:rsidRPr="00892E37" w14:paraId="2FBDAD7A" w14:textId="77777777" w:rsidTr="005E32C2">
        <w:tc>
          <w:tcPr>
            <w:tcW w:w="4499" w:type="dxa"/>
            <w:tcBorders>
              <w:right w:val="single" w:sz="4" w:space="0" w:color="auto"/>
            </w:tcBorders>
          </w:tcPr>
          <w:p w14:paraId="62C5E768"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5D4B6063"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 xml:space="preserve">Transporte de pasajeros por vía marítima y aérea </w:t>
            </w:r>
          </w:p>
        </w:tc>
      </w:tr>
      <w:tr w:rsidR="00022FD6" w:rsidRPr="00892E37" w14:paraId="26100AEC" w14:textId="77777777" w:rsidTr="005E32C2">
        <w:tc>
          <w:tcPr>
            <w:tcW w:w="4499" w:type="dxa"/>
            <w:tcBorders>
              <w:right w:val="single" w:sz="4" w:space="0" w:color="auto"/>
            </w:tcBorders>
          </w:tcPr>
          <w:p w14:paraId="1AB4F04C"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2A735852"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Servicio de almacenamiento y deposito</w:t>
            </w:r>
          </w:p>
        </w:tc>
      </w:tr>
      <w:tr w:rsidR="00022FD6" w:rsidRPr="00892E37" w14:paraId="1C4CB088" w14:textId="77777777" w:rsidTr="005E32C2">
        <w:tc>
          <w:tcPr>
            <w:tcW w:w="4499" w:type="dxa"/>
            <w:tcBorders>
              <w:right w:val="single" w:sz="4" w:space="0" w:color="auto"/>
            </w:tcBorders>
          </w:tcPr>
          <w:p w14:paraId="507FBE00"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4FA8DDAA"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Servicio de estacionamiento</w:t>
            </w:r>
          </w:p>
        </w:tc>
      </w:tr>
      <w:tr w:rsidR="00022FD6" w:rsidRPr="00892E37" w14:paraId="696A2886" w14:textId="77777777" w:rsidTr="005E32C2">
        <w:tc>
          <w:tcPr>
            <w:tcW w:w="4499" w:type="dxa"/>
            <w:tcBorders>
              <w:right w:val="single" w:sz="4" w:space="0" w:color="auto"/>
            </w:tcBorders>
          </w:tcPr>
          <w:p w14:paraId="451D08DA"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05E97CEC"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Otros servicios vinculados con transporte</w:t>
            </w:r>
          </w:p>
        </w:tc>
      </w:tr>
      <w:tr w:rsidR="00022FD6" w:rsidRPr="00892E37" w14:paraId="59974C45" w14:textId="77777777" w:rsidTr="005E32C2">
        <w:tc>
          <w:tcPr>
            <w:tcW w:w="4499" w:type="dxa"/>
            <w:tcBorders>
              <w:right w:val="single" w:sz="4" w:space="0" w:color="auto"/>
            </w:tcBorders>
          </w:tcPr>
          <w:p w14:paraId="28A17EC3"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5688CFC3"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 xml:space="preserve">Carga y descarga </w:t>
            </w:r>
          </w:p>
        </w:tc>
      </w:tr>
      <w:tr w:rsidR="00022FD6" w:rsidRPr="00892E37" w14:paraId="7D3719D7" w14:textId="77777777" w:rsidTr="005E32C2">
        <w:tc>
          <w:tcPr>
            <w:tcW w:w="4499" w:type="dxa"/>
            <w:tcBorders>
              <w:right w:val="single" w:sz="4" w:space="0" w:color="auto"/>
            </w:tcBorders>
          </w:tcPr>
          <w:p w14:paraId="1C55EA81"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27121EDF"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Otros servicios de apoyo de transporte</w:t>
            </w:r>
          </w:p>
        </w:tc>
      </w:tr>
      <w:tr w:rsidR="00022FD6" w:rsidRPr="00892E37" w14:paraId="7EC123B2" w14:textId="77777777" w:rsidTr="005E32C2">
        <w:tc>
          <w:tcPr>
            <w:tcW w:w="4499" w:type="dxa"/>
            <w:tcBorders>
              <w:right w:val="single" w:sz="4" w:space="0" w:color="auto"/>
            </w:tcBorders>
          </w:tcPr>
          <w:p w14:paraId="45E73C39"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 xml:space="preserve">Hoteles y restaurantes </w:t>
            </w:r>
          </w:p>
        </w:tc>
        <w:tc>
          <w:tcPr>
            <w:tcW w:w="4527" w:type="dxa"/>
            <w:tcBorders>
              <w:left w:val="single" w:sz="4" w:space="0" w:color="auto"/>
            </w:tcBorders>
          </w:tcPr>
          <w:p w14:paraId="52FE3EEE"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Servicio de alojamiento</w:t>
            </w:r>
          </w:p>
        </w:tc>
      </w:tr>
      <w:tr w:rsidR="00022FD6" w:rsidRPr="00892E37" w14:paraId="1786ABB7" w14:textId="77777777" w:rsidTr="005E32C2">
        <w:tc>
          <w:tcPr>
            <w:tcW w:w="4499" w:type="dxa"/>
            <w:tcBorders>
              <w:right w:val="single" w:sz="4" w:space="0" w:color="auto"/>
            </w:tcBorders>
          </w:tcPr>
          <w:p w14:paraId="528371CD"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17B1B558"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Servicio de suministro de comida y bebidas</w:t>
            </w:r>
          </w:p>
        </w:tc>
      </w:tr>
      <w:tr w:rsidR="00022FD6" w:rsidRPr="00892E37" w14:paraId="1E27E57F" w14:textId="77777777" w:rsidTr="005E32C2">
        <w:tc>
          <w:tcPr>
            <w:tcW w:w="4499" w:type="dxa"/>
            <w:tcBorders>
              <w:right w:val="single" w:sz="4" w:space="0" w:color="auto"/>
            </w:tcBorders>
          </w:tcPr>
          <w:p w14:paraId="24764E8B"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Servicios profesionales</w:t>
            </w:r>
          </w:p>
        </w:tc>
        <w:tc>
          <w:tcPr>
            <w:tcW w:w="4527" w:type="dxa"/>
            <w:tcBorders>
              <w:left w:val="single" w:sz="4" w:space="0" w:color="auto"/>
            </w:tcBorders>
          </w:tcPr>
          <w:p w14:paraId="69AFF3C6"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Servicios de información y programación</w:t>
            </w:r>
          </w:p>
        </w:tc>
      </w:tr>
      <w:tr w:rsidR="00022FD6" w:rsidRPr="00892E37" w14:paraId="47AC866F" w14:textId="77777777" w:rsidTr="005E32C2">
        <w:tc>
          <w:tcPr>
            <w:tcW w:w="4499" w:type="dxa"/>
            <w:tcBorders>
              <w:right w:val="single" w:sz="4" w:space="0" w:color="auto"/>
            </w:tcBorders>
          </w:tcPr>
          <w:p w14:paraId="7B9C088F"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2C014478"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 xml:space="preserve">Servicios jurídicos </w:t>
            </w:r>
          </w:p>
        </w:tc>
      </w:tr>
      <w:tr w:rsidR="00022FD6" w:rsidRPr="00892E37" w14:paraId="7E7B1AA7" w14:textId="77777777" w:rsidTr="005E32C2">
        <w:tc>
          <w:tcPr>
            <w:tcW w:w="4499" w:type="dxa"/>
            <w:tcBorders>
              <w:right w:val="single" w:sz="4" w:space="0" w:color="auto"/>
            </w:tcBorders>
          </w:tcPr>
          <w:p w14:paraId="40AE3E2B"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7793DC66"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Servicios de contabilidad, consultoría fiscal y otros</w:t>
            </w:r>
          </w:p>
        </w:tc>
      </w:tr>
      <w:tr w:rsidR="00022FD6" w:rsidRPr="00892E37" w14:paraId="7AC67DC6" w14:textId="77777777" w:rsidTr="005E32C2">
        <w:tc>
          <w:tcPr>
            <w:tcW w:w="4499" w:type="dxa"/>
            <w:tcBorders>
              <w:right w:val="single" w:sz="4" w:space="0" w:color="auto"/>
            </w:tcBorders>
          </w:tcPr>
          <w:p w14:paraId="53BA848F"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357C4096"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Servicios en consultorías en gestión financiera</w:t>
            </w:r>
          </w:p>
        </w:tc>
      </w:tr>
      <w:tr w:rsidR="00022FD6" w:rsidRPr="00892E37" w14:paraId="3D481C19" w14:textId="77777777" w:rsidTr="005E32C2">
        <w:tc>
          <w:tcPr>
            <w:tcW w:w="4499" w:type="dxa"/>
            <w:tcBorders>
              <w:right w:val="single" w:sz="4" w:space="0" w:color="auto"/>
            </w:tcBorders>
          </w:tcPr>
          <w:p w14:paraId="2BD4197B"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02E2439A"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Servicios de arquitectura, ingeniería y conexos</w:t>
            </w:r>
          </w:p>
        </w:tc>
      </w:tr>
      <w:tr w:rsidR="00022FD6" w:rsidRPr="00892E37" w14:paraId="2092F5B9" w14:textId="77777777" w:rsidTr="005E32C2">
        <w:tc>
          <w:tcPr>
            <w:tcW w:w="4499" w:type="dxa"/>
            <w:tcBorders>
              <w:right w:val="single" w:sz="4" w:space="0" w:color="auto"/>
            </w:tcBorders>
          </w:tcPr>
          <w:p w14:paraId="126ACAEC"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25F77011"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Servicios de investigación científica y desarrollo</w:t>
            </w:r>
          </w:p>
        </w:tc>
      </w:tr>
      <w:tr w:rsidR="00022FD6" w:rsidRPr="00892E37" w14:paraId="2A10C24A" w14:textId="77777777" w:rsidTr="005E32C2">
        <w:tc>
          <w:tcPr>
            <w:tcW w:w="4499" w:type="dxa"/>
            <w:tcBorders>
              <w:right w:val="single" w:sz="4" w:space="0" w:color="auto"/>
            </w:tcBorders>
          </w:tcPr>
          <w:p w14:paraId="40E980DD"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59018323"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Servicios de publicidad</w:t>
            </w:r>
          </w:p>
        </w:tc>
      </w:tr>
      <w:tr w:rsidR="00022FD6" w:rsidRPr="00892E37" w14:paraId="4437EC11" w14:textId="77777777" w:rsidTr="005E32C2">
        <w:tc>
          <w:tcPr>
            <w:tcW w:w="4499" w:type="dxa"/>
            <w:tcBorders>
              <w:right w:val="single" w:sz="4" w:space="0" w:color="auto"/>
            </w:tcBorders>
          </w:tcPr>
          <w:p w14:paraId="5FFA4BED"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203FA209"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Otros servicios profesionales, científicos y técnicos</w:t>
            </w:r>
          </w:p>
        </w:tc>
      </w:tr>
      <w:tr w:rsidR="00022FD6" w:rsidRPr="00892E37" w14:paraId="652133BA" w14:textId="77777777" w:rsidTr="005E32C2">
        <w:tc>
          <w:tcPr>
            <w:tcW w:w="4499" w:type="dxa"/>
            <w:tcBorders>
              <w:right w:val="single" w:sz="4" w:space="0" w:color="auto"/>
            </w:tcBorders>
          </w:tcPr>
          <w:p w14:paraId="306815E1"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Comunicación</w:t>
            </w:r>
          </w:p>
        </w:tc>
        <w:tc>
          <w:tcPr>
            <w:tcW w:w="4527" w:type="dxa"/>
            <w:tcBorders>
              <w:left w:val="single" w:sz="4" w:space="0" w:color="auto"/>
            </w:tcBorders>
          </w:tcPr>
          <w:p w14:paraId="241C1A14"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 xml:space="preserve">Servicios de telefonía </w:t>
            </w:r>
          </w:p>
        </w:tc>
      </w:tr>
      <w:tr w:rsidR="00022FD6" w:rsidRPr="00892E37" w14:paraId="78C00BDC" w14:textId="77777777" w:rsidTr="005E32C2">
        <w:tc>
          <w:tcPr>
            <w:tcW w:w="4499" w:type="dxa"/>
            <w:tcBorders>
              <w:right w:val="single" w:sz="4" w:space="0" w:color="auto"/>
            </w:tcBorders>
          </w:tcPr>
          <w:p w14:paraId="45CA44D4"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7BBF662F"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 xml:space="preserve">Servicios de internet </w:t>
            </w:r>
          </w:p>
        </w:tc>
      </w:tr>
      <w:tr w:rsidR="00022FD6" w:rsidRPr="00892E37" w14:paraId="20D8FDA4" w14:textId="77777777" w:rsidTr="005E32C2">
        <w:tc>
          <w:tcPr>
            <w:tcW w:w="4499" w:type="dxa"/>
            <w:tcBorders>
              <w:right w:val="single" w:sz="4" w:space="0" w:color="auto"/>
            </w:tcBorders>
          </w:tcPr>
          <w:p w14:paraId="7A94019C"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1B0EC645"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Otros servicios de telecomunicaciones</w:t>
            </w:r>
          </w:p>
        </w:tc>
      </w:tr>
      <w:tr w:rsidR="00022FD6" w:rsidRPr="00892E37" w14:paraId="3B6CFC1B" w14:textId="77777777" w:rsidTr="005E32C2">
        <w:tc>
          <w:tcPr>
            <w:tcW w:w="4499" w:type="dxa"/>
            <w:tcBorders>
              <w:right w:val="single" w:sz="4" w:space="0" w:color="auto"/>
            </w:tcBorders>
          </w:tcPr>
          <w:p w14:paraId="3F873560"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Administración pública</w:t>
            </w:r>
          </w:p>
        </w:tc>
        <w:tc>
          <w:tcPr>
            <w:tcW w:w="4527" w:type="dxa"/>
            <w:tcBorders>
              <w:left w:val="single" w:sz="4" w:space="0" w:color="auto"/>
            </w:tcBorders>
          </w:tcPr>
          <w:p w14:paraId="41177193"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Servicios públicos generales del gobierno</w:t>
            </w:r>
          </w:p>
        </w:tc>
      </w:tr>
      <w:tr w:rsidR="00022FD6" w:rsidRPr="00892E37" w14:paraId="40AE4853" w14:textId="77777777" w:rsidTr="005E32C2">
        <w:tc>
          <w:tcPr>
            <w:tcW w:w="4499" w:type="dxa"/>
            <w:tcBorders>
              <w:right w:val="single" w:sz="4" w:space="0" w:color="auto"/>
            </w:tcBorders>
          </w:tcPr>
          <w:p w14:paraId="5F105A45"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 xml:space="preserve">Finanzas </w:t>
            </w:r>
          </w:p>
        </w:tc>
        <w:tc>
          <w:tcPr>
            <w:tcW w:w="4527" w:type="dxa"/>
            <w:tcBorders>
              <w:left w:val="single" w:sz="4" w:space="0" w:color="auto"/>
            </w:tcBorders>
          </w:tcPr>
          <w:p w14:paraId="1163E754"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 xml:space="preserve">Otros servicios explícitos de intermediación monetaria </w:t>
            </w:r>
          </w:p>
        </w:tc>
      </w:tr>
      <w:tr w:rsidR="00022FD6" w:rsidRPr="00892E37" w14:paraId="1B3D88F4" w14:textId="77777777" w:rsidTr="005E32C2">
        <w:tc>
          <w:tcPr>
            <w:tcW w:w="4499" w:type="dxa"/>
            <w:tcBorders>
              <w:right w:val="single" w:sz="4" w:space="0" w:color="auto"/>
            </w:tcBorders>
          </w:tcPr>
          <w:p w14:paraId="79196493"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5E346618"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Servicios de intermediación financiera</w:t>
            </w:r>
          </w:p>
        </w:tc>
      </w:tr>
      <w:tr w:rsidR="00022FD6" w:rsidRPr="00892E37" w14:paraId="06108D1B" w14:textId="77777777" w:rsidTr="005E32C2">
        <w:tc>
          <w:tcPr>
            <w:tcW w:w="4499" w:type="dxa"/>
            <w:tcBorders>
              <w:right w:val="single" w:sz="4" w:space="0" w:color="auto"/>
            </w:tcBorders>
          </w:tcPr>
          <w:p w14:paraId="22BBB124"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158763E9"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Otros servicios financieros y de banca de inversión</w:t>
            </w:r>
          </w:p>
        </w:tc>
      </w:tr>
      <w:tr w:rsidR="00022FD6" w:rsidRPr="00892E37" w14:paraId="64A7D782" w14:textId="77777777" w:rsidTr="005E32C2">
        <w:tc>
          <w:tcPr>
            <w:tcW w:w="4499" w:type="dxa"/>
            <w:tcBorders>
              <w:right w:val="single" w:sz="4" w:space="0" w:color="auto"/>
            </w:tcBorders>
          </w:tcPr>
          <w:p w14:paraId="440205C6"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1CA442EA"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Servicios de seguro, reaseguros y fondos de pensiones</w:t>
            </w:r>
          </w:p>
        </w:tc>
      </w:tr>
      <w:tr w:rsidR="00022FD6" w:rsidRPr="00892E37" w14:paraId="780977BE" w14:textId="77777777" w:rsidTr="005E32C2">
        <w:tc>
          <w:tcPr>
            <w:tcW w:w="4499" w:type="dxa"/>
            <w:tcBorders>
              <w:right w:val="single" w:sz="4" w:space="0" w:color="auto"/>
            </w:tcBorders>
          </w:tcPr>
          <w:p w14:paraId="16038187"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1F8CCFB8"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 xml:space="preserve">Servicios auxiliares de la intermediación monetaria y financiera </w:t>
            </w:r>
          </w:p>
        </w:tc>
      </w:tr>
      <w:tr w:rsidR="00022FD6" w:rsidRPr="00892E37" w14:paraId="267AF5D1" w14:textId="77777777" w:rsidTr="005E32C2">
        <w:tc>
          <w:tcPr>
            <w:tcW w:w="4499" w:type="dxa"/>
            <w:tcBorders>
              <w:right w:val="single" w:sz="4" w:space="0" w:color="auto"/>
            </w:tcBorders>
          </w:tcPr>
          <w:p w14:paraId="1E43B32E"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263DA8A1"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Servicios auxiliares de seguros y fondos de pensiones</w:t>
            </w:r>
          </w:p>
        </w:tc>
      </w:tr>
      <w:tr w:rsidR="00022FD6" w:rsidRPr="00892E37" w14:paraId="64D99560" w14:textId="77777777" w:rsidTr="005E32C2">
        <w:tc>
          <w:tcPr>
            <w:tcW w:w="4499" w:type="dxa"/>
            <w:tcBorders>
              <w:right w:val="single" w:sz="4" w:space="0" w:color="auto"/>
            </w:tcBorders>
          </w:tcPr>
          <w:p w14:paraId="563517C9"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Salud</w:t>
            </w:r>
          </w:p>
        </w:tc>
        <w:tc>
          <w:tcPr>
            <w:tcW w:w="4527" w:type="dxa"/>
            <w:tcBorders>
              <w:left w:val="single" w:sz="4" w:space="0" w:color="auto"/>
            </w:tcBorders>
          </w:tcPr>
          <w:p w14:paraId="4DDE5116"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Servicios de atención de la salud humana</w:t>
            </w:r>
          </w:p>
        </w:tc>
      </w:tr>
      <w:tr w:rsidR="00022FD6" w:rsidRPr="00892E37" w14:paraId="3AD528A8" w14:textId="77777777" w:rsidTr="005E32C2">
        <w:tc>
          <w:tcPr>
            <w:tcW w:w="4499" w:type="dxa"/>
            <w:tcBorders>
              <w:right w:val="single" w:sz="4" w:space="0" w:color="auto"/>
            </w:tcBorders>
          </w:tcPr>
          <w:p w14:paraId="0A4482A8"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lastRenderedPageBreak/>
              <w:t xml:space="preserve">Educación </w:t>
            </w:r>
          </w:p>
        </w:tc>
        <w:tc>
          <w:tcPr>
            <w:tcW w:w="4527" w:type="dxa"/>
            <w:tcBorders>
              <w:left w:val="single" w:sz="4" w:space="0" w:color="auto"/>
            </w:tcBorders>
          </w:tcPr>
          <w:p w14:paraId="01552766"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 xml:space="preserve">Servicios de enseñanza </w:t>
            </w:r>
          </w:p>
        </w:tc>
      </w:tr>
      <w:tr w:rsidR="00022FD6" w:rsidRPr="00892E37" w14:paraId="2B81C083" w14:textId="77777777" w:rsidTr="005E32C2">
        <w:tc>
          <w:tcPr>
            <w:tcW w:w="4499" w:type="dxa"/>
            <w:tcBorders>
              <w:right w:val="single" w:sz="4" w:space="0" w:color="auto"/>
            </w:tcBorders>
          </w:tcPr>
          <w:p w14:paraId="1E857C24"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 xml:space="preserve">Domésticos </w:t>
            </w:r>
          </w:p>
        </w:tc>
        <w:tc>
          <w:tcPr>
            <w:tcW w:w="4527" w:type="dxa"/>
            <w:tcBorders>
              <w:left w:val="single" w:sz="4" w:space="0" w:color="auto"/>
            </w:tcBorders>
          </w:tcPr>
          <w:p w14:paraId="01F83E7C"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 xml:space="preserve">Servicios domésticos </w:t>
            </w:r>
          </w:p>
        </w:tc>
      </w:tr>
      <w:tr w:rsidR="00022FD6" w:rsidRPr="00892E37" w14:paraId="3434D699" w14:textId="77777777" w:rsidTr="005E32C2">
        <w:tc>
          <w:tcPr>
            <w:tcW w:w="4499" w:type="dxa"/>
            <w:tcBorders>
              <w:right w:val="single" w:sz="4" w:space="0" w:color="auto"/>
            </w:tcBorders>
          </w:tcPr>
          <w:p w14:paraId="2BC3348A"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Otros servicios</w:t>
            </w:r>
          </w:p>
        </w:tc>
        <w:tc>
          <w:tcPr>
            <w:tcW w:w="4527" w:type="dxa"/>
            <w:tcBorders>
              <w:left w:val="single" w:sz="4" w:space="0" w:color="auto"/>
            </w:tcBorders>
          </w:tcPr>
          <w:p w14:paraId="7AC35F88"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Servicios de reparación e instalación de maquinaria</w:t>
            </w:r>
          </w:p>
        </w:tc>
      </w:tr>
      <w:tr w:rsidR="00022FD6" w:rsidRPr="00892E37" w14:paraId="01A4FCBC" w14:textId="77777777" w:rsidTr="005E32C2">
        <w:tc>
          <w:tcPr>
            <w:tcW w:w="4499" w:type="dxa"/>
            <w:tcBorders>
              <w:right w:val="single" w:sz="4" w:space="0" w:color="auto"/>
            </w:tcBorders>
          </w:tcPr>
          <w:p w14:paraId="6A197E87"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6F17DDCD"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Servicios de recogida, tratamiento de desechos</w:t>
            </w:r>
          </w:p>
        </w:tc>
      </w:tr>
      <w:tr w:rsidR="00022FD6" w:rsidRPr="00892E37" w14:paraId="59E633FD" w14:textId="77777777" w:rsidTr="005E32C2">
        <w:tc>
          <w:tcPr>
            <w:tcW w:w="4499" w:type="dxa"/>
            <w:tcBorders>
              <w:right w:val="single" w:sz="4" w:space="0" w:color="auto"/>
            </w:tcBorders>
          </w:tcPr>
          <w:p w14:paraId="31806422"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258E29CC"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 xml:space="preserve">Servicios de protección del medio ambiente </w:t>
            </w:r>
          </w:p>
        </w:tc>
      </w:tr>
      <w:tr w:rsidR="00022FD6" w:rsidRPr="00892E37" w14:paraId="687B2230" w14:textId="77777777" w:rsidTr="005E32C2">
        <w:tc>
          <w:tcPr>
            <w:tcW w:w="4499" w:type="dxa"/>
            <w:tcBorders>
              <w:right w:val="single" w:sz="4" w:space="0" w:color="auto"/>
            </w:tcBorders>
          </w:tcPr>
          <w:p w14:paraId="6F654DEE"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1C6BA3E4"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Servicios postales y de mensajería</w:t>
            </w:r>
          </w:p>
        </w:tc>
      </w:tr>
      <w:tr w:rsidR="00022FD6" w:rsidRPr="00892E37" w14:paraId="77C978FF" w14:textId="77777777" w:rsidTr="005E32C2">
        <w:tc>
          <w:tcPr>
            <w:tcW w:w="4499" w:type="dxa"/>
            <w:tcBorders>
              <w:right w:val="single" w:sz="4" w:space="0" w:color="auto"/>
            </w:tcBorders>
          </w:tcPr>
          <w:p w14:paraId="56DB8CC3"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3FB4024F"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Servicios de radio, televisión y películas</w:t>
            </w:r>
          </w:p>
        </w:tc>
      </w:tr>
      <w:tr w:rsidR="00022FD6" w:rsidRPr="00892E37" w14:paraId="4CA1774D" w14:textId="77777777" w:rsidTr="005E32C2">
        <w:tc>
          <w:tcPr>
            <w:tcW w:w="4499" w:type="dxa"/>
            <w:tcBorders>
              <w:right w:val="single" w:sz="4" w:space="0" w:color="auto"/>
            </w:tcBorders>
          </w:tcPr>
          <w:p w14:paraId="0733C8D9"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68ACEA32"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Servicios de alquiler de viviendas</w:t>
            </w:r>
          </w:p>
        </w:tc>
      </w:tr>
      <w:tr w:rsidR="00022FD6" w:rsidRPr="00892E37" w14:paraId="280644E7" w14:textId="77777777" w:rsidTr="005E32C2">
        <w:tc>
          <w:tcPr>
            <w:tcW w:w="4499" w:type="dxa"/>
            <w:tcBorders>
              <w:right w:val="single" w:sz="4" w:space="0" w:color="auto"/>
            </w:tcBorders>
          </w:tcPr>
          <w:p w14:paraId="696A9777"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3941AFE9"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Servicios de alquiler de inmuebles no residenciales</w:t>
            </w:r>
          </w:p>
        </w:tc>
      </w:tr>
      <w:tr w:rsidR="00022FD6" w:rsidRPr="00892E37" w14:paraId="4BEC1EBC" w14:textId="77777777" w:rsidTr="005E32C2">
        <w:tc>
          <w:tcPr>
            <w:tcW w:w="4499" w:type="dxa"/>
            <w:tcBorders>
              <w:right w:val="single" w:sz="4" w:space="0" w:color="auto"/>
            </w:tcBorders>
          </w:tcPr>
          <w:p w14:paraId="138E21CB"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4EB33459"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Servicios veterinarios</w:t>
            </w:r>
          </w:p>
        </w:tc>
      </w:tr>
      <w:tr w:rsidR="00022FD6" w:rsidRPr="00892E37" w14:paraId="42D82D0D" w14:textId="77777777" w:rsidTr="005E32C2">
        <w:tc>
          <w:tcPr>
            <w:tcW w:w="4499" w:type="dxa"/>
            <w:tcBorders>
              <w:right w:val="single" w:sz="4" w:space="0" w:color="auto"/>
            </w:tcBorders>
          </w:tcPr>
          <w:p w14:paraId="3C63FB6C"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62B13201"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Servicios de alquiler de automotores</w:t>
            </w:r>
          </w:p>
        </w:tc>
      </w:tr>
      <w:tr w:rsidR="00022FD6" w:rsidRPr="00892E37" w14:paraId="3B8E9665" w14:textId="77777777" w:rsidTr="005E32C2">
        <w:tc>
          <w:tcPr>
            <w:tcW w:w="4499" w:type="dxa"/>
            <w:tcBorders>
              <w:right w:val="single" w:sz="4" w:space="0" w:color="auto"/>
            </w:tcBorders>
          </w:tcPr>
          <w:p w14:paraId="7A4519A5" w14:textId="77777777" w:rsidR="00022FD6" w:rsidRPr="00892E37" w:rsidRDefault="00022FD6" w:rsidP="00DB0816">
            <w:pPr>
              <w:pStyle w:val="NormalWeb"/>
              <w:rPr>
                <w:rFonts w:ascii="Arial" w:cs="Arial"/>
                <w:sz w:val="22"/>
                <w:szCs w:val="22"/>
                <w:lang w:val="es-CR"/>
              </w:rPr>
            </w:pPr>
          </w:p>
        </w:tc>
        <w:tc>
          <w:tcPr>
            <w:tcW w:w="4527" w:type="dxa"/>
            <w:tcBorders>
              <w:left w:val="single" w:sz="4" w:space="0" w:color="auto"/>
            </w:tcBorders>
          </w:tcPr>
          <w:p w14:paraId="47F5CB8C"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Alquiler y arrendamiento de licencias</w:t>
            </w:r>
          </w:p>
        </w:tc>
      </w:tr>
      <w:tr w:rsidR="00022FD6" w:rsidRPr="00892E37" w14:paraId="7A9E3D64" w14:textId="77777777" w:rsidTr="005E32C2">
        <w:tc>
          <w:tcPr>
            <w:tcW w:w="4499" w:type="dxa"/>
            <w:tcBorders>
              <w:right w:val="single" w:sz="4" w:space="0" w:color="auto"/>
            </w:tcBorders>
          </w:tcPr>
          <w:p w14:paraId="682C870B"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0F458F7C"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Otros servicios de alquiler</w:t>
            </w:r>
          </w:p>
        </w:tc>
      </w:tr>
      <w:tr w:rsidR="00022FD6" w:rsidRPr="00892E37" w14:paraId="03ADCA29" w14:textId="77777777" w:rsidTr="005E32C2">
        <w:tc>
          <w:tcPr>
            <w:tcW w:w="4499" w:type="dxa"/>
            <w:tcBorders>
              <w:right w:val="single" w:sz="4" w:space="0" w:color="auto"/>
            </w:tcBorders>
          </w:tcPr>
          <w:p w14:paraId="23A6321F"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39DD8E6D"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Servicios de agencias de empleo</w:t>
            </w:r>
          </w:p>
        </w:tc>
      </w:tr>
      <w:tr w:rsidR="00022FD6" w:rsidRPr="00892E37" w14:paraId="75E9538F" w14:textId="77777777" w:rsidTr="005E32C2">
        <w:tc>
          <w:tcPr>
            <w:tcW w:w="4499" w:type="dxa"/>
            <w:tcBorders>
              <w:right w:val="single" w:sz="4" w:space="0" w:color="auto"/>
            </w:tcBorders>
          </w:tcPr>
          <w:p w14:paraId="3D314336"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25EC50ED"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 xml:space="preserve">Servicios de agencias de viajes, operadores turísticos </w:t>
            </w:r>
          </w:p>
        </w:tc>
      </w:tr>
      <w:tr w:rsidR="00022FD6" w:rsidRPr="00892E37" w14:paraId="558759A7" w14:textId="77777777" w:rsidTr="005E32C2">
        <w:tc>
          <w:tcPr>
            <w:tcW w:w="4499" w:type="dxa"/>
            <w:tcBorders>
              <w:right w:val="single" w:sz="4" w:space="0" w:color="auto"/>
            </w:tcBorders>
          </w:tcPr>
          <w:p w14:paraId="13378F63"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558474F2"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 xml:space="preserve">Servicios de seguridad e investigación </w:t>
            </w:r>
          </w:p>
        </w:tc>
      </w:tr>
      <w:tr w:rsidR="00022FD6" w:rsidRPr="00892E37" w14:paraId="075B3D0E" w14:textId="77777777" w:rsidTr="005E32C2">
        <w:tc>
          <w:tcPr>
            <w:tcW w:w="4499" w:type="dxa"/>
            <w:tcBorders>
              <w:right w:val="single" w:sz="4" w:space="0" w:color="auto"/>
            </w:tcBorders>
          </w:tcPr>
          <w:p w14:paraId="44875188"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164F9D89"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 xml:space="preserve">Limpieza de edificios y cuidado de paisaje y mantenimiento </w:t>
            </w:r>
          </w:p>
        </w:tc>
      </w:tr>
      <w:tr w:rsidR="00022FD6" w:rsidRPr="00892E37" w14:paraId="3F95B55E" w14:textId="77777777" w:rsidTr="005E32C2">
        <w:tc>
          <w:tcPr>
            <w:tcW w:w="4499" w:type="dxa"/>
            <w:tcBorders>
              <w:right w:val="single" w:sz="4" w:space="0" w:color="auto"/>
            </w:tcBorders>
          </w:tcPr>
          <w:p w14:paraId="524202F9"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4978EFD6"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Servicios administrativos y de apoyo de oficina</w:t>
            </w:r>
          </w:p>
        </w:tc>
      </w:tr>
      <w:tr w:rsidR="00022FD6" w:rsidRPr="00892E37" w14:paraId="0C22D3B9" w14:textId="77777777" w:rsidTr="005E32C2">
        <w:tc>
          <w:tcPr>
            <w:tcW w:w="4499" w:type="dxa"/>
            <w:tcBorders>
              <w:right w:val="single" w:sz="4" w:space="0" w:color="auto"/>
            </w:tcBorders>
          </w:tcPr>
          <w:p w14:paraId="6D5B9BB5"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6E71504F"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Servicios a la comunidad general</w:t>
            </w:r>
          </w:p>
        </w:tc>
      </w:tr>
      <w:tr w:rsidR="00022FD6" w:rsidRPr="00892E37" w14:paraId="1D9B6C19" w14:textId="77777777" w:rsidTr="005E32C2">
        <w:tc>
          <w:tcPr>
            <w:tcW w:w="4499" w:type="dxa"/>
            <w:tcBorders>
              <w:right w:val="single" w:sz="4" w:space="0" w:color="auto"/>
            </w:tcBorders>
          </w:tcPr>
          <w:p w14:paraId="2F211EC6"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24A65F1C"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Servicios artísticos, entretenimiento y recreativos</w:t>
            </w:r>
          </w:p>
        </w:tc>
      </w:tr>
      <w:tr w:rsidR="00022FD6" w:rsidRPr="00892E37" w14:paraId="7480603E" w14:textId="77777777" w:rsidTr="005E32C2">
        <w:tc>
          <w:tcPr>
            <w:tcW w:w="4499" w:type="dxa"/>
            <w:tcBorders>
              <w:right w:val="single" w:sz="4" w:space="0" w:color="auto"/>
            </w:tcBorders>
          </w:tcPr>
          <w:p w14:paraId="6E8EB406"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739D4C2D"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Servicios de asociaciones empresariales</w:t>
            </w:r>
          </w:p>
        </w:tc>
      </w:tr>
      <w:tr w:rsidR="00022FD6" w:rsidRPr="00892E37" w14:paraId="0A95419B" w14:textId="77777777" w:rsidTr="005E32C2">
        <w:tc>
          <w:tcPr>
            <w:tcW w:w="4499" w:type="dxa"/>
            <w:tcBorders>
              <w:right w:val="single" w:sz="4" w:space="0" w:color="auto"/>
            </w:tcBorders>
          </w:tcPr>
          <w:p w14:paraId="7BF91B23"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1E930E38"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 xml:space="preserve">Servicios de reparación de computadoras </w:t>
            </w:r>
          </w:p>
        </w:tc>
      </w:tr>
      <w:tr w:rsidR="00022FD6" w:rsidRPr="00892E37" w14:paraId="19ABE63C" w14:textId="77777777" w:rsidTr="005E32C2">
        <w:tc>
          <w:tcPr>
            <w:tcW w:w="4499" w:type="dxa"/>
            <w:tcBorders>
              <w:right w:val="single" w:sz="4" w:space="0" w:color="auto"/>
            </w:tcBorders>
          </w:tcPr>
          <w:p w14:paraId="1B0280D2"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4A14C3E4"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 xml:space="preserve">Servicio de lavado, secado y limpieza de prendas </w:t>
            </w:r>
          </w:p>
        </w:tc>
      </w:tr>
      <w:tr w:rsidR="00022FD6" w:rsidRPr="00892E37" w14:paraId="7D1F4AAD" w14:textId="77777777" w:rsidTr="005E32C2">
        <w:tc>
          <w:tcPr>
            <w:tcW w:w="4499" w:type="dxa"/>
            <w:tcBorders>
              <w:right w:val="single" w:sz="4" w:space="0" w:color="auto"/>
            </w:tcBorders>
          </w:tcPr>
          <w:p w14:paraId="72AC4E8E"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574E97B8"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Servicio de peluquería y otros tratamientos de belleza</w:t>
            </w:r>
          </w:p>
        </w:tc>
      </w:tr>
      <w:tr w:rsidR="00022FD6" w:rsidRPr="00892E37" w14:paraId="04F9A1E0" w14:textId="77777777" w:rsidTr="005E32C2">
        <w:tc>
          <w:tcPr>
            <w:tcW w:w="4499" w:type="dxa"/>
            <w:tcBorders>
              <w:right w:val="single" w:sz="4" w:space="0" w:color="auto"/>
            </w:tcBorders>
          </w:tcPr>
          <w:p w14:paraId="3480D113"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tcBorders>
          </w:tcPr>
          <w:p w14:paraId="4CE1940D"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Servicios funerarios y conexos</w:t>
            </w:r>
          </w:p>
        </w:tc>
      </w:tr>
      <w:tr w:rsidR="00022FD6" w:rsidRPr="00892E37" w14:paraId="4889ED40" w14:textId="77777777" w:rsidTr="005E32C2">
        <w:tc>
          <w:tcPr>
            <w:tcW w:w="4499" w:type="dxa"/>
            <w:tcBorders>
              <w:bottom w:val="single" w:sz="4" w:space="0" w:color="auto"/>
              <w:right w:val="single" w:sz="4" w:space="0" w:color="auto"/>
            </w:tcBorders>
          </w:tcPr>
          <w:p w14:paraId="77C3B81B" w14:textId="77777777" w:rsidR="00022FD6" w:rsidRPr="00892E37" w:rsidRDefault="00022FD6" w:rsidP="00DB0816">
            <w:pPr>
              <w:pStyle w:val="NormalWeb"/>
              <w:jc w:val="center"/>
              <w:rPr>
                <w:rFonts w:ascii="Arial" w:cs="Arial"/>
                <w:sz w:val="22"/>
                <w:szCs w:val="22"/>
                <w:lang w:val="es-CR"/>
              </w:rPr>
            </w:pPr>
          </w:p>
        </w:tc>
        <w:tc>
          <w:tcPr>
            <w:tcW w:w="4527" w:type="dxa"/>
            <w:tcBorders>
              <w:left w:val="single" w:sz="4" w:space="0" w:color="auto"/>
              <w:bottom w:val="single" w:sz="4" w:space="0" w:color="auto"/>
            </w:tcBorders>
          </w:tcPr>
          <w:p w14:paraId="2A7AEAAE" w14:textId="77777777" w:rsidR="00022FD6" w:rsidRPr="00892E37" w:rsidRDefault="00022FD6" w:rsidP="00DB0816">
            <w:pPr>
              <w:pStyle w:val="NormalWeb"/>
              <w:jc w:val="center"/>
              <w:rPr>
                <w:rFonts w:ascii="Arial" w:cs="Arial"/>
                <w:sz w:val="22"/>
                <w:szCs w:val="22"/>
                <w:lang w:val="es-CR"/>
              </w:rPr>
            </w:pPr>
            <w:r w:rsidRPr="00892E37">
              <w:rPr>
                <w:rFonts w:ascii="Arial" w:cs="Arial"/>
                <w:sz w:val="22"/>
                <w:szCs w:val="22"/>
                <w:lang w:val="es-CR"/>
              </w:rPr>
              <w:t>Otros servicios n.c.p</w:t>
            </w:r>
          </w:p>
        </w:tc>
      </w:tr>
    </w:tbl>
    <w:p w14:paraId="1E75ADAC" w14:textId="28839233" w:rsidR="00022FD6" w:rsidRPr="005E32C2" w:rsidRDefault="005E32C2" w:rsidP="005E32C2">
      <w:pPr>
        <w:pStyle w:val="NormalWeb"/>
        <w:jc w:val="both"/>
        <w:rPr>
          <w:rFonts w:eastAsiaTheme="minorHAnsi" w:cs="Arial"/>
          <w:sz w:val="20"/>
          <w:szCs w:val="20"/>
          <w:lang w:val="es-CR"/>
        </w:rPr>
      </w:pPr>
      <w:r w:rsidRPr="001E2737">
        <w:rPr>
          <w:rFonts w:eastAsiaTheme="minorHAnsi" w:cs="Arial"/>
          <w:sz w:val="18"/>
          <w:szCs w:val="20"/>
          <w:lang w:val="es-CR"/>
        </w:rPr>
        <w:t>Fuente: elaboración propia con datos de MCS.</w:t>
      </w:r>
    </w:p>
    <w:p w14:paraId="32CDE93F" w14:textId="00F94DB4" w:rsidR="006E0A40" w:rsidRDefault="00F424FE" w:rsidP="00B021D3">
      <w:pPr>
        <w:pStyle w:val="NormalWeb"/>
        <w:jc w:val="both"/>
        <w:rPr>
          <w:rFonts w:eastAsiaTheme="minorHAnsi" w:cs="Arial"/>
          <w:lang w:val="es-CR"/>
        </w:rPr>
      </w:pPr>
      <w:r>
        <w:rPr>
          <w:rFonts w:eastAsiaTheme="minorHAnsi" w:cs="Arial"/>
          <w:lang w:val="es-CR"/>
        </w:rPr>
        <w:t>A partir de esta</w:t>
      </w:r>
      <w:r w:rsidR="00614654" w:rsidRPr="0013423B">
        <w:rPr>
          <w:rFonts w:eastAsiaTheme="minorHAnsi" w:cs="Arial"/>
          <w:lang w:val="es-CR"/>
        </w:rPr>
        <w:t xml:space="preserve"> información</w:t>
      </w:r>
      <w:r>
        <w:rPr>
          <w:rFonts w:eastAsiaTheme="minorHAnsi" w:cs="Arial"/>
          <w:lang w:val="es-CR"/>
        </w:rPr>
        <w:t>,</w:t>
      </w:r>
      <w:r w:rsidR="00614654" w:rsidRPr="0013423B">
        <w:rPr>
          <w:rFonts w:eastAsiaTheme="minorHAnsi" w:cs="Arial"/>
          <w:lang w:val="es-CR"/>
        </w:rPr>
        <w:t xml:space="preserve"> se puede obtener de la matriz la composición de la producción por parte del gasto, como se muestra en la </w:t>
      </w:r>
      <w:r w:rsidR="00614260">
        <w:rPr>
          <w:rFonts w:eastAsiaTheme="minorHAnsi" w:cs="Arial"/>
          <w:lang w:val="es-CR"/>
        </w:rPr>
        <w:fldChar w:fldCharType="begin"/>
      </w:r>
      <w:r w:rsidR="00614260" w:rsidRPr="00313A59">
        <w:rPr>
          <w:rFonts w:eastAsiaTheme="minorHAnsi" w:cs="Arial"/>
          <w:lang w:val="es-CR"/>
        </w:rPr>
        <w:instrText xml:space="preserve"> REF _Ref525024919 \h \* lower </w:instrText>
      </w:r>
      <w:r w:rsidR="00614260">
        <w:rPr>
          <w:rFonts w:eastAsiaTheme="minorHAnsi" w:cs="Arial"/>
          <w:lang w:val="es-CR"/>
        </w:rPr>
      </w:r>
      <w:r w:rsidR="00614260">
        <w:rPr>
          <w:rFonts w:eastAsiaTheme="minorHAnsi" w:cs="Arial"/>
          <w:lang w:val="es-CR"/>
        </w:rPr>
        <w:fldChar w:fldCharType="separate"/>
      </w:r>
      <w:r w:rsidR="00A95E32" w:rsidRPr="0013634F">
        <w:rPr>
          <w:lang w:val="es-CR"/>
        </w:rPr>
        <w:t xml:space="preserve">figura </w:t>
      </w:r>
      <w:r w:rsidR="00A95E32" w:rsidRPr="0013634F">
        <w:rPr>
          <w:noProof/>
          <w:lang w:val="es-CR"/>
        </w:rPr>
        <w:t>9</w:t>
      </w:r>
      <w:r w:rsidR="00614260">
        <w:rPr>
          <w:rFonts w:eastAsiaTheme="minorHAnsi" w:cs="Arial"/>
          <w:lang w:val="es-CR"/>
        </w:rPr>
        <w:fldChar w:fldCharType="end"/>
      </w:r>
      <w:r w:rsidR="001E24CF">
        <w:rPr>
          <w:rFonts w:eastAsiaTheme="minorHAnsi" w:cs="Arial"/>
          <w:lang w:val="es-CR"/>
        </w:rPr>
        <w:t xml:space="preserve">. </w:t>
      </w:r>
      <w:r w:rsidR="00614654" w:rsidRPr="0013423B">
        <w:rPr>
          <w:rFonts w:eastAsiaTheme="minorHAnsi" w:cs="Arial"/>
          <w:lang w:val="es-CR"/>
        </w:rPr>
        <w:t xml:space="preserve">El componente de mayor peso es del consumo privado, en mayor medida el de los hogares </w:t>
      </w:r>
      <w:r w:rsidR="00E93AC0">
        <w:rPr>
          <w:rFonts w:eastAsiaTheme="minorHAnsi" w:cs="Arial"/>
          <w:lang w:val="es-CR"/>
        </w:rPr>
        <w:t>con un 65</w:t>
      </w:r>
      <w:r w:rsidR="00614654" w:rsidRPr="0013423B">
        <w:rPr>
          <w:rFonts w:eastAsiaTheme="minorHAnsi" w:cs="Arial"/>
          <w:lang w:val="es-CR"/>
        </w:rPr>
        <w:t xml:space="preserve">%. Por otra parte, la inversión pública solo representa un 2% del total de inversión en la economía, </w:t>
      </w:r>
      <w:r w:rsidR="00776D9A">
        <w:rPr>
          <w:rFonts w:eastAsiaTheme="minorHAnsi" w:cs="Arial"/>
          <w:lang w:val="es-CR"/>
        </w:rPr>
        <w:t>la</w:t>
      </w:r>
      <w:r w:rsidR="00614654" w:rsidRPr="0013423B">
        <w:rPr>
          <w:rFonts w:eastAsiaTheme="minorHAnsi" w:cs="Arial"/>
          <w:lang w:val="es-CR"/>
        </w:rPr>
        <w:t xml:space="preserve"> cual es 21%, la privada toma relevancia con 19%. Las importaciones representan un 35% y las exportaciones son 32%, mostrando un déficit en </w:t>
      </w:r>
      <w:r w:rsidR="00AB34A5">
        <w:rPr>
          <w:rFonts w:eastAsiaTheme="minorHAnsi" w:cs="Arial"/>
          <w:lang w:val="es-CR"/>
        </w:rPr>
        <w:t>el balance comercial del</w:t>
      </w:r>
      <w:r w:rsidR="00614654" w:rsidRPr="0013423B">
        <w:rPr>
          <w:rFonts w:eastAsiaTheme="minorHAnsi" w:cs="Arial"/>
          <w:lang w:val="es-CR"/>
        </w:rPr>
        <w:t xml:space="preserve"> 3%.</w:t>
      </w:r>
    </w:p>
    <w:p w14:paraId="1ED278AA" w14:textId="14711C8D" w:rsidR="00901CF0" w:rsidRDefault="00901CF0" w:rsidP="00B021D3">
      <w:pPr>
        <w:pStyle w:val="NormalWeb"/>
        <w:jc w:val="both"/>
        <w:rPr>
          <w:rFonts w:eastAsiaTheme="minorHAnsi" w:cs="Arial"/>
          <w:lang w:val="es-CR"/>
        </w:rPr>
      </w:pPr>
    </w:p>
    <w:p w14:paraId="526107AA" w14:textId="6F6FF8AB" w:rsidR="004C584F" w:rsidRDefault="004C584F" w:rsidP="00B021D3">
      <w:pPr>
        <w:pStyle w:val="NormalWeb"/>
        <w:jc w:val="both"/>
        <w:rPr>
          <w:rFonts w:eastAsiaTheme="minorHAnsi" w:cs="Arial"/>
          <w:lang w:val="es-CR"/>
        </w:rPr>
      </w:pPr>
    </w:p>
    <w:p w14:paraId="35A3B840" w14:textId="77777777" w:rsidR="004C584F" w:rsidRDefault="004C584F" w:rsidP="00B021D3">
      <w:pPr>
        <w:pStyle w:val="NormalWeb"/>
        <w:jc w:val="both"/>
        <w:rPr>
          <w:rFonts w:eastAsiaTheme="minorHAnsi" w:cs="Arial"/>
          <w:lang w:val="es-CR"/>
        </w:rPr>
      </w:pPr>
    </w:p>
    <w:p w14:paraId="2D1FDCC4" w14:textId="387B0EAC" w:rsidR="001E24CF" w:rsidRPr="00B021D3" w:rsidRDefault="001E24CF" w:rsidP="001E24CF">
      <w:pPr>
        <w:pStyle w:val="Caption"/>
        <w:rPr>
          <w:rFonts w:eastAsiaTheme="minorHAnsi" w:cs="Arial"/>
          <w:b w:val="0"/>
          <w:sz w:val="24"/>
        </w:rPr>
      </w:pPr>
      <w:bookmarkStart w:id="158" w:name="_Ref525024919"/>
      <w:bookmarkStart w:id="159" w:name="_Toc2853726"/>
      <w:r>
        <w:lastRenderedPageBreak/>
        <w:t xml:space="preserve">Figura </w:t>
      </w:r>
      <w:r w:rsidR="00F700CF">
        <w:rPr>
          <w:noProof/>
        </w:rPr>
        <w:fldChar w:fldCharType="begin"/>
      </w:r>
      <w:r w:rsidR="00F700CF">
        <w:rPr>
          <w:noProof/>
        </w:rPr>
        <w:instrText xml:space="preserve"> SEQ Figura \* ARABIC </w:instrText>
      </w:r>
      <w:r w:rsidR="00F700CF">
        <w:rPr>
          <w:noProof/>
        </w:rPr>
        <w:fldChar w:fldCharType="separate"/>
      </w:r>
      <w:r w:rsidR="00A95E32">
        <w:rPr>
          <w:noProof/>
        </w:rPr>
        <w:t>9</w:t>
      </w:r>
      <w:r w:rsidR="00F700CF">
        <w:rPr>
          <w:noProof/>
        </w:rPr>
        <w:fldChar w:fldCharType="end"/>
      </w:r>
      <w:bookmarkEnd w:id="158"/>
      <w:r>
        <w:t xml:space="preserve"> </w:t>
      </w:r>
      <w:r>
        <w:br/>
      </w:r>
      <w:r w:rsidRPr="006451FA">
        <w:t xml:space="preserve">Composición del PIB por el </w:t>
      </w:r>
      <w:r>
        <w:t xml:space="preserve">lado </w:t>
      </w:r>
      <w:r w:rsidRPr="006451FA">
        <w:t>gasto</w:t>
      </w:r>
      <w:r w:rsidR="003E6A93">
        <w:t>, año 2012</w:t>
      </w:r>
      <w:bookmarkEnd w:id="159"/>
    </w:p>
    <w:p w14:paraId="2C1C3DFD" w14:textId="648C3832" w:rsidR="00614654" w:rsidRDefault="00E753BD" w:rsidP="00C139E7">
      <w:pPr>
        <w:spacing w:line="240" w:lineRule="auto"/>
        <w:jc w:val="center"/>
      </w:pPr>
      <w:r>
        <w:rPr>
          <w:noProof/>
        </w:rPr>
        <w:drawing>
          <wp:inline distT="0" distB="0" distL="0" distR="0" wp14:anchorId="7254B71E" wp14:editId="36521C58">
            <wp:extent cx="5486400" cy="3273552"/>
            <wp:effectExtent l="0" t="0" r="0" b="3175"/>
            <wp:docPr id="186" name="Chart 186">
              <a:extLst xmlns:a="http://schemas.openxmlformats.org/drawingml/2006/main">
                <a:ext uri="{FF2B5EF4-FFF2-40B4-BE49-F238E27FC236}">
                  <a16:creationId xmlns:a16="http://schemas.microsoft.com/office/drawing/2014/main" id="{3BE4A36D-2B97-4A3E-A957-C8628C1973B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56"/>
              </a:graphicData>
            </a:graphic>
          </wp:inline>
        </w:drawing>
      </w:r>
    </w:p>
    <w:p w14:paraId="0AD13992" w14:textId="6A710895" w:rsidR="009367C3" w:rsidRPr="009367C3" w:rsidRDefault="00614654" w:rsidP="00C139E7">
      <w:pPr>
        <w:pStyle w:val="NormalWeb"/>
        <w:jc w:val="both"/>
        <w:rPr>
          <w:rFonts w:eastAsiaTheme="minorHAnsi" w:cs="Arial"/>
          <w:sz w:val="20"/>
          <w:szCs w:val="20"/>
          <w:lang w:val="es-CR"/>
        </w:rPr>
      </w:pPr>
      <w:r w:rsidRPr="001E2737">
        <w:rPr>
          <w:rFonts w:eastAsiaTheme="minorHAnsi" w:cs="Arial"/>
          <w:sz w:val="18"/>
          <w:szCs w:val="20"/>
          <w:lang w:val="es-CR"/>
        </w:rPr>
        <w:t>Fuente: elaboración propia con datos de MCS.</w:t>
      </w:r>
    </w:p>
    <w:p w14:paraId="2A47E43E" w14:textId="595E965D" w:rsidR="00614260" w:rsidRPr="00792E5B" w:rsidRDefault="00614654" w:rsidP="00792E5B">
      <w:pPr>
        <w:pStyle w:val="NormalWeb"/>
        <w:jc w:val="both"/>
        <w:rPr>
          <w:rFonts w:eastAsiaTheme="minorHAnsi" w:cs="Arial"/>
          <w:lang w:val="es-CR"/>
        </w:rPr>
      </w:pPr>
      <w:r w:rsidRPr="00D44C6D">
        <w:rPr>
          <w:rFonts w:eastAsiaTheme="minorHAnsi" w:cs="Arial"/>
          <w:lang w:val="es-CR"/>
        </w:rPr>
        <w:t>La composición del gasto por bienes se observa en la</w:t>
      </w:r>
      <w:r w:rsidR="00FD0A9B">
        <w:rPr>
          <w:rFonts w:eastAsiaTheme="minorHAnsi" w:cs="Arial"/>
          <w:lang w:val="es-CR"/>
        </w:rPr>
        <w:t xml:space="preserve"> </w:t>
      </w:r>
      <w:r w:rsidR="00614260">
        <w:rPr>
          <w:rFonts w:eastAsiaTheme="minorHAnsi" w:cs="Arial"/>
          <w:lang w:val="es-CR"/>
        </w:rPr>
        <w:fldChar w:fldCharType="begin"/>
      </w:r>
      <w:r w:rsidR="00614260" w:rsidRPr="001025E0">
        <w:rPr>
          <w:rFonts w:eastAsiaTheme="minorHAnsi" w:cs="Arial"/>
          <w:lang w:val="es-CR"/>
        </w:rPr>
        <w:instrText xml:space="preserve"> REF _Ref525025012 \h \* lower </w:instrText>
      </w:r>
      <w:r w:rsidR="00614260">
        <w:rPr>
          <w:rFonts w:eastAsiaTheme="minorHAnsi" w:cs="Arial"/>
          <w:lang w:val="es-CR"/>
        </w:rPr>
      </w:r>
      <w:r w:rsidR="00614260">
        <w:rPr>
          <w:rFonts w:eastAsiaTheme="minorHAnsi" w:cs="Arial"/>
          <w:lang w:val="es-CR"/>
        </w:rPr>
        <w:fldChar w:fldCharType="separate"/>
      </w:r>
      <w:r w:rsidR="00A95E32" w:rsidRPr="00A95E32">
        <w:rPr>
          <w:lang w:val="es-CR"/>
        </w:rPr>
        <w:t xml:space="preserve">tabla </w:t>
      </w:r>
      <w:r w:rsidR="00A95E32" w:rsidRPr="00A95E32">
        <w:rPr>
          <w:noProof/>
          <w:lang w:val="es-CR"/>
        </w:rPr>
        <w:t>20</w:t>
      </w:r>
      <w:r w:rsidR="00614260">
        <w:rPr>
          <w:rFonts w:eastAsiaTheme="minorHAnsi" w:cs="Arial"/>
          <w:lang w:val="es-CR"/>
        </w:rPr>
        <w:fldChar w:fldCharType="end"/>
      </w:r>
      <w:r w:rsidRPr="00D44C6D">
        <w:rPr>
          <w:rFonts w:eastAsiaTheme="minorHAnsi" w:cs="Arial"/>
          <w:lang w:val="es-CR"/>
        </w:rPr>
        <w:t xml:space="preserve">. El consumo de productos agrícolas y alimenticios son </w:t>
      </w:r>
      <w:r w:rsidR="00B055DE">
        <w:rPr>
          <w:rFonts w:eastAsiaTheme="minorHAnsi" w:cs="Arial"/>
          <w:lang w:val="es-CR"/>
        </w:rPr>
        <w:t>relevantes para</w:t>
      </w:r>
      <w:r w:rsidRPr="00D44C6D">
        <w:rPr>
          <w:rFonts w:eastAsiaTheme="minorHAnsi" w:cs="Arial"/>
          <w:lang w:val="es-CR"/>
        </w:rPr>
        <w:t xml:space="preserve"> los hogares, </w:t>
      </w:r>
      <w:r w:rsidR="00351165">
        <w:rPr>
          <w:rFonts w:eastAsiaTheme="minorHAnsi" w:cs="Arial"/>
          <w:lang w:val="es-CR"/>
        </w:rPr>
        <w:t xml:space="preserve">así como los otros servicios, los cuales representan un 35% de su consumo, y esto es importante resaltarlo debido </w:t>
      </w:r>
      <w:r w:rsidR="006C0015">
        <w:rPr>
          <w:rFonts w:eastAsiaTheme="minorHAnsi" w:cs="Arial"/>
          <w:lang w:val="es-CR"/>
        </w:rPr>
        <w:t>a que la mayoría de estos no están en la base gravable del impuesto de ventas.</w:t>
      </w:r>
      <w:r w:rsidRPr="00D44C6D">
        <w:rPr>
          <w:rFonts w:eastAsiaTheme="minorHAnsi" w:cs="Arial"/>
          <w:lang w:val="es-CR"/>
        </w:rPr>
        <w:t xml:space="preserve"> El gobierno realiza un gasto importante en salud y educación, representando un 63% de su total. Las exportaciones están bastante distribuidas, sin embargo, los productos alimenticios y agrícolas son los que más se exportan, sumando un 25%, los servicios hoteleros y profesionales tienen un alto porcentaje (9% respectivamente), y la maquinaria 13.91%. Por el lado de las importaciones, el bien que más toma relevancia es la maquinaria con 18%, además</w:t>
      </w:r>
      <w:r w:rsidR="004C584F">
        <w:rPr>
          <w:rFonts w:eastAsiaTheme="minorHAnsi" w:cs="Arial"/>
          <w:lang w:val="es-CR"/>
        </w:rPr>
        <w:t xml:space="preserve"> la suma de</w:t>
      </w:r>
      <w:r w:rsidRPr="00D44C6D">
        <w:rPr>
          <w:rFonts w:eastAsiaTheme="minorHAnsi" w:cs="Arial"/>
          <w:lang w:val="es-CR"/>
        </w:rPr>
        <w:t xml:space="preserve"> los químicos y productos refinados de petróleo suman 28%. </w:t>
      </w:r>
    </w:p>
    <w:p w14:paraId="2B8604F0" w14:textId="029EEF33" w:rsidR="008919C9" w:rsidRPr="008919C9" w:rsidRDefault="00614260" w:rsidP="00614260">
      <w:pPr>
        <w:pStyle w:val="Caption"/>
      </w:pPr>
      <w:bookmarkStart w:id="160" w:name="_Ref525025012"/>
      <w:bookmarkStart w:id="161" w:name="_Toc525033961"/>
      <w:bookmarkStart w:id="162" w:name="_Toc526175263"/>
      <w:bookmarkStart w:id="163" w:name="_Toc2853710"/>
      <w:r>
        <w:t xml:space="preserve">Tabla </w:t>
      </w:r>
      <w:r w:rsidR="00F700CF">
        <w:rPr>
          <w:noProof/>
        </w:rPr>
        <w:fldChar w:fldCharType="begin"/>
      </w:r>
      <w:r w:rsidR="00F700CF">
        <w:rPr>
          <w:noProof/>
        </w:rPr>
        <w:instrText xml:space="preserve"> SEQ Tabla \* ARABIC </w:instrText>
      </w:r>
      <w:r w:rsidR="00F700CF">
        <w:rPr>
          <w:noProof/>
        </w:rPr>
        <w:fldChar w:fldCharType="separate"/>
      </w:r>
      <w:r w:rsidR="00A95E32">
        <w:rPr>
          <w:noProof/>
        </w:rPr>
        <w:t>20</w:t>
      </w:r>
      <w:r w:rsidR="00F700CF">
        <w:rPr>
          <w:noProof/>
        </w:rPr>
        <w:fldChar w:fldCharType="end"/>
      </w:r>
      <w:bookmarkEnd w:id="160"/>
      <w:r>
        <w:t xml:space="preserve"> </w:t>
      </w:r>
      <w:r>
        <w:br/>
      </w:r>
      <w:r w:rsidRPr="00AF3DB4">
        <w:t>Composición del gasto en bienes</w:t>
      </w:r>
      <w:bookmarkEnd w:id="161"/>
      <w:bookmarkEnd w:id="162"/>
      <w:r w:rsidR="00757AB4">
        <w:t>, año 2012</w:t>
      </w:r>
      <w:bookmarkEnd w:id="163"/>
    </w:p>
    <w:tbl>
      <w:tblPr>
        <w:tblW w:w="7680" w:type="dxa"/>
        <w:jc w:val="center"/>
        <w:tblLook w:val="04A0" w:firstRow="1" w:lastRow="0" w:firstColumn="1" w:lastColumn="0" w:noHBand="0" w:noVBand="1"/>
      </w:tblPr>
      <w:tblGrid>
        <w:gridCol w:w="1399"/>
        <w:gridCol w:w="857"/>
        <w:gridCol w:w="785"/>
        <w:gridCol w:w="795"/>
        <w:gridCol w:w="786"/>
        <w:gridCol w:w="928"/>
        <w:gridCol w:w="1319"/>
        <w:gridCol w:w="1310"/>
      </w:tblGrid>
      <w:tr w:rsidR="00F27A93" w:rsidRPr="00F27A93" w14:paraId="39AF1D4A" w14:textId="77777777" w:rsidTr="00C27C5F">
        <w:trPr>
          <w:trHeight w:val="430"/>
          <w:jc w:val="center"/>
        </w:trPr>
        <w:tc>
          <w:tcPr>
            <w:tcW w:w="1213" w:type="dxa"/>
            <w:tcBorders>
              <w:left w:val="nil"/>
              <w:bottom w:val="single" w:sz="4" w:space="0" w:color="auto"/>
              <w:right w:val="single" w:sz="4" w:space="0" w:color="auto"/>
            </w:tcBorders>
            <w:shd w:val="clear" w:color="000000" w:fill="FFFFFF"/>
            <w:vAlign w:val="center"/>
            <w:hideMark/>
          </w:tcPr>
          <w:p w14:paraId="7E03A5FC" w14:textId="77777777" w:rsidR="00F27A93" w:rsidRPr="00F27A93" w:rsidRDefault="00F27A93" w:rsidP="00C139E7">
            <w:pPr>
              <w:spacing w:after="0" w:line="240" w:lineRule="auto"/>
              <w:jc w:val="right"/>
              <w:rPr>
                <w:rFonts w:cs="Arial"/>
                <w:b/>
                <w:bCs/>
                <w:color w:val="000000"/>
                <w:sz w:val="16"/>
                <w:szCs w:val="16"/>
                <w:lang w:val="en-US"/>
              </w:rPr>
            </w:pPr>
            <w:r w:rsidRPr="00F27A93">
              <w:rPr>
                <w:b/>
                <w:bCs/>
                <w:color w:val="000000"/>
                <w:sz w:val="16"/>
                <w:szCs w:val="16"/>
              </w:rPr>
              <w:t>Bienes</w:t>
            </w:r>
          </w:p>
        </w:tc>
        <w:tc>
          <w:tcPr>
            <w:tcW w:w="852" w:type="dxa"/>
            <w:tcBorders>
              <w:left w:val="single" w:sz="4" w:space="0" w:color="auto"/>
              <w:bottom w:val="single" w:sz="4" w:space="0" w:color="auto"/>
              <w:right w:val="nil"/>
            </w:tcBorders>
            <w:shd w:val="clear" w:color="000000" w:fill="FFFFFF"/>
            <w:vAlign w:val="center"/>
            <w:hideMark/>
          </w:tcPr>
          <w:p w14:paraId="6D03A8D5" w14:textId="77777777" w:rsidR="00F27A93" w:rsidRPr="00F27A93" w:rsidRDefault="00F27A93" w:rsidP="00C139E7">
            <w:pPr>
              <w:spacing w:after="0" w:line="240" w:lineRule="auto"/>
              <w:jc w:val="right"/>
              <w:rPr>
                <w:rFonts w:cs="Arial"/>
                <w:b/>
                <w:bCs/>
                <w:color w:val="000000"/>
                <w:sz w:val="16"/>
                <w:szCs w:val="16"/>
                <w:lang w:val="en-US"/>
              </w:rPr>
            </w:pPr>
            <w:r w:rsidRPr="00F27A93">
              <w:rPr>
                <w:b/>
                <w:bCs/>
                <w:color w:val="000000"/>
                <w:sz w:val="16"/>
                <w:szCs w:val="16"/>
              </w:rPr>
              <w:t>Hogares</w:t>
            </w:r>
          </w:p>
        </w:tc>
        <w:tc>
          <w:tcPr>
            <w:tcW w:w="825" w:type="dxa"/>
            <w:tcBorders>
              <w:left w:val="nil"/>
              <w:bottom w:val="single" w:sz="4" w:space="0" w:color="auto"/>
              <w:right w:val="nil"/>
            </w:tcBorders>
            <w:shd w:val="clear" w:color="000000" w:fill="FFFFFF"/>
            <w:vAlign w:val="center"/>
            <w:hideMark/>
          </w:tcPr>
          <w:p w14:paraId="4070EFFC" w14:textId="77777777" w:rsidR="00F27A93" w:rsidRPr="00F27A93" w:rsidRDefault="00F27A93" w:rsidP="00C139E7">
            <w:pPr>
              <w:spacing w:after="0" w:line="240" w:lineRule="auto"/>
              <w:jc w:val="right"/>
              <w:rPr>
                <w:rFonts w:cs="Arial"/>
                <w:b/>
                <w:bCs/>
                <w:color w:val="000000"/>
                <w:sz w:val="16"/>
                <w:szCs w:val="16"/>
                <w:lang w:val="en-US"/>
              </w:rPr>
            </w:pPr>
            <w:r w:rsidRPr="00F27A93">
              <w:rPr>
                <w:b/>
                <w:bCs/>
                <w:color w:val="000000"/>
                <w:sz w:val="16"/>
                <w:szCs w:val="16"/>
              </w:rPr>
              <w:t>ISFLSH</w:t>
            </w:r>
          </w:p>
        </w:tc>
        <w:tc>
          <w:tcPr>
            <w:tcW w:w="829" w:type="dxa"/>
            <w:tcBorders>
              <w:left w:val="nil"/>
              <w:bottom w:val="single" w:sz="4" w:space="0" w:color="auto"/>
              <w:right w:val="nil"/>
            </w:tcBorders>
            <w:shd w:val="clear" w:color="000000" w:fill="FFFFFF"/>
            <w:vAlign w:val="center"/>
            <w:hideMark/>
          </w:tcPr>
          <w:p w14:paraId="47B37315" w14:textId="77777777" w:rsidR="00F27A93" w:rsidRPr="00F27A93" w:rsidRDefault="00F27A93" w:rsidP="00C139E7">
            <w:pPr>
              <w:spacing w:after="0" w:line="240" w:lineRule="auto"/>
              <w:jc w:val="right"/>
              <w:rPr>
                <w:rFonts w:cs="Arial"/>
                <w:b/>
                <w:bCs/>
                <w:color w:val="000000"/>
                <w:sz w:val="16"/>
                <w:szCs w:val="16"/>
                <w:lang w:val="en-US"/>
              </w:rPr>
            </w:pPr>
            <w:r w:rsidRPr="00F27A93">
              <w:rPr>
                <w:b/>
                <w:bCs/>
                <w:color w:val="000000"/>
                <w:sz w:val="16"/>
                <w:szCs w:val="16"/>
              </w:rPr>
              <w:t>Privada</w:t>
            </w:r>
          </w:p>
        </w:tc>
        <w:tc>
          <w:tcPr>
            <w:tcW w:w="825" w:type="dxa"/>
            <w:tcBorders>
              <w:left w:val="nil"/>
              <w:bottom w:val="single" w:sz="4" w:space="0" w:color="auto"/>
              <w:right w:val="nil"/>
            </w:tcBorders>
            <w:shd w:val="clear" w:color="000000" w:fill="FFFFFF"/>
            <w:vAlign w:val="center"/>
            <w:hideMark/>
          </w:tcPr>
          <w:p w14:paraId="4A52D2FB" w14:textId="77777777" w:rsidR="00F27A93" w:rsidRPr="00F27A93" w:rsidRDefault="00F27A93" w:rsidP="00C139E7">
            <w:pPr>
              <w:spacing w:after="0" w:line="240" w:lineRule="auto"/>
              <w:jc w:val="right"/>
              <w:rPr>
                <w:rFonts w:cs="Arial"/>
                <w:b/>
                <w:bCs/>
                <w:color w:val="000000"/>
                <w:sz w:val="16"/>
                <w:szCs w:val="16"/>
                <w:lang w:val="en-US"/>
              </w:rPr>
            </w:pPr>
            <w:r w:rsidRPr="00F27A93">
              <w:rPr>
                <w:b/>
                <w:bCs/>
                <w:color w:val="000000"/>
                <w:sz w:val="16"/>
                <w:szCs w:val="16"/>
              </w:rPr>
              <w:t>Pública</w:t>
            </w:r>
          </w:p>
        </w:tc>
        <w:tc>
          <w:tcPr>
            <w:tcW w:w="879" w:type="dxa"/>
            <w:tcBorders>
              <w:left w:val="nil"/>
              <w:bottom w:val="single" w:sz="4" w:space="0" w:color="auto"/>
              <w:right w:val="nil"/>
            </w:tcBorders>
            <w:shd w:val="clear" w:color="000000" w:fill="FFFFFF"/>
            <w:vAlign w:val="center"/>
            <w:hideMark/>
          </w:tcPr>
          <w:p w14:paraId="6674C5AB" w14:textId="77777777" w:rsidR="00F27A93" w:rsidRPr="00F27A93" w:rsidRDefault="00F27A93" w:rsidP="00C139E7">
            <w:pPr>
              <w:spacing w:after="0" w:line="240" w:lineRule="auto"/>
              <w:jc w:val="right"/>
              <w:rPr>
                <w:rFonts w:cs="Arial"/>
                <w:b/>
                <w:bCs/>
                <w:color w:val="000000"/>
                <w:sz w:val="16"/>
                <w:szCs w:val="16"/>
                <w:lang w:val="en-US"/>
              </w:rPr>
            </w:pPr>
            <w:r w:rsidRPr="00F27A93">
              <w:rPr>
                <w:b/>
                <w:bCs/>
                <w:color w:val="000000"/>
                <w:sz w:val="16"/>
                <w:szCs w:val="16"/>
              </w:rPr>
              <w:t>Gobierno</w:t>
            </w:r>
          </w:p>
        </w:tc>
        <w:tc>
          <w:tcPr>
            <w:tcW w:w="1133" w:type="dxa"/>
            <w:tcBorders>
              <w:left w:val="nil"/>
              <w:bottom w:val="single" w:sz="4" w:space="0" w:color="auto"/>
              <w:right w:val="nil"/>
            </w:tcBorders>
            <w:shd w:val="clear" w:color="000000" w:fill="FFFFFF"/>
            <w:vAlign w:val="center"/>
            <w:hideMark/>
          </w:tcPr>
          <w:p w14:paraId="28D00CD6" w14:textId="77777777" w:rsidR="00F27A93" w:rsidRPr="00F27A93" w:rsidRDefault="00F27A93" w:rsidP="00C139E7">
            <w:pPr>
              <w:spacing w:after="0" w:line="240" w:lineRule="auto"/>
              <w:jc w:val="right"/>
              <w:rPr>
                <w:rFonts w:cs="Arial"/>
                <w:b/>
                <w:bCs/>
                <w:color w:val="000000"/>
                <w:sz w:val="16"/>
                <w:szCs w:val="16"/>
                <w:lang w:val="en-US"/>
              </w:rPr>
            </w:pPr>
            <w:r w:rsidRPr="00F27A93">
              <w:rPr>
                <w:b/>
                <w:bCs/>
                <w:color w:val="000000"/>
                <w:sz w:val="16"/>
                <w:szCs w:val="16"/>
              </w:rPr>
              <w:t>Exportaciones</w:t>
            </w:r>
          </w:p>
        </w:tc>
        <w:tc>
          <w:tcPr>
            <w:tcW w:w="1124" w:type="dxa"/>
            <w:tcBorders>
              <w:left w:val="nil"/>
              <w:bottom w:val="single" w:sz="4" w:space="0" w:color="auto"/>
              <w:right w:val="nil"/>
            </w:tcBorders>
            <w:shd w:val="clear" w:color="000000" w:fill="FFFFFF"/>
            <w:vAlign w:val="center"/>
            <w:hideMark/>
          </w:tcPr>
          <w:p w14:paraId="50892DCE" w14:textId="77777777" w:rsidR="00F27A93" w:rsidRPr="00F27A93" w:rsidRDefault="00F27A93" w:rsidP="00C139E7">
            <w:pPr>
              <w:spacing w:after="0" w:line="240" w:lineRule="auto"/>
              <w:jc w:val="right"/>
              <w:rPr>
                <w:rFonts w:cs="Arial"/>
                <w:b/>
                <w:bCs/>
                <w:color w:val="000000"/>
                <w:sz w:val="16"/>
                <w:szCs w:val="16"/>
                <w:lang w:val="en-US"/>
              </w:rPr>
            </w:pPr>
            <w:r w:rsidRPr="00F27A93">
              <w:rPr>
                <w:b/>
                <w:bCs/>
                <w:color w:val="000000"/>
                <w:sz w:val="16"/>
                <w:szCs w:val="16"/>
              </w:rPr>
              <w:t>Importaciones</w:t>
            </w:r>
          </w:p>
        </w:tc>
      </w:tr>
      <w:tr w:rsidR="00F27A93" w:rsidRPr="00F27A93" w14:paraId="0DA8CC0B" w14:textId="77777777" w:rsidTr="00C27C5F">
        <w:trPr>
          <w:trHeight w:val="290"/>
          <w:jc w:val="center"/>
        </w:trPr>
        <w:tc>
          <w:tcPr>
            <w:tcW w:w="1213" w:type="dxa"/>
            <w:tcBorders>
              <w:top w:val="single" w:sz="4" w:space="0" w:color="auto"/>
              <w:left w:val="nil"/>
              <w:bottom w:val="nil"/>
              <w:right w:val="single" w:sz="4" w:space="0" w:color="auto"/>
            </w:tcBorders>
            <w:shd w:val="clear" w:color="000000" w:fill="FFFFFF"/>
            <w:vAlign w:val="center"/>
            <w:hideMark/>
          </w:tcPr>
          <w:p w14:paraId="0E03777A"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Agricultura</w:t>
            </w:r>
          </w:p>
        </w:tc>
        <w:tc>
          <w:tcPr>
            <w:tcW w:w="852" w:type="dxa"/>
            <w:tcBorders>
              <w:top w:val="single" w:sz="4" w:space="0" w:color="auto"/>
              <w:left w:val="single" w:sz="4" w:space="0" w:color="auto"/>
              <w:bottom w:val="nil"/>
              <w:right w:val="nil"/>
            </w:tcBorders>
            <w:shd w:val="clear" w:color="000000" w:fill="FFFFFF"/>
            <w:vAlign w:val="center"/>
            <w:hideMark/>
          </w:tcPr>
          <w:p w14:paraId="360B43C2"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5.76%</w:t>
            </w:r>
          </w:p>
        </w:tc>
        <w:tc>
          <w:tcPr>
            <w:tcW w:w="825" w:type="dxa"/>
            <w:tcBorders>
              <w:top w:val="single" w:sz="4" w:space="0" w:color="auto"/>
              <w:left w:val="nil"/>
              <w:bottom w:val="nil"/>
              <w:right w:val="nil"/>
            </w:tcBorders>
            <w:shd w:val="clear" w:color="000000" w:fill="FFFFFF"/>
            <w:vAlign w:val="center"/>
            <w:hideMark/>
          </w:tcPr>
          <w:p w14:paraId="69334B68"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c>
          <w:tcPr>
            <w:tcW w:w="829" w:type="dxa"/>
            <w:tcBorders>
              <w:top w:val="single" w:sz="4" w:space="0" w:color="auto"/>
              <w:left w:val="nil"/>
              <w:bottom w:val="nil"/>
              <w:right w:val="nil"/>
            </w:tcBorders>
            <w:shd w:val="clear" w:color="000000" w:fill="FFFFFF"/>
            <w:vAlign w:val="center"/>
            <w:hideMark/>
          </w:tcPr>
          <w:p w14:paraId="6FE0BE21"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0.90%</w:t>
            </w:r>
          </w:p>
        </w:tc>
        <w:tc>
          <w:tcPr>
            <w:tcW w:w="825" w:type="dxa"/>
            <w:tcBorders>
              <w:top w:val="single" w:sz="4" w:space="0" w:color="auto"/>
              <w:left w:val="nil"/>
              <w:bottom w:val="nil"/>
              <w:right w:val="nil"/>
            </w:tcBorders>
            <w:shd w:val="clear" w:color="000000" w:fill="FFFFFF"/>
            <w:vAlign w:val="center"/>
            <w:hideMark/>
          </w:tcPr>
          <w:p w14:paraId="1BEAE0AA"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0.02%</w:t>
            </w:r>
          </w:p>
        </w:tc>
        <w:tc>
          <w:tcPr>
            <w:tcW w:w="879" w:type="dxa"/>
            <w:tcBorders>
              <w:top w:val="single" w:sz="4" w:space="0" w:color="auto"/>
              <w:left w:val="nil"/>
              <w:bottom w:val="nil"/>
              <w:right w:val="nil"/>
            </w:tcBorders>
            <w:shd w:val="clear" w:color="000000" w:fill="FFFFFF"/>
            <w:vAlign w:val="center"/>
            <w:hideMark/>
          </w:tcPr>
          <w:p w14:paraId="1CB9AA29"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0.01%</w:t>
            </w:r>
          </w:p>
        </w:tc>
        <w:tc>
          <w:tcPr>
            <w:tcW w:w="1133" w:type="dxa"/>
            <w:tcBorders>
              <w:top w:val="single" w:sz="4" w:space="0" w:color="auto"/>
              <w:left w:val="nil"/>
              <w:bottom w:val="nil"/>
              <w:right w:val="nil"/>
            </w:tcBorders>
            <w:shd w:val="clear" w:color="000000" w:fill="FFFFFF"/>
            <w:vAlign w:val="center"/>
            <w:hideMark/>
          </w:tcPr>
          <w:p w14:paraId="19C1968D"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8.20%</w:t>
            </w:r>
          </w:p>
        </w:tc>
        <w:tc>
          <w:tcPr>
            <w:tcW w:w="1124" w:type="dxa"/>
            <w:tcBorders>
              <w:top w:val="single" w:sz="4" w:space="0" w:color="auto"/>
              <w:left w:val="nil"/>
              <w:bottom w:val="nil"/>
              <w:right w:val="nil"/>
            </w:tcBorders>
            <w:shd w:val="clear" w:color="000000" w:fill="FFFFFF"/>
            <w:vAlign w:val="center"/>
            <w:hideMark/>
          </w:tcPr>
          <w:p w14:paraId="32B966C8"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4.25%</w:t>
            </w:r>
          </w:p>
        </w:tc>
      </w:tr>
      <w:tr w:rsidR="00F27A93" w:rsidRPr="00F27A93" w14:paraId="21B37B27" w14:textId="77777777" w:rsidTr="00C27C5F">
        <w:trPr>
          <w:trHeight w:val="290"/>
          <w:jc w:val="center"/>
        </w:trPr>
        <w:tc>
          <w:tcPr>
            <w:tcW w:w="1213" w:type="dxa"/>
            <w:tcBorders>
              <w:top w:val="nil"/>
              <w:left w:val="nil"/>
              <w:bottom w:val="nil"/>
              <w:right w:val="single" w:sz="4" w:space="0" w:color="auto"/>
            </w:tcBorders>
            <w:shd w:val="clear" w:color="000000" w:fill="FFFFFF"/>
            <w:vAlign w:val="center"/>
            <w:hideMark/>
          </w:tcPr>
          <w:p w14:paraId="1FA87D1E"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Banano</w:t>
            </w:r>
          </w:p>
        </w:tc>
        <w:tc>
          <w:tcPr>
            <w:tcW w:w="852" w:type="dxa"/>
            <w:tcBorders>
              <w:top w:val="nil"/>
              <w:left w:val="single" w:sz="4" w:space="0" w:color="auto"/>
              <w:bottom w:val="nil"/>
              <w:right w:val="nil"/>
            </w:tcBorders>
            <w:shd w:val="clear" w:color="000000" w:fill="FFFFFF"/>
            <w:vAlign w:val="center"/>
            <w:hideMark/>
          </w:tcPr>
          <w:p w14:paraId="1DD4A771"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0.24%</w:t>
            </w:r>
          </w:p>
        </w:tc>
        <w:tc>
          <w:tcPr>
            <w:tcW w:w="825" w:type="dxa"/>
            <w:tcBorders>
              <w:top w:val="nil"/>
              <w:left w:val="nil"/>
              <w:bottom w:val="nil"/>
              <w:right w:val="nil"/>
            </w:tcBorders>
            <w:shd w:val="clear" w:color="000000" w:fill="FFFFFF"/>
            <w:vAlign w:val="center"/>
            <w:hideMark/>
          </w:tcPr>
          <w:p w14:paraId="02284EBB"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c>
          <w:tcPr>
            <w:tcW w:w="829" w:type="dxa"/>
            <w:tcBorders>
              <w:top w:val="nil"/>
              <w:left w:val="nil"/>
              <w:bottom w:val="nil"/>
              <w:right w:val="nil"/>
            </w:tcBorders>
            <w:shd w:val="clear" w:color="000000" w:fill="FFFFFF"/>
            <w:vAlign w:val="center"/>
            <w:hideMark/>
          </w:tcPr>
          <w:p w14:paraId="5F6103A5"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c>
          <w:tcPr>
            <w:tcW w:w="825" w:type="dxa"/>
            <w:tcBorders>
              <w:top w:val="nil"/>
              <w:left w:val="nil"/>
              <w:bottom w:val="nil"/>
              <w:right w:val="nil"/>
            </w:tcBorders>
            <w:shd w:val="clear" w:color="000000" w:fill="FFFFFF"/>
            <w:vAlign w:val="center"/>
            <w:hideMark/>
          </w:tcPr>
          <w:p w14:paraId="27D5B520"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c>
          <w:tcPr>
            <w:tcW w:w="879" w:type="dxa"/>
            <w:tcBorders>
              <w:top w:val="nil"/>
              <w:left w:val="nil"/>
              <w:bottom w:val="nil"/>
              <w:right w:val="nil"/>
            </w:tcBorders>
            <w:shd w:val="clear" w:color="000000" w:fill="FFFFFF"/>
            <w:vAlign w:val="center"/>
            <w:hideMark/>
          </w:tcPr>
          <w:p w14:paraId="4C92517C"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c>
          <w:tcPr>
            <w:tcW w:w="1133" w:type="dxa"/>
            <w:tcBorders>
              <w:top w:val="nil"/>
              <w:left w:val="nil"/>
              <w:bottom w:val="nil"/>
              <w:right w:val="nil"/>
            </w:tcBorders>
            <w:shd w:val="clear" w:color="000000" w:fill="FFFFFF"/>
            <w:vAlign w:val="center"/>
            <w:hideMark/>
          </w:tcPr>
          <w:p w14:paraId="244CD91E"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5.55%</w:t>
            </w:r>
          </w:p>
        </w:tc>
        <w:tc>
          <w:tcPr>
            <w:tcW w:w="1124" w:type="dxa"/>
            <w:tcBorders>
              <w:top w:val="nil"/>
              <w:left w:val="nil"/>
              <w:bottom w:val="nil"/>
              <w:right w:val="nil"/>
            </w:tcBorders>
            <w:shd w:val="clear" w:color="000000" w:fill="FFFFFF"/>
            <w:vAlign w:val="center"/>
            <w:hideMark/>
          </w:tcPr>
          <w:p w14:paraId="333209EC"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r>
      <w:tr w:rsidR="00F27A93" w:rsidRPr="00F27A93" w14:paraId="35A22FC7" w14:textId="77777777" w:rsidTr="00C27C5F">
        <w:trPr>
          <w:trHeight w:val="290"/>
          <w:jc w:val="center"/>
        </w:trPr>
        <w:tc>
          <w:tcPr>
            <w:tcW w:w="1213" w:type="dxa"/>
            <w:tcBorders>
              <w:top w:val="nil"/>
              <w:left w:val="nil"/>
              <w:bottom w:val="nil"/>
              <w:right w:val="single" w:sz="4" w:space="0" w:color="auto"/>
            </w:tcBorders>
            <w:shd w:val="clear" w:color="000000" w:fill="FFFFFF"/>
            <w:vAlign w:val="center"/>
            <w:hideMark/>
          </w:tcPr>
          <w:p w14:paraId="7D884787"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Café</w:t>
            </w:r>
          </w:p>
        </w:tc>
        <w:tc>
          <w:tcPr>
            <w:tcW w:w="852" w:type="dxa"/>
            <w:tcBorders>
              <w:top w:val="nil"/>
              <w:left w:val="single" w:sz="4" w:space="0" w:color="auto"/>
              <w:bottom w:val="nil"/>
              <w:right w:val="nil"/>
            </w:tcBorders>
            <w:shd w:val="clear" w:color="000000" w:fill="FFFFFF"/>
            <w:vAlign w:val="center"/>
            <w:hideMark/>
          </w:tcPr>
          <w:p w14:paraId="702D075E"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c>
          <w:tcPr>
            <w:tcW w:w="825" w:type="dxa"/>
            <w:tcBorders>
              <w:top w:val="nil"/>
              <w:left w:val="nil"/>
              <w:bottom w:val="nil"/>
              <w:right w:val="nil"/>
            </w:tcBorders>
            <w:shd w:val="clear" w:color="000000" w:fill="FFFFFF"/>
            <w:vAlign w:val="center"/>
            <w:hideMark/>
          </w:tcPr>
          <w:p w14:paraId="0A808EC6"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c>
          <w:tcPr>
            <w:tcW w:w="829" w:type="dxa"/>
            <w:tcBorders>
              <w:top w:val="nil"/>
              <w:left w:val="nil"/>
              <w:bottom w:val="nil"/>
              <w:right w:val="nil"/>
            </w:tcBorders>
            <w:shd w:val="clear" w:color="000000" w:fill="FFFFFF"/>
            <w:vAlign w:val="center"/>
            <w:hideMark/>
          </w:tcPr>
          <w:p w14:paraId="00F1EB85"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0.49%</w:t>
            </w:r>
          </w:p>
        </w:tc>
        <w:tc>
          <w:tcPr>
            <w:tcW w:w="825" w:type="dxa"/>
            <w:tcBorders>
              <w:top w:val="nil"/>
              <w:left w:val="nil"/>
              <w:bottom w:val="nil"/>
              <w:right w:val="nil"/>
            </w:tcBorders>
            <w:shd w:val="clear" w:color="000000" w:fill="FFFFFF"/>
            <w:vAlign w:val="center"/>
            <w:hideMark/>
          </w:tcPr>
          <w:p w14:paraId="5BE4F986"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c>
          <w:tcPr>
            <w:tcW w:w="879" w:type="dxa"/>
            <w:tcBorders>
              <w:top w:val="nil"/>
              <w:left w:val="nil"/>
              <w:bottom w:val="nil"/>
              <w:right w:val="nil"/>
            </w:tcBorders>
            <w:shd w:val="clear" w:color="000000" w:fill="FFFFFF"/>
            <w:vAlign w:val="center"/>
            <w:hideMark/>
          </w:tcPr>
          <w:p w14:paraId="7A4569F6"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c>
          <w:tcPr>
            <w:tcW w:w="1133" w:type="dxa"/>
            <w:tcBorders>
              <w:top w:val="nil"/>
              <w:left w:val="nil"/>
              <w:bottom w:val="nil"/>
              <w:right w:val="nil"/>
            </w:tcBorders>
            <w:shd w:val="clear" w:color="000000" w:fill="FFFFFF"/>
            <w:vAlign w:val="center"/>
            <w:hideMark/>
          </w:tcPr>
          <w:p w14:paraId="53FEF754"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c>
          <w:tcPr>
            <w:tcW w:w="1124" w:type="dxa"/>
            <w:tcBorders>
              <w:top w:val="nil"/>
              <w:left w:val="nil"/>
              <w:bottom w:val="nil"/>
              <w:right w:val="nil"/>
            </w:tcBorders>
            <w:shd w:val="clear" w:color="000000" w:fill="FFFFFF"/>
            <w:vAlign w:val="center"/>
            <w:hideMark/>
          </w:tcPr>
          <w:p w14:paraId="7763402F"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0.01%</w:t>
            </w:r>
          </w:p>
        </w:tc>
      </w:tr>
      <w:tr w:rsidR="00F27A93" w:rsidRPr="00F27A93" w14:paraId="534232DF" w14:textId="77777777" w:rsidTr="00C27C5F">
        <w:trPr>
          <w:trHeight w:val="290"/>
          <w:jc w:val="center"/>
        </w:trPr>
        <w:tc>
          <w:tcPr>
            <w:tcW w:w="1213" w:type="dxa"/>
            <w:tcBorders>
              <w:top w:val="nil"/>
              <w:left w:val="nil"/>
              <w:bottom w:val="nil"/>
              <w:right w:val="single" w:sz="4" w:space="0" w:color="auto"/>
            </w:tcBorders>
            <w:shd w:val="clear" w:color="000000" w:fill="FFFFFF"/>
            <w:vAlign w:val="center"/>
            <w:hideMark/>
          </w:tcPr>
          <w:p w14:paraId="2A0FC3EE"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Silvicultura</w:t>
            </w:r>
          </w:p>
        </w:tc>
        <w:tc>
          <w:tcPr>
            <w:tcW w:w="852" w:type="dxa"/>
            <w:tcBorders>
              <w:top w:val="nil"/>
              <w:left w:val="single" w:sz="4" w:space="0" w:color="auto"/>
              <w:bottom w:val="nil"/>
              <w:right w:val="nil"/>
            </w:tcBorders>
            <w:shd w:val="clear" w:color="000000" w:fill="FFFFFF"/>
            <w:vAlign w:val="center"/>
            <w:hideMark/>
          </w:tcPr>
          <w:p w14:paraId="39DC44BF"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0.18%</w:t>
            </w:r>
          </w:p>
        </w:tc>
        <w:tc>
          <w:tcPr>
            <w:tcW w:w="825" w:type="dxa"/>
            <w:tcBorders>
              <w:top w:val="nil"/>
              <w:left w:val="nil"/>
              <w:bottom w:val="nil"/>
              <w:right w:val="nil"/>
            </w:tcBorders>
            <w:shd w:val="clear" w:color="000000" w:fill="FFFFFF"/>
            <w:vAlign w:val="center"/>
            <w:hideMark/>
          </w:tcPr>
          <w:p w14:paraId="52463192"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c>
          <w:tcPr>
            <w:tcW w:w="829" w:type="dxa"/>
            <w:tcBorders>
              <w:top w:val="nil"/>
              <w:left w:val="nil"/>
              <w:bottom w:val="nil"/>
              <w:right w:val="nil"/>
            </w:tcBorders>
            <w:shd w:val="clear" w:color="000000" w:fill="FFFFFF"/>
            <w:vAlign w:val="center"/>
            <w:hideMark/>
          </w:tcPr>
          <w:p w14:paraId="69E8943D"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c>
          <w:tcPr>
            <w:tcW w:w="825" w:type="dxa"/>
            <w:tcBorders>
              <w:top w:val="nil"/>
              <w:left w:val="nil"/>
              <w:bottom w:val="nil"/>
              <w:right w:val="nil"/>
            </w:tcBorders>
            <w:shd w:val="clear" w:color="000000" w:fill="FFFFFF"/>
            <w:vAlign w:val="center"/>
            <w:hideMark/>
          </w:tcPr>
          <w:p w14:paraId="1A8BDF13"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c>
          <w:tcPr>
            <w:tcW w:w="879" w:type="dxa"/>
            <w:tcBorders>
              <w:top w:val="nil"/>
              <w:left w:val="nil"/>
              <w:bottom w:val="nil"/>
              <w:right w:val="nil"/>
            </w:tcBorders>
            <w:shd w:val="clear" w:color="000000" w:fill="FFFFFF"/>
            <w:vAlign w:val="center"/>
            <w:hideMark/>
          </w:tcPr>
          <w:p w14:paraId="02F9997F"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c>
          <w:tcPr>
            <w:tcW w:w="1133" w:type="dxa"/>
            <w:tcBorders>
              <w:top w:val="nil"/>
              <w:left w:val="nil"/>
              <w:bottom w:val="nil"/>
              <w:right w:val="nil"/>
            </w:tcBorders>
            <w:shd w:val="clear" w:color="000000" w:fill="FFFFFF"/>
            <w:vAlign w:val="center"/>
            <w:hideMark/>
          </w:tcPr>
          <w:p w14:paraId="3C825C74"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0.28%</w:t>
            </w:r>
          </w:p>
        </w:tc>
        <w:tc>
          <w:tcPr>
            <w:tcW w:w="1124" w:type="dxa"/>
            <w:tcBorders>
              <w:top w:val="nil"/>
              <w:left w:val="nil"/>
              <w:bottom w:val="nil"/>
              <w:right w:val="nil"/>
            </w:tcBorders>
            <w:shd w:val="clear" w:color="000000" w:fill="FFFFFF"/>
            <w:vAlign w:val="center"/>
            <w:hideMark/>
          </w:tcPr>
          <w:p w14:paraId="70219446"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0.01%</w:t>
            </w:r>
          </w:p>
        </w:tc>
      </w:tr>
      <w:tr w:rsidR="00F27A93" w:rsidRPr="00F27A93" w14:paraId="627C02B7" w14:textId="77777777" w:rsidTr="00C27C5F">
        <w:trPr>
          <w:trHeight w:val="290"/>
          <w:jc w:val="center"/>
        </w:trPr>
        <w:tc>
          <w:tcPr>
            <w:tcW w:w="1213" w:type="dxa"/>
            <w:tcBorders>
              <w:top w:val="nil"/>
              <w:left w:val="nil"/>
              <w:bottom w:val="nil"/>
              <w:right w:val="single" w:sz="4" w:space="0" w:color="auto"/>
            </w:tcBorders>
            <w:shd w:val="clear" w:color="000000" w:fill="FFFFFF"/>
            <w:vAlign w:val="center"/>
            <w:hideMark/>
          </w:tcPr>
          <w:p w14:paraId="2DA66F27"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Pesca</w:t>
            </w:r>
          </w:p>
        </w:tc>
        <w:tc>
          <w:tcPr>
            <w:tcW w:w="852" w:type="dxa"/>
            <w:tcBorders>
              <w:top w:val="nil"/>
              <w:left w:val="single" w:sz="4" w:space="0" w:color="auto"/>
              <w:bottom w:val="nil"/>
              <w:right w:val="nil"/>
            </w:tcBorders>
            <w:shd w:val="clear" w:color="000000" w:fill="FFFFFF"/>
            <w:vAlign w:val="center"/>
            <w:hideMark/>
          </w:tcPr>
          <w:p w14:paraId="6502F259"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0.31%</w:t>
            </w:r>
          </w:p>
        </w:tc>
        <w:tc>
          <w:tcPr>
            <w:tcW w:w="825" w:type="dxa"/>
            <w:tcBorders>
              <w:top w:val="nil"/>
              <w:left w:val="nil"/>
              <w:bottom w:val="nil"/>
              <w:right w:val="nil"/>
            </w:tcBorders>
            <w:shd w:val="clear" w:color="000000" w:fill="FFFFFF"/>
            <w:vAlign w:val="center"/>
            <w:hideMark/>
          </w:tcPr>
          <w:p w14:paraId="3D182F9A"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c>
          <w:tcPr>
            <w:tcW w:w="829" w:type="dxa"/>
            <w:tcBorders>
              <w:top w:val="nil"/>
              <w:left w:val="nil"/>
              <w:bottom w:val="nil"/>
              <w:right w:val="nil"/>
            </w:tcBorders>
            <w:shd w:val="clear" w:color="000000" w:fill="FFFFFF"/>
            <w:vAlign w:val="center"/>
            <w:hideMark/>
          </w:tcPr>
          <w:p w14:paraId="63E6F6AB"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c>
          <w:tcPr>
            <w:tcW w:w="825" w:type="dxa"/>
            <w:tcBorders>
              <w:top w:val="nil"/>
              <w:left w:val="nil"/>
              <w:bottom w:val="nil"/>
              <w:right w:val="nil"/>
            </w:tcBorders>
            <w:shd w:val="clear" w:color="000000" w:fill="FFFFFF"/>
            <w:vAlign w:val="center"/>
            <w:hideMark/>
          </w:tcPr>
          <w:p w14:paraId="2E91E227"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c>
          <w:tcPr>
            <w:tcW w:w="879" w:type="dxa"/>
            <w:tcBorders>
              <w:top w:val="nil"/>
              <w:left w:val="nil"/>
              <w:bottom w:val="nil"/>
              <w:right w:val="nil"/>
            </w:tcBorders>
            <w:shd w:val="clear" w:color="000000" w:fill="FFFFFF"/>
            <w:vAlign w:val="center"/>
            <w:hideMark/>
          </w:tcPr>
          <w:p w14:paraId="2D9DB874"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c>
          <w:tcPr>
            <w:tcW w:w="1133" w:type="dxa"/>
            <w:tcBorders>
              <w:top w:val="nil"/>
              <w:left w:val="nil"/>
              <w:bottom w:val="nil"/>
              <w:right w:val="nil"/>
            </w:tcBorders>
            <w:shd w:val="clear" w:color="000000" w:fill="FFFFFF"/>
            <w:vAlign w:val="center"/>
            <w:hideMark/>
          </w:tcPr>
          <w:p w14:paraId="16B9FC28"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0.05%</w:t>
            </w:r>
          </w:p>
        </w:tc>
        <w:tc>
          <w:tcPr>
            <w:tcW w:w="1124" w:type="dxa"/>
            <w:tcBorders>
              <w:top w:val="nil"/>
              <w:left w:val="nil"/>
              <w:bottom w:val="nil"/>
              <w:right w:val="nil"/>
            </w:tcBorders>
            <w:shd w:val="clear" w:color="000000" w:fill="FFFFFF"/>
            <w:vAlign w:val="center"/>
            <w:hideMark/>
          </w:tcPr>
          <w:p w14:paraId="780B3EFA"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0.42%</w:t>
            </w:r>
          </w:p>
        </w:tc>
      </w:tr>
      <w:tr w:rsidR="00F27A93" w:rsidRPr="00F27A93" w14:paraId="1A440A8A" w14:textId="77777777" w:rsidTr="00C27C5F">
        <w:trPr>
          <w:trHeight w:val="290"/>
          <w:jc w:val="center"/>
        </w:trPr>
        <w:tc>
          <w:tcPr>
            <w:tcW w:w="1213" w:type="dxa"/>
            <w:tcBorders>
              <w:top w:val="nil"/>
              <w:left w:val="nil"/>
              <w:bottom w:val="nil"/>
              <w:right w:val="single" w:sz="4" w:space="0" w:color="auto"/>
            </w:tcBorders>
            <w:shd w:val="clear" w:color="000000" w:fill="FFFFFF"/>
            <w:vAlign w:val="center"/>
            <w:hideMark/>
          </w:tcPr>
          <w:p w14:paraId="4A811719"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Minería</w:t>
            </w:r>
          </w:p>
        </w:tc>
        <w:tc>
          <w:tcPr>
            <w:tcW w:w="852" w:type="dxa"/>
            <w:tcBorders>
              <w:top w:val="nil"/>
              <w:left w:val="single" w:sz="4" w:space="0" w:color="auto"/>
              <w:bottom w:val="nil"/>
              <w:right w:val="nil"/>
            </w:tcBorders>
            <w:shd w:val="clear" w:color="000000" w:fill="FFFFFF"/>
            <w:vAlign w:val="center"/>
            <w:hideMark/>
          </w:tcPr>
          <w:p w14:paraId="555FF425"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0.04%</w:t>
            </w:r>
          </w:p>
        </w:tc>
        <w:tc>
          <w:tcPr>
            <w:tcW w:w="825" w:type="dxa"/>
            <w:tcBorders>
              <w:top w:val="nil"/>
              <w:left w:val="nil"/>
              <w:bottom w:val="nil"/>
              <w:right w:val="nil"/>
            </w:tcBorders>
            <w:shd w:val="clear" w:color="000000" w:fill="FFFFFF"/>
            <w:vAlign w:val="center"/>
            <w:hideMark/>
          </w:tcPr>
          <w:p w14:paraId="5D261604"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c>
          <w:tcPr>
            <w:tcW w:w="829" w:type="dxa"/>
            <w:tcBorders>
              <w:top w:val="nil"/>
              <w:left w:val="nil"/>
              <w:bottom w:val="nil"/>
              <w:right w:val="nil"/>
            </w:tcBorders>
            <w:shd w:val="clear" w:color="000000" w:fill="FFFFFF"/>
            <w:vAlign w:val="center"/>
            <w:hideMark/>
          </w:tcPr>
          <w:p w14:paraId="19278AD8"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c>
          <w:tcPr>
            <w:tcW w:w="825" w:type="dxa"/>
            <w:tcBorders>
              <w:top w:val="nil"/>
              <w:left w:val="nil"/>
              <w:bottom w:val="nil"/>
              <w:right w:val="nil"/>
            </w:tcBorders>
            <w:shd w:val="clear" w:color="000000" w:fill="FFFFFF"/>
            <w:vAlign w:val="center"/>
            <w:hideMark/>
          </w:tcPr>
          <w:p w14:paraId="1D064FD2"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c>
          <w:tcPr>
            <w:tcW w:w="879" w:type="dxa"/>
            <w:tcBorders>
              <w:top w:val="nil"/>
              <w:left w:val="nil"/>
              <w:bottom w:val="nil"/>
              <w:right w:val="nil"/>
            </w:tcBorders>
            <w:shd w:val="clear" w:color="000000" w:fill="FFFFFF"/>
            <w:vAlign w:val="center"/>
            <w:hideMark/>
          </w:tcPr>
          <w:p w14:paraId="1630EC7B"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c>
          <w:tcPr>
            <w:tcW w:w="1133" w:type="dxa"/>
            <w:tcBorders>
              <w:top w:val="nil"/>
              <w:left w:val="nil"/>
              <w:bottom w:val="nil"/>
              <w:right w:val="nil"/>
            </w:tcBorders>
            <w:shd w:val="clear" w:color="000000" w:fill="FFFFFF"/>
            <w:vAlign w:val="center"/>
            <w:hideMark/>
          </w:tcPr>
          <w:p w14:paraId="6DECDF35"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0.03%</w:t>
            </w:r>
          </w:p>
        </w:tc>
        <w:tc>
          <w:tcPr>
            <w:tcW w:w="1124" w:type="dxa"/>
            <w:tcBorders>
              <w:top w:val="nil"/>
              <w:left w:val="nil"/>
              <w:bottom w:val="nil"/>
              <w:right w:val="nil"/>
            </w:tcBorders>
            <w:shd w:val="clear" w:color="000000" w:fill="FFFFFF"/>
            <w:vAlign w:val="center"/>
            <w:hideMark/>
          </w:tcPr>
          <w:p w14:paraId="333BDAC2"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0.42%</w:t>
            </w:r>
          </w:p>
        </w:tc>
      </w:tr>
      <w:tr w:rsidR="00F27A93" w:rsidRPr="00F27A93" w14:paraId="129513F6" w14:textId="77777777" w:rsidTr="00C27C5F">
        <w:trPr>
          <w:trHeight w:val="290"/>
          <w:jc w:val="center"/>
        </w:trPr>
        <w:tc>
          <w:tcPr>
            <w:tcW w:w="1213" w:type="dxa"/>
            <w:tcBorders>
              <w:top w:val="nil"/>
              <w:left w:val="nil"/>
              <w:bottom w:val="nil"/>
              <w:right w:val="single" w:sz="4" w:space="0" w:color="auto"/>
            </w:tcBorders>
            <w:shd w:val="clear" w:color="000000" w:fill="FFFFFF"/>
            <w:vAlign w:val="center"/>
            <w:hideMark/>
          </w:tcPr>
          <w:p w14:paraId="3F54FD3D"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Alimentos</w:t>
            </w:r>
          </w:p>
        </w:tc>
        <w:tc>
          <w:tcPr>
            <w:tcW w:w="852" w:type="dxa"/>
            <w:tcBorders>
              <w:top w:val="nil"/>
              <w:left w:val="single" w:sz="4" w:space="0" w:color="auto"/>
              <w:bottom w:val="nil"/>
              <w:right w:val="nil"/>
            </w:tcBorders>
            <w:shd w:val="clear" w:color="000000" w:fill="FFFFFF"/>
            <w:vAlign w:val="center"/>
            <w:hideMark/>
          </w:tcPr>
          <w:p w14:paraId="3A83F456"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35.57%</w:t>
            </w:r>
          </w:p>
        </w:tc>
        <w:tc>
          <w:tcPr>
            <w:tcW w:w="825" w:type="dxa"/>
            <w:tcBorders>
              <w:top w:val="nil"/>
              <w:left w:val="nil"/>
              <w:bottom w:val="nil"/>
              <w:right w:val="nil"/>
            </w:tcBorders>
            <w:shd w:val="clear" w:color="000000" w:fill="FFFFFF"/>
            <w:vAlign w:val="center"/>
            <w:hideMark/>
          </w:tcPr>
          <w:p w14:paraId="734165A6"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6.80%</w:t>
            </w:r>
          </w:p>
        </w:tc>
        <w:tc>
          <w:tcPr>
            <w:tcW w:w="829" w:type="dxa"/>
            <w:tcBorders>
              <w:top w:val="nil"/>
              <w:left w:val="nil"/>
              <w:bottom w:val="nil"/>
              <w:right w:val="nil"/>
            </w:tcBorders>
            <w:shd w:val="clear" w:color="000000" w:fill="FFFFFF"/>
            <w:vAlign w:val="center"/>
            <w:hideMark/>
          </w:tcPr>
          <w:p w14:paraId="2EE58C6A"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c>
          <w:tcPr>
            <w:tcW w:w="825" w:type="dxa"/>
            <w:tcBorders>
              <w:top w:val="nil"/>
              <w:left w:val="nil"/>
              <w:bottom w:val="nil"/>
              <w:right w:val="nil"/>
            </w:tcBorders>
            <w:shd w:val="clear" w:color="000000" w:fill="FFFFFF"/>
            <w:vAlign w:val="center"/>
            <w:hideMark/>
          </w:tcPr>
          <w:p w14:paraId="374882C5"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c>
          <w:tcPr>
            <w:tcW w:w="879" w:type="dxa"/>
            <w:tcBorders>
              <w:top w:val="nil"/>
              <w:left w:val="nil"/>
              <w:bottom w:val="nil"/>
              <w:right w:val="nil"/>
            </w:tcBorders>
            <w:shd w:val="clear" w:color="000000" w:fill="FFFFFF"/>
            <w:vAlign w:val="center"/>
            <w:hideMark/>
          </w:tcPr>
          <w:p w14:paraId="73CD853F"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0.21%</w:t>
            </w:r>
          </w:p>
        </w:tc>
        <w:tc>
          <w:tcPr>
            <w:tcW w:w="1133" w:type="dxa"/>
            <w:tcBorders>
              <w:top w:val="nil"/>
              <w:left w:val="nil"/>
              <w:bottom w:val="nil"/>
              <w:right w:val="nil"/>
            </w:tcBorders>
            <w:shd w:val="clear" w:color="000000" w:fill="FFFFFF"/>
            <w:vAlign w:val="center"/>
            <w:hideMark/>
          </w:tcPr>
          <w:p w14:paraId="2E7DBF3E"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11.90%</w:t>
            </w:r>
          </w:p>
        </w:tc>
        <w:tc>
          <w:tcPr>
            <w:tcW w:w="1124" w:type="dxa"/>
            <w:tcBorders>
              <w:top w:val="nil"/>
              <w:left w:val="nil"/>
              <w:bottom w:val="nil"/>
              <w:right w:val="nil"/>
            </w:tcBorders>
            <w:shd w:val="clear" w:color="000000" w:fill="FFFFFF"/>
            <w:vAlign w:val="center"/>
            <w:hideMark/>
          </w:tcPr>
          <w:p w14:paraId="291E8305"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5.88%</w:t>
            </w:r>
          </w:p>
        </w:tc>
      </w:tr>
      <w:tr w:rsidR="00F27A93" w:rsidRPr="00F27A93" w14:paraId="23656CF0" w14:textId="77777777" w:rsidTr="00C27C5F">
        <w:trPr>
          <w:trHeight w:val="400"/>
          <w:jc w:val="center"/>
        </w:trPr>
        <w:tc>
          <w:tcPr>
            <w:tcW w:w="1213" w:type="dxa"/>
            <w:tcBorders>
              <w:top w:val="nil"/>
              <w:left w:val="nil"/>
              <w:bottom w:val="nil"/>
              <w:right w:val="single" w:sz="4" w:space="0" w:color="auto"/>
            </w:tcBorders>
            <w:shd w:val="clear" w:color="000000" w:fill="FFFFFF"/>
            <w:vAlign w:val="center"/>
            <w:hideMark/>
          </w:tcPr>
          <w:p w14:paraId="7C2B803B"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Productos de café</w:t>
            </w:r>
          </w:p>
        </w:tc>
        <w:tc>
          <w:tcPr>
            <w:tcW w:w="852" w:type="dxa"/>
            <w:tcBorders>
              <w:top w:val="nil"/>
              <w:left w:val="single" w:sz="4" w:space="0" w:color="auto"/>
              <w:bottom w:val="nil"/>
              <w:right w:val="nil"/>
            </w:tcBorders>
            <w:shd w:val="clear" w:color="000000" w:fill="FFFFFF"/>
            <w:vAlign w:val="center"/>
            <w:hideMark/>
          </w:tcPr>
          <w:p w14:paraId="2BE35CA8"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1.14%</w:t>
            </w:r>
          </w:p>
        </w:tc>
        <w:tc>
          <w:tcPr>
            <w:tcW w:w="825" w:type="dxa"/>
            <w:tcBorders>
              <w:top w:val="nil"/>
              <w:left w:val="nil"/>
              <w:bottom w:val="nil"/>
              <w:right w:val="nil"/>
            </w:tcBorders>
            <w:shd w:val="clear" w:color="000000" w:fill="FFFFFF"/>
            <w:vAlign w:val="center"/>
            <w:hideMark/>
          </w:tcPr>
          <w:p w14:paraId="4C66715F"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c>
          <w:tcPr>
            <w:tcW w:w="829" w:type="dxa"/>
            <w:tcBorders>
              <w:top w:val="nil"/>
              <w:left w:val="nil"/>
              <w:bottom w:val="nil"/>
              <w:right w:val="nil"/>
            </w:tcBorders>
            <w:shd w:val="clear" w:color="000000" w:fill="FFFFFF"/>
            <w:vAlign w:val="center"/>
            <w:hideMark/>
          </w:tcPr>
          <w:p w14:paraId="11182946"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c>
          <w:tcPr>
            <w:tcW w:w="825" w:type="dxa"/>
            <w:tcBorders>
              <w:top w:val="nil"/>
              <w:left w:val="nil"/>
              <w:bottom w:val="nil"/>
              <w:right w:val="nil"/>
            </w:tcBorders>
            <w:shd w:val="clear" w:color="000000" w:fill="FFFFFF"/>
            <w:vAlign w:val="center"/>
            <w:hideMark/>
          </w:tcPr>
          <w:p w14:paraId="66F41B26"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c>
          <w:tcPr>
            <w:tcW w:w="879" w:type="dxa"/>
            <w:tcBorders>
              <w:top w:val="nil"/>
              <w:left w:val="nil"/>
              <w:bottom w:val="nil"/>
              <w:right w:val="nil"/>
            </w:tcBorders>
            <w:shd w:val="clear" w:color="000000" w:fill="FFFFFF"/>
            <w:vAlign w:val="center"/>
            <w:hideMark/>
          </w:tcPr>
          <w:p w14:paraId="3DC26DE7"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c>
          <w:tcPr>
            <w:tcW w:w="1133" w:type="dxa"/>
            <w:tcBorders>
              <w:top w:val="nil"/>
              <w:left w:val="nil"/>
              <w:bottom w:val="nil"/>
              <w:right w:val="nil"/>
            </w:tcBorders>
            <w:shd w:val="clear" w:color="000000" w:fill="FFFFFF"/>
            <w:vAlign w:val="center"/>
            <w:hideMark/>
          </w:tcPr>
          <w:p w14:paraId="66FEFC60"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3.28%</w:t>
            </w:r>
          </w:p>
        </w:tc>
        <w:tc>
          <w:tcPr>
            <w:tcW w:w="1124" w:type="dxa"/>
            <w:tcBorders>
              <w:top w:val="nil"/>
              <w:left w:val="nil"/>
              <w:bottom w:val="nil"/>
              <w:right w:val="nil"/>
            </w:tcBorders>
            <w:shd w:val="clear" w:color="000000" w:fill="FFFFFF"/>
            <w:vAlign w:val="center"/>
            <w:hideMark/>
          </w:tcPr>
          <w:p w14:paraId="5F24D753"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0.11%</w:t>
            </w:r>
          </w:p>
        </w:tc>
      </w:tr>
      <w:tr w:rsidR="00F27A93" w:rsidRPr="00F27A93" w14:paraId="3E694550" w14:textId="77777777" w:rsidTr="00C27C5F">
        <w:trPr>
          <w:trHeight w:val="400"/>
          <w:jc w:val="center"/>
        </w:trPr>
        <w:tc>
          <w:tcPr>
            <w:tcW w:w="1213" w:type="dxa"/>
            <w:tcBorders>
              <w:top w:val="nil"/>
              <w:left w:val="nil"/>
              <w:bottom w:val="nil"/>
              <w:right w:val="single" w:sz="4" w:space="0" w:color="auto"/>
            </w:tcBorders>
            <w:shd w:val="clear" w:color="000000" w:fill="FFFFFF"/>
            <w:vAlign w:val="center"/>
            <w:hideMark/>
          </w:tcPr>
          <w:p w14:paraId="0510E83E"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lastRenderedPageBreak/>
              <w:t>Bebidas y tabaco</w:t>
            </w:r>
          </w:p>
        </w:tc>
        <w:tc>
          <w:tcPr>
            <w:tcW w:w="852" w:type="dxa"/>
            <w:tcBorders>
              <w:top w:val="nil"/>
              <w:left w:val="single" w:sz="4" w:space="0" w:color="auto"/>
              <w:bottom w:val="nil"/>
              <w:right w:val="nil"/>
            </w:tcBorders>
            <w:shd w:val="clear" w:color="000000" w:fill="FFFFFF"/>
            <w:vAlign w:val="center"/>
            <w:hideMark/>
          </w:tcPr>
          <w:p w14:paraId="74AA36B6"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7.52%</w:t>
            </w:r>
          </w:p>
        </w:tc>
        <w:tc>
          <w:tcPr>
            <w:tcW w:w="825" w:type="dxa"/>
            <w:tcBorders>
              <w:top w:val="nil"/>
              <w:left w:val="nil"/>
              <w:bottom w:val="nil"/>
              <w:right w:val="nil"/>
            </w:tcBorders>
            <w:shd w:val="clear" w:color="000000" w:fill="FFFFFF"/>
            <w:vAlign w:val="center"/>
            <w:hideMark/>
          </w:tcPr>
          <w:p w14:paraId="4101DA0E"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c>
          <w:tcPr>
            <w:tcW w:w="829" w:type="dxa"/>
            <w:tcBorders>
              <w:top w:val="nil"/>
              <w:left w:val="nil"/>
              <w:bottom w:val="nil"/>
              <w:right w:val="nil"/>
            </w:tcBorders>
            <w:shd w:val="clear" w:color="000000" w:fill="FFFFFF"/>
            <w:vAlign w:val="center"/>
            <w:hideMark/>
          </w:tcPr>
          <w:p w14:paraId="7F172153"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c>
          <w:tcPr>
            <w:tcW w:w="825" w:type="dxa"/>
            <w:tcBorders>
              <w:top w:val="nil"/>
              <w:left w:val="nil"/>
              <w:bottom w:val="nil"/>
              <w:right w:val="nil"/>
            </w:tcBorders>
            <w:shd w:val="clear" w:color="000000" w:fill="FFFFFF"/>
            <w:vAlign w:val="center"/>
            <w:hideMark/>
          </w:tcPr>
          <w:p w14:paraId="35666FFA"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c>
          <w:tcPr>
            <w:tcW w:w="879" w:type="dxa"/>
            <w:tcBorders>
              <w:top w:val="nil"/>
              <w:left w:val="nil"/>
              <w:bottom w:val="nil"/>
              <w:right w:val="nil"/>
            </w:tcBorders>
            <w:shd w:val="clear" w:color="000000" w:fill="FFFFFF"/>
            <w:vAlign w:val="center"/>
            <w:hideMark/>
          </w:tcPr>
          <w:p w14:paraId="35E2A95B"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c>
          <w:tcPr>
            <w:tcW w:w="1133" w:type="dxa"/>
            <w:tcBorders>
              <w:top w:val="nil"/>
              <w:left w:val="nil"/>
              <w:bottom w:val="nil"/>
              <w:right w:val="nil"/>
            </w:tcBorders>
            <w:shd w:val="clear" w:color="000000" w:fill="FFFFFF"/>
            <w:vAlign w:val="center"/>
            <w:hideMark/>
          </w:tcPr>
          <w:p w14:paraId="5387D23D"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0.62%</w:t>
            </w:r>
          </w:p>
        </w:tc>
        <w:tc>
          <w:tcPr>
            <w:tcW w:w="1124" w:type="dxa"/>
            <w:tcBorders>
              <w:top w:val="nil"/>
              <w:left w:val="nil"/>
              <w:bottom w:val="nil"/>
              <w:right w:val="nil"/>
            </w:tcBorders>
            <w:shd w:val="clear" w:color="000000" w:fill="FFFFFF"/>
            <w:vAlign w:val="center"/>
            <w:hideMark/>
          </w:tcPr>
          <w:p w14:paraId="1C994142"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0.92%</w:t>
            </w:r>
          </w:p>
        </w:tc>
      </w:tr>
      <w:tr w:rsidR="00F27A93" w:rsidRPr="00F27A93" w14:paraId="0ECC884A" w14:textId="77777777" w:rsidTr="00C27C5F">
        <w:trPr>
          <w:trHeight w:val="400"/>
          <w:jc w:val="center"/>
        </w:trPr>
        <w:tc>
          <w:tcPr>
            <w:tcW w:w="1213" w:type="dxa"/>
            <w:tcBorders>
              <w:top w:val="nil"/>
              <w:left w:val="nil"/>
              <w:bottom w:val="nil"/>
              <w:right w:val="single" w:sz="4" w:space="0" w:color="auto"/>
            </w:tcBorders>
            <w:shd w:val="clear" w:color="000000" w:fill="FFFFFF"/>
            <w:vAlign w:val="center"/>
            <w:hideMark/>
          </w:tcPr>
          <w:p w14:paraId="6794DAB6"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Textiles y cuero</w:t>
            </w:r>
          </w:p>
        </w:tc>
        <w:tc>
          <w:tcPr>
            <w:tcW w:w="852" w:type="dxa"/>
            <w:tcBorders>
              <w:top w:val="nil"/>
              <w:left w:val="single" w:sz="4" w:space="0" w:color="auto"/>
              <w:bottom w:val="nil"/>
              <w:right w:val="nil"/>
            </w:tcBorders>
            <w:shd w:val="clear" w:color="000000" w:fill="FFFFFF"/>
            <w:vAlign w:val="center"/>
            <w:hideMark/>
          </w:tcPr>
          <w:p w14:paraId="5497715A"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8.48%</w:t>
            </w:r>
          </w:p>
        </w:tc>
        <w:tc>
          <w:tcPr>
            <w:tcW w:w="825" w:type="dxa"/>
            <w:tcBorders>
              <w:top w:val="nil"/>
              <w:left w:val="nil"/>
              <w:bottom w:val="nil"/>
              <w:right w:val="nil"/>
            </w:tcBorders>
            <w:shd w:val="clear" w:color="000000" w:fill="FFFFFF"/>
            <w:vAlign w:val="center"/>
            <w:hideMark/>
          </w:tcPr>
          <w:p w14:paraId="50E45F7D"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c>
          <w:tcPr>
            <w:tcW w:w="829" w:type="dxa"/>
            <w:tcBorders>
              <w:top w:val="nil"/>
              <w:left w:val="nil"/>
              <w:bottom w:val="nil"/>
              <w:right w:val="nil"/>
            </w:tcBorders>
            <w:shd w:val="clear" w:color="000000" w:fill="FFFFFF"/>
            <w:vAlign w:val="center"/>
            <w:hideMark/>
          </w:tcPr>
          <w:p w14:paraId="6430176C"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c>
          <w:tcPr>
            <w:tcW w:w="825" w:type="dxa"/>
            <w:tcBorders>
              <w:top w:val="nil"/>
              <w:left w:val="nil"/>
              <w:bottom w:val="nil"/>
              <w:right w:val="nil"/>
            </w:tcBorders>
            <w:shd w:val="clear" w:color="000000" w:fill="FFFFFF"/>
            <w:vAlign w:val="center"/>
            <w:hideMark/>
          </w:tcPr>
          <w:p w14:paraId="23FF8259"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c>
          <w:tcPr>
            <w:tcW w:w="879" w:type="dxa"/>
            <w:tcBorders>
              <w:top w:val="nil"/>
              <w:left w:val="nil"/>
              <w:bottom w:val="nil"/>
              <w:right w:val="nil"/>
            </w:tcBorders>
            <w:shd w:val="clear" w:color="000000" w:fill="FFFFFF"/>
            <w:vAlign w:val="center"/>
            <w:hideMark/>
          </w:tcPr>
          <w:p w14:paraId="1C384A54"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c>
          <w:tcPr>
            <w:tcW w:w="1133" w:type="dxa"/>
            <w:tcBorders>
              <w:top w:val="nil"/>
              <w:left w:val="nil"/>
              <w:bottom w:val="nil"/>
              <w:right w:val="nil"/>
            </w:tcBorders>
            <w:shd w:val="clear" w:color="000000" w:fill="FFFFFF"/>
            <w:vAlign w:val="center"/>
            <w:hideMark/>
          </w:tcPr>
          <w:p w14:paraId="3688429F"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1.42%</w:t>
            </w:r>
          </w:p>
        </w:tc>
        <w:tc>
          <w:tcPr>
            <w:tcW w:w="1124" w:type="dxa"/>
            <w:tcBorders>
              <w:top w:val="nil"/>
              <w:left w:val="nil"/>
              <w:bottom w:val="nil"/>
              <w:right w:val="nil"/>
            </w:tcBorders>
            <w:shd w:val="clear" w:color="000000" w:fill="FFFFFF"/>
            <w:vAlign w:val="center"/>
            <w:hideMark/>
          </w:tcPr>
          <w:p w14:paraId="247099E4"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4.52%</w:t>
            </w:r>
          </w:p>
        </w:tc>
      </w:tr>
      <w:tr w:rsidR="00F27A93" w:rsidRPr="00F27A93" w14:paraId="51AA96E0" w14:textId="77777777" w:rsidTr="00C27C5F">
        <w:trPr>
          <w:trHeight w:val="290"/>
          <w:jc w:val="center"/>
        </w:trPr>
        <w:tc>
          <w:tcPr>
            <w:tcW w:w="1213" w:type="dxa"/>
            <w:tcBorders>
              <w:top w:val="nil"/>
              <w:left w:val="nil"/>
              <w:bottom w:val="nil"/>
              <w:right w:val="single" w:sz="4" w:space="0" w:color="auto"/>
            </w:tcBorders>
            <w:shd w:val="clear" w:color="000000" w:fill="FFFFFF"/>
            <w:vAlign w:val="center"/>
            <w:hideMark/>
          </w:tcPr>
          <w:p w14:paraId="579524CC"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Manufactura</w:t>
            </w:r>
          </w:p>
        </w:tc>
        <w:tc>
          <w:tcPr>
            <w:tcW w:w="852" w:type="dxa"/>
            <w:tcBorders>
              <w:top w:val="nil"/>
              <w:left w:val="single" w:sz="4" w:space="0" w:color="auto"/>
              <w:bottom w:val="nil"/>
              <w:right w:val="nil"/>
            </w:tcBorders>
            <w:shd w:val="clear" w:color="000000" w:fill="FFFFFF"/>
            <w:vAlign w:val="center"/>
            <w:hideMark/>
          </w:tcPr>
          <w:p w14:paraId="0FB17C81"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6.77%</w:t>
            </w:r>
          </w:p>
        </w:tc>
        <w:tc>
          <w:tcPr>
            <w:tcW w:w="825" w:type="dxa"/>
            <w:tcBorders>
              <w:top w:val="nil"/>
              <w:left w:val="nil"/>
              <w:bottom w:val="nil"/>
              <w:right w:val="nil"/>
            </w:tcBorders>
            <w:shd w:val="clear" w:color="000000" w:fill="FFFFFF"/>
            <w:vAlign w:val="center"/>
            <w:hideMark/>
          </w:tcPr>
          <w:p w14:paraId="270224E6"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c>
          <w:tcPr>
            <w:tcW w:w="829" w:type="dxa"/>
            <w:tcBorders>
              <w:top w:val="nil"/>
              <w:left w:val="nil"/>
              <w:bottom w:val="nil"/>
              <w:right w:val="nil"/>
            </w:tcBorders>
            <w:shd w:val="clear" w:color="000000" w:fill="FFFFFF"/>
            <w:vAlign w:val="center"/>
            <w:hideMark/>
          </w:tcPr>
          <w:p w14:paraId="184E62B3"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3.02%</w:t>
            </w:r>
          </w:p>
        </w:tc>
        <w:tc>
          <w:tcPr>
            <w:tcW w:w="825" w:type="dxa"/>
            <w:tcBorders>
              <w:top w:val="nil"/>
              <w:left w:val="nil"/>
              <w:bottom w:val="nil"/>
              <w:right w:val="nil"/>
            </w:tcBorders>
            <w:shd w:val="clear" w:color="000000" w:fill="FFFFFF"/>
            <w:vAlign w:val="center"/>
            <w:hideMark/>
          </w:tcPr>
          <w:p w14:paraId="122D2A06"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2.38%</w:t>
            </w:r>
          </w:p>
        </w:tc>
        <w:tc>
          <w:tcPr>
            <w:tcW w:w="879" w:type="dxa"/>
            <w:tcBorders>
              <w:top w:val="nil"/>
              <w:left w:val="nil"/>
              <w:bottom w:val="nil"/>
              <w:right w:val="nil"/>
            </w:tcBorders>
            <w:shd w:val="clear" w:color="000000" w:fill="FFFFFF"/>
            <w:vAlign w:val="center"/>
            <w:hideMark/>
          </w:tcPr>
          <w:p w14:paraId="69B1D61C"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c>
          <w:tcPr>
            <w:tcW w:w="1133" w:type="dxa"/>
            <w:tcBorders>
              <w:top w:val="nil"/>
              <w:left w:val="nil"/>
              <w:bottom w:val="nil"/>
              <w:right w:val="nil"/>
            </w:tcBorders>
            <w:shd w:val="clear" w:color="000000" w:fill="FFFFFF"/>
            <w:vAlign w:val="center"/>
            <w:hideMark/>
          </w:tcPr>
          <w:p w14:paraId="666FD745"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3.76%</w:t>
            </w:r>
          </w:p>
        </w:tc>
        <w:tc>
          <w:tcPr>
            <w:tcW w:w="1124" w:type="dxa"/>
            <w:tcBorders>
              <w:top w:val="nil"/>
              <w:left w:val="nil"/>
              <w:bottom w:val="nil"/>
              <w:right w:val="nil"/>
            </w:tcBorders>
            <w:shd w:val="clear" w:color="000000" w:fill="FFFFFF"/>
            <w:vAlign w:val="center"/>
            <w:hideMark/>
          </w:tcPr>
          <w:p w14:paraId="6BA26FDE"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6.70%</w:t>
            </w:r>
          </w:p>
        </w:tc>
      </w:tr>
      <w:tr w:rsidR="00F27A93" w:rsidRPr="00F27A93" w14:paraId="2E4EA3BE" w14:textId="77777777" w:rsidTr="00C27C5F">
        <w:trPr>
          <w:trHeight w:val="400"/>
          <w:jc w:val="center"/>
        </w:trPr>
        <w:tc>
          <w:tcPr>
            <w:tcW w:w="1213" w:type="dxa"/>
            <w:tcBorders>
              <w:top w:val="nil"/>
              <w:left w:val="nil"/>
              <w:bottom w:val="nil"/>
              <w:right w:val="single" w:sz="4" w:space="0" w:color="auto"/>
            </w:tcBorders>
            <w:shd w:val="clear" w:color="000000" w:fill="FFFFFF"/>
            <w:vAlign w:val="center"/>
            <w:hideMark/>
          </w:tcPr>
          <w:p w14:paraId="186AF9B3"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Refinados de petróleo</w:t>
            </w:r>
          </w:p>
        </w:tc>
        <w:tc>
          <w:tcPr>
            <w:tcW w:w="852" w:type="dxa"/>
            <w:tcBorders>
              <w:top w:val="nil"/>
              <w:left w:val="single" w:sz="4" w:space="0" w:color="auto"/>
              <w:bottom w:val="nil"/>
              <w:right w:val="nil"/>
            </w:tcBorders>
            <w:shd w:val="clear" w:color="000000" w:fill="FFFFFF"/>
            <w:vAlign w:val="center"/>
            <w:hideMark/>
          </w:tcPr>
          <w:p w14:paraId="5AFA1833"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9.27%</w:t>
            </w:r>
          </w:p>
        </w:tc>
        <w:tc>
          <w:tcPr>
            <w:tcW w:w="825" w:type="dxa"/>
            <w:tcBorders>
              <w:top w:val="nil"/>
              <w:left w:val="nil"/>
              <w:bottom w:val="nil"/>
              <w:right w:val="nil"/>
            </w:tcBorders>
            <w:shd w:val="clear" w:color="000000" w:fill="FFFFFF"/>
            <w:vAlign w:val="center"/>
            <w:hideMark/>
          </w:tcPr>
          <w:p w14:paraId="477F4401"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c>
          <w:tcPr>
            <w:tcW w:w="829" w:type="dxa"/>
            <w:tcBorders>
              <w:top w:val="nil"/>
              <w:left w:val="nil"/>
              <w:bottom w:val="nil"/>
              <w:right w:val="nil"/>
            </w:tcBorders>
            <w:shd w:val="clear" w:color="000000" w:fill="FFFFFF"/>
            <w:vAlign w:val="center"/>
            <w:hideMark/>
          </w:tcPr>
          <w:p w14:paraId="7860AE48"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c>
          <w:tcPr>
            <w:tcW w:w="825" w:type="dxa"/>
            <w:tcBorders>
              <w:top w:val="nil"/>
              <w:left w:val="nil"/>
              <w:bottom w:val="nil"/>
              <w:right w:val="nil"/>
            </w:tcBorders>
            <w:shd w:val="clear" w:color="000000" w:fill="FFFFFF"/>
            <w:vAlign w:val="center"/>
            <w:hideMark/>
          </w:tcPr>
          <w:p w14:paraId="300AEAC8"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c>
          <w:tcPr>
            <w:tcW w:w="879" w:type="dxa"/>
            <w:tcBorders>
              <w:top w:val="nil"/>
              <w:left w:val="nil"/>
              <w:bottom w:val="nil"/>
              <w:right w:val="nil"/>
            </w:tcBorders>
            <w:shd w:val="clear" w:color="000000" w:fill="FFFFFF"/>
            <w:vAlign w:val="center"/>
            <w:hideMark/>
          </w:tcPr>
          <w:p w14:paraId="2DDDC06A"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c>
          <w:tcPr>
            <w:tcW w:w="1133" w:type="dxa"/>
            <w:tcBorders>
              <w:top w:val="nil"/>
              <w:left w:val="nil"/>
              <w:bottom w:val="nil"/>
              <w:right w:val="nil"/>
            </w:tcBorders>
            <w:shd w:val="clear" w:color="000000" w:fill="FFFFFF"/>
            <w:vAlign w:val="center"/>
            <w:hideMark/>
          </w:tcPr>
          <w:p w14:paraId="2F2B8078"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0.01%</w:t>
            </w:r>
          </w:p>
        </w:tc>
        <w:tc>
          <w:tcPr>
            <w:tcW w:w="1124" w:type="dxa"/>
            <w:tcBorders>
              <w:top w:val="nil"/>
              <w:left w:val="nil"/>
              <w:bottom w:val="nil"/>
              <w:right w:val="nil"/>
            </w:tcBorders>
            <w:shd w:val="clear" w:color="000000" w:fill="FFFFFF"/>
            <w:vAlign w:val="center"/>
            <w:hideMark/>
          </w:tcPr>
          <w:p w14:paraId="32EC4CE4"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13.70%</w:t>
            </w:r>
          </w:p>
        </w:tc>
      </w:tr>
      <w:tr w:rsidR="00F27A93" w:rsidRPr="00F27A93" w14:paraId="32B50FAA" w14:textId="77777777" w:rsidTr="00C27C5F">
        <w:trPr>
          <w:trHeight w:val="290"/>
          <w:jc w:val="center"/>
        </w:trPr>
        <w:tc>
          <w:tcPr>
            <w:tcW w:w="1213" w:type="dxa"/>
            <w:tcBorders>
              <w:top w:val="nil"/>
              <w:left w:val="nil"/>
              <w:bottom w:val="nil"/>
              <w:right w:val="single" w:sz="4" w:space="0" w:color="auto"/>
            </w:tcBorders>
            <w:shd w:val="clear" w:color="000000" w:fill="FFFFFF"/>
            <w:vAlign w:val="center"/>
            <w:hideMark/>
          </w:tcPr>
          <w:p w14:paraId="19EC6C7E"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Químicos</w:t>
            </w:r>
          </w:p>
        </w:tc>
        <w:tc>
          <w:tcPr>
            <w:tcW w:w="852" w:type="dxa"/>
            <w:tcBorders>
              <w:top w:val="nil"/>
              <w:left w:val="single" w:sz="4" w:space="0" w:color="auto"/>
              <w:bottom w:val="nil"/>
              <w:right w:val="nil"/>
            </w:tcBorders>
            <w:shd w:val="clear" w:color="000000" w:fill="FFFFFF"/>
            <w:vAlign w:val="center"/>
            <w:hideMark/>
          </w:tcPr>
          <w:p w14:paraId="1E0AE7A8"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10.02%</w:t>
            </w:r>
          </w:p>
        </w:tc>
        <w:tc>
          <w:tcPr>
            <w:tcW w:w="825" w:type="dxa"/>
            <w:tcBorders>
              <w:top w:val="nil"/>
              <w:left w:val="nil"/>
              <w:bottom w:val="nil"/>
              <w:right w:val="nil"/>
            </w:tcBorders>
            <w:shd w:val="clear" w:color="000000" w:fill="FFFFFF"/>
            <w:vAlign w:val="center"/>
            <w:hideMark/>
          </w:tcPr>
          <w:p w14:paraId="2365CF41"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c>
          <w:tcPr>
            <w:tcW w:w="829" w:type="dxa"/>
            <w:tcBorders>
              <w:top w:val="nil"/>
              <w:left w:val="nil"/>
              <w:bottom w:val="nil"/>
              <w:right w:val="nil"/>
            </w:tcBorders>
            <w:shd w:val="clear" w:color="000000" w:fill="FFFFFF"/>
            <w:vAlign w:val="center"/>
            <w:hideMark/>
          </w:tcPr>
          <w:p w14:paraId="13CCC56F"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c>
          <w:tcPr>
            <w:tcW w:w="825" w:type="dxa"/>
            <w:tcBorders>
              <w:top w:val="nil"/>
              <w:left w:val="nil"/>
              <w:bottom w:val="nil"/>
              <w:right w:val="nil"/>
            </w:tcBorders>
            <w:shd w:val="clear" w:color="000000" w:fill="FFFFFF"/>
            <w:vAlign w:val="center"/>
            <w:hideMark/>
          </w:tcPr>
          <w:p w14:paraId="31BEFE7A"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c>
          <w:tcPr>
            <w:tcW w:w="879" w:type="dxa"/>
            <w:tcBorders>
              <w:top w:val="nil"/>
              <w:left w:val="nil"/>
              <w:bottom w:val="nil"/>
              <w:right w:val="nil"/>
            </w:tcBorders>
            <w:shd w:val="clear" w:color="000000" w:fill="FFFFFF"/>
            <w:vAlign w:val="center"/>
            <w:hideMark/>
          </w:tcPr>
          <w:p w14:paraId="07356F48"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2.77%</w:t>
            </w:r>
          </w:p>
        </w:tc>
        <w:tc>
          <w:tcPr>
            <w:tcW w:w="1133" w:type="dxa"/>
            <w:tcBorders>
              <w:top w:val="nil"/>
              <w:left w:val="nil"/>
              <w:bottom w:val="nil"/>
              <w:right w:val="nil"/>
            </w:tcBorders>
            <w:shd w:val="clear" w:color="000000" w:fill="FFFFFF"/>
            <w:vAlign w:val="center"/>
            <w:hideMark/>
          </w:tcPr>
          <w:p w14:paraId="27FAD248"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3.52%</w:t>
            </w:r>
          </w:p>
        </w:tc>
        <w:tc>
          <w:tcPr>
            <w:tcW w:w="1124" w:type="dxa"/>
            <w:tcBorders>
              <w:top w:val="nil"/>
              <w:left w:val="nil"/>
              <w:bottom w:val="nil"/>
              <w:right w:val="nil"/>
            </w:tcBorders>
            <w:shd w:val="clear" w:color="000000" w:fill="FFFFFF"/>
            <w:vAlign w:val="center"/>
            <w:hideMark/>
          </w:tcPr>
          <w:p w14:paraId="5C61E5AD"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13.84%</w:t>
            </w:r>
          </w:p>
        </w:tc>
      </w:tr>
      <w:tr w:rsidR="00F27A93" w:rsidRPr="00F27A93" w14:paraId="5579BDE4" w14:textId="77777777" w:rsidTr="00C27C5F">
        <w:trPr>
          <w:trHeight w:val="400"/>
          <w:jc w:val="center"/>
        </w:trPr>
        <w:tc>
          <w:tcPr>
            <w:tcW w:w="1213" w:type="dxa"/>
            <w:tcBorders>
              <w:top w:val="nil"/>
              <w:left w:val="nil"/>
              <w:bottom w:val="nil"/>
              <w:right w:val="single" w:sz="4" w:space="0" w:color="auto"/>
            </w:tcBorders>
            <w:shd w:val="clear" w:color="000000" w:fill="FFFFFF"/>
            <w:vAlign w:val="center"/>
            <w:hideMark/>
          </w:tcPr>
          <w:p w14:paraId="6726C339" w14:textId="77777777" w:rsidR="00F27A93" w:rsidRPr="00F27A93" w:rsidRDefault="00F27A93" w:rsidP="00C139E7">
            <w:pPr>
              <w:spacing w:after="0" w:line="240" w:lineRule="auto"/>
              <w:jc w:val="right"/>
              <w:rPr>
                <w:rFonts w:cs="Arial"/>
                <w:color w:val="000000"/>
                <w:sz w:val="16"/>
                <w:szCs w:val="16"/>
                <w:lang w:val="en-US"/>
              </w:rPr>
            </w:pPr>
            <w:r w:rsidRPr="00F27A93">
              <w:rPr>
                <w:rFonts w:cs="Arial"/>
                <w:color w:val="000000"/>
                <w:sz w:val="16"/>
                <w:szCs w:val="16"/>
              </w:rPr>
              <w:t>Caucho y plástico</w:t>
            </w:r>
          </w:p>
        </w:tc>
        <w:tc>
          <w:tcPr>
            <w:tcW w:w="852" w:type="dxa"/>
            <w:tcBorders>
              <w:top w:val="nil"/>
              <w:left w:val="single" w:sz="4" w:space="0" w:color="auto"/>
              <w:bottom w:val="nil"/>
              <w:right w:val="nil"/>
            </w:tcBorders>
            <w:shd w:val="clear" w:color="000000" w:fill="FFFFFF"/>
            <w:vAlign w:val="center"/>
            <w:hideMark/>
          </w:tcPr>
          <w:p w14:paraId="551C5313"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2.78%</w:t>
            </w:r>
          </w:p>
        </w:tc>
        <w:tc>
          <w:tcPr>
            <w:tcW w:w="825" w:type="dxa"/>
            <w:tcBorders>
              <w:top w:val="nil"/>
              <w:left w:val="nil"/>
              <w:bottom w:val="nil"/>
              <w:right w:val="nil"/>
            </w:tcBorders>
            <w:shd w:val="clear" w:color="000000" w:fill="FFFFFF"/>
            <w:vAlign w:val="center"/>
            <w:hideMark/>
          </w:tcPr>
          <w:p w14:paraId="3AABD2EC"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c>
          <w:tcPr>
            <w:tcW w:w="829" w:type="dxa"/>
            <w:tcBorders>
              <w:top w:val="nil"/>
              <w:left w:val="nil"/>
              <w:bottom w:val="nil"/>
              <w:right w:val="nil"/>
            </w:tcBorders>
            <w:shd w:val="clear" w:color="000000" w:fill="FFFFFF"/>
            <w:vAlign w:val="center"/>
            <w:hideMark/>
          </w:tcPr>
          <w:p w14:paraId="6CC78B76"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c>
          <w:tcPr>
            <w:tcW w:w="825" w:type="dxa"/>
            <w:tcBorders>
              <w:top w:val="nil"/>
              <w:left w:val="nil"/>
              <w:bottom w:val="nil"/>
              <w:right w:val="nil"/>
            </w:tcBorders>
            <w:shd w:val="clear" w:color="000000" w:fill="FFFFFF"/>
            <w:vAlign w:val="center"/>
            <w:hideMark/>
          </w:tcPr>
          <w:p w14:paraId="3E3E2501"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c>
          <w:tcPr>
            <w:tcW w:w="879" w:type="dxa"/>
            <w:tcBorders>
              <w:top w:val="nil"/>
              <w:left w:val="nil"/>
              <w:bottom w:val="nil"/>
              <w:right w:val="nil"/>
            </w:tcBorders>
            <w:shd w:val="clear" w:color="000000" w:fill="FFFFFF"/>
            <w:vAlign w:val="center"/>
            <w:hideMark/>
          </w:tcPr>
          <w:p w14:paraId="711E6A02"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c>
          <w:tcPr>
            <w:tcW w:w="1133" w:type="dxa"/>
            <w:tcBorders>
              <w:top w:val="nil"/>
              <w:left w:val="nil"/>
              <w:bottom w:val="nil"/>
              <w:right w:val="nil"/>
            </w:tcBorders>
            <w:shd w:val="clear" w:color="000000" w:fill="FFFFFF"/>
            <w:vAlign w:val="center"/>
            <w:hideMark/>
          </w:tcPr>
          <w:p w14:paraId="36D5B5FB"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3.99%</w:t>
            </w:r>
          </w:p>
        </w:tc>
        <w:tc>
          <w:tcPr>
            <w:tcW w:w="1124" w:type="dxa"/>
            <w:tcBorders>
              <w:top w:val="nil"/>
              <w:left w:val="nil"/>
              <w:bottom w:val="nil"/>
              <w:right w:val="nil"/>
            </w:tcBorders>
            <w:shd w:val="clear" w:color="000000" w:fill="FFFFFF"/>
            <w:vAlign w:val="center"/>
            <w:hideMark/>
          </w:tcPr>
          <w:p w14:paraId="3FB31D59"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4.46%</w:t>
            </w:r>
          </w:p>
        </w:tc>
      </w:tr>
      <w:tr w:rsidR="00F27A93" w:rsidRPr="00F27A93" w14:paraId="6DE17404" w14:textId="77777777" w:rsidTr="00C27C5F">
        <w:trPr>
          <w:trHeight w:val="400"/>
          <w:jc w:val="center"/>
        </w:trPr>
        <w:tc>
          <w:tcPr>
            <w:tcW w:w="1213" w:type="dxa"/>
            <w:tcBorders>
              <w:top w:val="nil"/>
              <w:left w:val="nil"/>
              <w:bottom w:val="nil"/>
              <w:right w:val="single" w:sz="4" w:space="0" w:color="auto"/>
            </w:tcBorders>
            <w:shd w:val="clear" w:color="000000" w:fill="FFFFFF"/>
            <w:vAlign w:val="center"/>
            <w:hideMark/>
          </w:tcPr>
          <w:p w14:paraId="3A76B682"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No metálicos</w:t>
            </w:r>
          </w:p>
        </w:tc>
        <w:tc>
          <w:tcPr>
            <w:tcW w:w="852" w:type="dxa"/>
            <w:tcBorders>
              <w:top w:val="nil"/>
              <w:left w:val="single" w:sz="4" w:space="0" w:color="auto"/>
              <w:bottom w:val="nil"/>
              <w:right w:val="nil"/>
            </w:tcBorders>
            <w:shd w:val="clear" w:color="000000" w:fill="FFFFFF"/>
            <w:vAlign w:val="center"/>
            <w:hideMark/>
          </w:tcPr>
          <w:p w14:paraId="77447B88"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0.37%</w:t>
            </w:r>
          </w:p>
        </w:tc>
        <w:tc>
          <w:tcPr>
            <w:tcW w:w="825" w:type="dxa"/>
            <w:tcBorders>
              <w:top w:val="nil"/>
              <w:left w:val="nil"/>
              <w:bottom w:val="nil"/>
              <w:right w:val="nil"/>
            </w:tcBorders>
            <w:shd w:val="clear" w:color="000000" w:fill="FFFFFF"/>
            <w:vAlign w:val="center"/>
            <w:hideMark/>
          </w:tcPr>
          <w:p w14:paraId="1943F63D"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c>
          <w:tcPr>
            <w:tcW w:w="829" w:type="dxa"/>
            <w:tcBorders>
              <w:top w:val="nil"/>
              <w:left w:val="nil"/>
              <w:bottom w:val="nil"/>
              <w:right w:val="nil"/>
            </w:tcBorders>
            <w:shd w:val="clear" w:color="000000" w:fill="FFFFFF"/>
            <w:vAlign w:val="center"/>
            <w:hideMark/>
          </w:tcPr>
          <w:p w14:paraId="5F4A2FF1"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c>
          <w:tcPr>
            <w:tcW w:w="825" w:type="dxa"/>
            <w:tcBorders>
              <w:top w:val="nil"/>
              <w:left w:val="nil"/>
              <w:bottom w:val="nil"/>
              <w:right w:val="nil"/>
            </w:tcBorders>
            <w:shd w:val="clear" w:color="000000" w:fill="FFFFFF"/>
            <w:vAlign w:val="center"/>
            <w:hideMark/>
          </w:tcPr>
          <w:p w14:paraId="3C1E09B7"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c>
          <w:tcPr>
            <w:tcW w:w="879" w:type="dxa"/>
            <w:tcBorders>
              <w:top w:val="nil"/>
              <w:left w:val="nil"/>
              <w:bottom w:val="nil"/>
              <w:right w:val="nil"/>
            </w:tcBorders>
            <w:shd w:val="clear" w:color="000000" w:fill="FFFFFF"/>
            <w:vAlign w:val="center"/>
            <w:hideMark/>
          </w:tcPr>
          <w:p w14:paraId="67679129"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c>
          <w:tcPr>
            <w:tcW w:w="1133" w:type="dxa"/>
            <w:tcBorders>
              <w:top w:val="nil"/>
              <w:left w:val="nil"/>
              <w:bottom w:val="nil"/>
              <w:right w:val="nil"/>
            </w:tcBorders>
            <w:shd w:val="clear" w:color="000000" w:fill="FFFFFF"/>
            <w:vAlign w:val="center"/>
            <w:hideMark/>
          </w:tcPr>
          <w:p w14:paraId="0B38D061"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1.07%</w:t>
            </w:r>
          </w:p>
        </w:tc>
        <w:tc>
          <w:tcPr>
            <w:tcW w:w="1124" w:type="dxa"/>
            <w:tcBorders>
              <w:top w:val="nil"/>
              <w:left w:val="nil"/>
              <w:bottom w:val="nil"/>
              <w:right w:val="nil"/>
            </w:tcBorders>
            <w:shd w:val="clear" w:color="000000" w:fill="FFFFFF"/>
            <w:vAlign w:val="center"/>
            <w:hideMark/>
          </w:tcPr>
          <w:p w14:paraId="1D9EBDBB"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1.21%</w:t>
            </w:r>
          </w:p>
        </w:tc>
      </w:tr>
      <w:tr w:rsidR="00F27A93" w:rsidRPr="00F27A93" w14:paraId="42C5DABF" w14:textId="77777777" w:rsidTr="00C27C5F">
        <w:trPr>
          <w:trHeight w:val="290"/>
          <w:jc w:val="center"/>
        </w:trPr>
        <w:tc>
          <w:tcPr>
            <w:tcW w:w="1213" w:type="dxa"/>
            <w:tcBorders>
              <w:top w:val="nil"/>
              <w:left w:val="nil"/>
              <w:bottom w:val="nil"/>
              <w:right w:val="single" w:sz="4" w:space="0" w:color="auto"/>
            </w:tcBorders>
            <w:shd w:val="clear" w:color="000000" w:fill="FFFFFF"/>
            <w:vAlign w:val="center"/>
            <w:hideMark/>
          </w:tcPr>
          <w:p w14:paraId="7D2CA96C"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Metálicos</w:t>
            </w:r>
          </w:p>
        </w:tc>
        <w:tc>
          <w:tcPr>
            <w:tcW w:w="852" w:type="dxa"/>
            <w:tcBorders>
              <w:top w:val="nil"/>
              <w:left w:val="single" w:sz="4" w:space="0" w:color="auto"/>
              <w:bottom w:val="nil"/>
              <w:right w:val="nil"/>
            </w:tcBorders>
            <w:shd w:val="clear" w:color="000000" w:fill="FFFFFF"/>
            <w:vAlign w:val="center"/>
            <w:hideMark/>
          </w:tcPr>
          <w:p w14:paraId="356C8AB2"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0.58%</w:t>
            </w:r>
          </w:p>
        </w:tc>
        <w:tc>
          <w:tcPr>
            <w:tcW w:w="825" w:type="dxa"/>
            <w:tcBorders>
              <w:top w:val="nil"/>
              <w:left w:val="nil"/>
              <w:bottom w:val="nil"/>
              <w:right w:val="nil"/>
            </w:tcBorders>
            <w:shd w:val="clear" w:color="000000" w:fill="FFFFFF"/>
            <w:vAlign w:val="center"/>
            <w:hideMark/>
          </w:tcPr>
          <w:p w14:paraId="2011AF40"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c>
          <w:tcPr>
            <w:tcW w:w="829" w:type="dxa"/>
            <w:tcBorders>
              <w:top w:val="nil"/>
              <w:left w:val="nil"/>
              <w:bottom w:val="nil"/>
              <w:right w:val="nil"/>
            </w:tcBorders>
            <w:shd w:val="clear" w:color="000000" w:fill="FFFFFF"/>
            <w:vAlign w:val="center"/>
            <w:hideMark/>
          </w:tcPr>
          <w:p w14:paraId="617CE2E5"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0.97%</w:t>
            </w:r>
          </w:p>
        </w:tc>
        <w:tc>
          <w:tcPr>
            <w:tcW w:w="825" w:type="dxa"/>
            <w:tcBorders>
              <w:top w:val="nil"/>
              <w:left w:val="nil"/>
              <w:bottom w:val="nil"/>
              <w:right w:val="nil"/>
            </w:tcBorders>
            <w:shd w:val="clear" w:color="000000" w:fill="FFFFFF"/>
            <w:vAlign w:val="center"/>
            <w:hideMark/>
          </w:tcPr>
          <w:p w14:paraId="0F195152"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0.76%</w:t>
            </w:r>
          </w:p>
        </w:tc>
        <w:tc>
          <w:tcPr>
            <w:tcW w:w="879" w:type="dxa"/>
            <w:tcBorders>
              <w:top w:val="nil"/>
              <w:left w:val="nil"/>
              <w:bottom w:val="nil"/>
              <w:right w:val="nil"/>
            </w:tcBorders>
            <w:shd w:val="clear" w:color="000000" w:fill="FFFFFF"/>
            <w:vAlign w:val="center"/>
            <w:hideMark/>
          </w:tcPr>
          <w:p w14:paraId="5951805E"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c>
          <w:tcPr>
            <w:tcW w:w="1133" w:type="dxa"/>
            <w:tcBorders>
              <w:top w:val="nil"/>
              <w:left w:val="nil"/>
              <w:bottom w:val="nil"/>
              <w:right w:val="nil"/>
            </w:tcBorders>
            <w:shd w:val="clear" w:color="000000" w:fill="FFFFFF"/>
            <w:vAlign w:val="center"/>
            <w:hideMark/>
          </w:tcPr>
          <w:p w14:paraId="26B67E3A"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2.52%</w:t>
            </w:r>
          </w:p>
        </w:tc>
        <w:tc>
          <w:tcPr>
            <w:tcW w:w="1124" w:type="dxa"/>
            <w:tcBorders>
              <w:top w:val="nil"/>
              <w:left w:val="nil"/>
              <w:bottom w:val="nil"/>
              <w:right w:val="nil"/>
            </w:tcBorders>
            <w:shd w:val="clear" w:color="000000" w:fill="FFFFFF"/>
            <w:vAlign w:val="center"/>
            <w:hideMark/>
          </w:tcPr>
          <w:p w14:paraId="42153603"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9.70%</w:t>
            </w:r>
          </w:p>
        </w:tc>
      </w:tr>
      <w:tr w:rsidR="00F27A93" w:rsidRPr="00F27A93" w14:paraId="5384D432" w14:textId="77777777" w:rsidTr="00C27C5F">
        <w:trPr>
          <w:trHeight w:val="290"/>
          <w:jc w:val="center"/>
        </w:trPr>
        <w:tc>
          <w:tcPr>
            <w:tcW w:w="1213" w:type="dxa"/>
            <w:tcBorders>
              <w:top w:val="nil"/>
              <w:left w:val="nil"/>
              <w:bottom w:val="nil"/>
              <w:right w:val="single" w:sz="4" w:space="0" w:color="auto"/>
            </w:tcBorders>
            <w:shd w:val="clear" w:color="000000" w:fill="FFFFFF"/>
            <w:vAlign w:val="center"/>
            <w:hideMark/>
          </w:tcPr>
          <w:p w14:paraId="3B659A11"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Maquinaria</w:t>
            </w:r>
          </w:p>
        </w:tc>
        <w:tc>
          <w:tcPr>
            <w:tcW w:w="852" w:type="dxa"/>
            <w:tcBorders>
              <w:top w:val="nil"/>
              <w:left w:val="single" w:sz="4" w:space="0" w:color="auto"/>
              <w:bottom w:val="nil"/>
              <w:right w:val="nil"/>
            </w:tcBorders>
            <w:shd w:val="clear" w:color="000000" w:fill="FFFFFF"/>
            <w:vAlign w:val="center"/>
            <w:hideMark/>
          </w:tcPr>
          <w:p w14:paraId="43D45F5C"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7.83%</w:t>
            </w:r>
          </w:p>
        </w:tc>
        <w:tc>
          <w:tcPr>
            <w:tcW w:w="825" w:type="dxa"/>
            <w:tcBorders>
              <w:top w:val="nil"/>
              <w:left w:val="nil"/>
              <w:bottom w:val="nil"/>
              <w:right w:val="nil"/>
            </w:tcBorders>
            <w:shd w:val="clear" w:color="000000" w:fill="FFFFFF"/>
            <w:vAlign w:val="center"/>
            <w:hideMark/>
          </w:tcPr>
          <w:p w14:paraId="455B1673"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c>
          <w:tcPr>
            <w:tcW w:w="829" w:type="dxa"/>
            <w:tcBorders>
              <w:top w:val="nil"/>
              <w:left w:val="nil"/>
              <w:bottom w:val="nil"/>
              <w:right w:val="nil"/>
            </w:tcBorders>
            <w:shd w:val="clear" w:color="000000" w:fill="FFFFFF"/>
            <w:vAlign w:val="center"/>
            <w:hideMark/>
          </w:tcPr>
          <w:p w14:paraId="5279254C"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20.34%</w:t>
            </w:r>
          </w:p>
        </w:tc>
        <w:tc>
          <w:tcPr>
            <w:tcW w:w="825" w:type="dxa"/>
            <w:tcBorders>
              <w:top w:val="nil"/>
              <w:left w:val="nil"/>
              <w:bottom w:val="nil"/>
              <w:right w:val="nil"/>
            </w:tcBorders>
            <w:shd w:val="clear" w:color="000000" w:fill="FFFFFF"/>
            <w:vAlign w:val="center"/>
            <w:hideMark/>
          </w:tcPr>
          <w:p w14:paraId="0C98C78E"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15.80%</w:t>
            </w:r>
          </w:p>
        </w:tc>
        <w:tc>
          <w:tcPr>
            <w:tcW w:w="879" w:type="dxa"/>
            <w:tcBorders>
              <w:top w:val="nil"/>
              <w:left w:val="nil"/>
              <w:bottom w:val="nil"/>
              <w:right w:val="nil"/>
            </w:tcBorders>
            <w:shd w:val="clear" w:color="000000" w:fill="FFFFFF"/>
            <w:vAlign w:val="center"/>
            <w:hideMark/>
          </w:tcPr>
          <w:p w14:paraId="5C2C3820"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0.11%</w:t>
            </w:r>
          </w:p>
        </w:tc>
        <w:tc>
          <w:tcPr>
            <w:tcW w:w="1133" w:type="dxa"/>
            <w:tcBorders>
              <w:top w:val="nil"/>
              <w:left w:val="nil"/>
              <w:bottom w:val="nil"/>
              <w:right w:val="nil"/>
            </w:tcBorders>
            <w:shd w:val="clear" w:color="000000" w:fill="FFFFFF"/>
            <w:vAlign w:val="center"/>
            <w:hideMark/>
          </w:tcPr>
          <w:p w14:paraId="2771FD8A"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13.91%</w:t>
            </w:r>
          </w:p>
        </w:tc>
        <w:tc>
          <w:tcPr>
            <w:tcW w:w="1124" w:type="dxa"/>
            <w:tcBorders>
              <w:top w:val="nil"/>
              <w:left w:val="nil"/>
              <w:bottom w:val="nil"/>
              <w:right w:val="nil"/>
            </w:tcBorders>
            <w:shd w:val="clear" w:color="000000" w:fill="FFFFFF"/>
            <w:vAlign w:val="center"/>
            <w:hideMark/>
          </w:tcPr>
          <w:p w14:paraId="5B186FC6"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17.94%</w:t>
            </w:r>
          </w:p>
        </w:tc>
      </w:tr>
      <w:tr w:rsidR="00F27A93" w:rsidRPr="00F27A93" w14:paraId="0C886BDF" w14:textId="77777777" w:rsidTr="00C27C5F">
        <w:trPr>
          <w:trHeight w:val="290"/>
          <w:jc w:val="center"/>
        </w:trPr>
        <w:tc>
          <w:tcPr>
            <w:tcW w:w="1213" w:type="dxa"/>
            <w:tcBorders>
              <w:top w:val="nil"/>
              <w:left w:val="nil"/>
              <w:bottom w:val="nil"/>
              <w:right w:val="single" w:sz="4" w:space="0" w:color="auto"/>
            </w:tcBorders>
            <w:shd w:val="clear" w:color="000000" w:fill="FFFFFF"/>
            <w:vAlign w:val="center"/>
            <w:hideMark/>
          </w:tcPr>
          <w:p w14:paraId="29CD7721"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Vehículos</w:t>
            </w:r>
          </w:p>
        </w:tc>
        <w:tc>
          <w:tcPr>
            <w:tcW w:w="852" w:type="dxa"/>
            <w:tcBorders>
              <w:top w:val="nil"/>
              <w:left w:val="single" w:sz="4" w:space="0" w:color="auto"/>
              <w:bottom w:val="nil"/>
              <w:right w:val="nil"/>
            </w:tcBorders>
            <w:shd w:val="clear" w:color="000000" w:fill="FFFFFF"/>
            <w:vAlign w:val="center"/>
            <w:hideMark/>
          </w:tcPr>
          <w:p w14:paraId="4A5FF538"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6.77%</w:t>
            </w:r>
          </w:p>
        </w:tc>
        <w:tc>
          <w:tcPr>
            <w:tcW w:w="825" w:type="dxa"/>
            <w:tcBorders>
              <w:top w:val="nil"/>
              <w:left w:val="nil"/>
              <w:bottom w:val="nil"/>
              <w:right w:val="nil"/>
            </w:tcBorders>
            <w:shd w:val="clear" w:color="000000" w:fill="FFFFFF"/>
            <w:vAlign w:val="center"/>
            <w:hideMark/>
          </w:tcPr>
          <w:p w14:paraId="5E4F4314"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c>
          <w:tcPr>
            <w:tcW w:w="829" w:type="dxa"/>
            <w:tcBorders>
              <w:top w:val="nil"/>
              <w:left w:val="nil"/>
              <w:bottom w:val="nil"/>
              <w:right w:val="nil"/>
            </w:tcBorders>
            <w:shd w:val="clear" w:color="000000" w:fill="FFFFFF"/>
            <w:vAlign w:val="center"/>
            <w:hideMark/>
          </w:tcPr>
          <w:p w14:paraId="21CD3906"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9.36%</w:t>
            </w:r>
          </w:p>
        </w:tc>
        <w:tc>
          <w:tcPr>
            <w:tcW w:w="825" w:type="dxa"/>
            <w:tcBorders>
              <w:top w:val="nil"/>
              <w:left w:val="nil"/>
              <w:bottom w:val="nil"/>
              <w:right w:val="nil"/>
            </w:tcBorders>
            <w:shd w:val="clear" w:color="000000" w:fill="FFFFFF"/>
            <w:vAlign w:val="center"/>
            <w:hideMark/>
          </w:tcPr>
          <w:p w14:paraId="59115E17"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4.57%</w:t>
            </w:r>
          </w:p>
        </w:tc>
        <w:tc>
          <w:tcPr>
            <w:tcW w:w="879" w:type="dxa"/>
            <w:tcBorders>
              <w:top w:val="nil"/>
              <w:left w:val="nil"/>
              <w:bottom w:val="nil"/>
              <w:right w:val="nil"/>
            </w:tcBorders>
            <w:shd w:val="clear" w:color="000000" w:fill="FFFFFF"/>
            <w:vAlign w:val="center"/>
            <w:hideMark/>
          </w:tcPr>
          <w:p w14:paraId="0A537A11"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c>
          <w:tcPr>
            <w:tcW w:w="1133" w:type="dxa"/>
            <w:tcBorders>
              <w:top w:val="nil"/>
              <w:left w:val="nil"/>
              <w:bottom w:val="nil"/>
              <w:right w:val="nil"/>
            </w:tcBorders>
            <w:shd w:val="clear" w:color="000000" w:fill="FFFFFF"/>
            <w:vAlign w:val="center"/>
            <w:hideMark/>
          </w:tcPr>
          <w:p w14:paraId="3F7E8C42"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0.15%</w:t>
            </w:r>
          </w:p>
        </w:tc>
        <w:tc>
          <w:tcPr>
            <w:tcW w:w="1124" w:type="dxa"/>
            <w:tcBorders>
              <w:top w:val="nil"/>
              <w:left w:val="nil"/>
              <w:bottom w:val="nil"/>
              <w:right w:val="nil"/>
            </w:tcBorders>
            <w:shd w:val="clear" w:color="000000" w:fill="FFFFFF"/>
            <w:vAlign w:val="center"/>
            <w:hideMark/>
          </w:tcPr>
          <w:p w14:paraId="74D78EA6"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7.17%</w:t>
            </w:r>
          </w:p>
        </w:tc>
      </w:tr>
      <w:tr w:rsidR="00F27A93" w:rsidRPr="00F27A93" w14:paraId="72A7BC4F" w14:textId="77777777" w:rsidTr="00C27C5F">
        <w:trPr>
          <w:trHeight w:val="400"/>
          <w:jc w:val="center"/>
        </w:trPr>
        <w:tc>
          <w:tcPr>
            <w:tcW w:w="1213" w:type="dxa"/>
            <w:tcBorders>
              <w:top w:val="nil"/>
              <w:left w:val="nil"/>
              <w:bottom w:val="nil"/>
              <w:right w:val="single" w:sz="4" w:space="0" w:color="auto"/>
            </w:tcBorders>
            <w:shd w:val="clear" w:color="000000" w:fill="FFFFFF"/>
            <w:vAlign w:val="center"/>
            <w:hideMark/>
          </w:tcPr>
          <w:p w14:paraId="689EFD56"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Otros servicios</w:t>
            </w:r>
          </w:p>
        </w:tc>
        <w:tc>
          <w:tcPr>
            <w:tcW w:w="852" w:type="dxa"/>
            <w:tcBorders>
              <w:top w:val="nil"/>
              <w:left w:val="single" w:sz="4" w:space="0" w:color="auto"/>
              <w:bottom w:val="nil"/>
              <w:right w:val="nil"/>
            </w:tcBorders>
            <w:shd w:val="clear" w:color="000000" w:fill="FFFFFF"/>
            <w:vAlign w:val="center"/>
            <w:hideMark/>
          </w:tcPr>
          <w:p w14:paraId="3669B657"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33.65%</w:t>
            </w:r>
          </w:p>
        </w:tc>
        <w:tc>
          <w:tcPr>
            <w:tcW w:w="825" w:type="dxa"/>
            <w:tcBorders>
              <w:top w:val="nil"/>
              <w:left w:val="nil"/>
              <w:bottom w:val="nil"/>
              <w:right w:val="nil"/>
            </w:tcBorders>
            <w:shd w:val="clear" w:color="000000" w:fill="FFFFFF"/>
            <w:vAlign w:val="center"/>
            <w:hideMark/>
          </w:tcPr>
          <w:p w14:paraId="1085093E"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40.65%</w:t>
            </w:r>
          </w:p>
        </w:tc>
        <w:tc>
          <w:tcPr>
            <w:tcW w:w="829" w:type="dxa"/>
            <w:tcBorders>
              <w:top w:val="nil"/>
              <w:left w:val="nil"/>
              <w:bottom w:val="nil"/>
              <w:right w:val="nil"/>
            </w:tcBorders>
            <w:shd w:val="clear" w:color="000000" w:fill="FFFFFF"/>
            <w:vAlign w:val="center"/>
            <w:hideMark/>
          </w:tcPr>
          <w:p w14:paraId="5AC036A2"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0.07%</w:t>
            </w:r>
          </w:p>
        </w:tc>
        <w:tc>
          <w:tcPr>
            <w:tcW w:w="825" w:type="dxa"/>
            <w:tcBorders>
              <w:top w:val="nil"/>
              <w:left w:val="nil"/>
              <w:bottom w:val="nil"/>
              <w:right w:val="nil"/>
            </w:tcBorders>
            <w:shd w:val="clear" w:color="000000" w:fill="FFFFFF"/>
            <w:vAlign w:val="center"/>
            <w:hideMark/>
          </w:tcPr>
          <w:p w14:paraId="1AFCDE03"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c>
          <w:tcPr>
            <w:tcW w:w="879" w:type="dxa"/>
            <w:tcBorders>
              <w:top w:val="nil"/>
              <w:left w:val="nil"/>
              <w:bottom w:val="nil"/>
              <w:right w:val="nil"/>
            </w:tcBorders>
            <w:shd w:val="clear" w:color="000000" w:fill="FFFFFF"/>
            <w:vAlign w:val="center"/>
            <w:hideMark/>
          </w:tcPr>
          <w:p w14:paraId="71DDE7E9"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14.05%</w:t>
            </w:r>
          </w:p>
        </w:tc>
        <w:tc>
          <w:tcPr>
            <w:tcW w:w="1133" w:type="dxa"/>
            <w:tcBorders>
              <w:top w:val="nil"/>
              <w:left w:val="nil"/>
              <w:bottom w:val="nil"/>
              <w:right w:val="nil"/>
            </w:tcBorders>
            <w:shd w:val="clear" w:color="000000" w:fill="FFFFFF"/>
            <w:vAlign w:val="center"/>
            <w:hideMark/>
          </w:tcPr>
          <w:p w14:paraId="6916D924"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13.25%</w:t>
            </w:r>
          </w:p>
        </w:tc>
        <w:tc>
          <w:tcPr>
            <w:tcW w:w="1124" w:type="dxa"/>
            <w:tcBorders>
              <w:top w:val="nil"/>
              <w:left w:val="nil"/>
              <w:bottom w:val="nil"/>
              <w:right w:val="nil"/>
            </w:tcBorders>
            <w:shd w:val="clear" w:color="000000" w:fill="FFFFFF"/>
            <w:vAlign w:val="center"/>
            <w:hideMark/>
          </w:tcPr>
          <w:p w14:paraId="2C9531E4"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2.73%</w:t>
            </w:r>
          </w:p>
        </w:tc>
      </w:tr>
      <w:tr w:rsidR="00F27A93" w:rsidRPr="00F27A93" w14:paraId="038346AF" w14:textId="77777777" w:rsidTr="00C27C5F">
        <w:trPr>
          <w:trHeight w:val="400"/>
          <w:jc w:val="center"/>
        </w:trPr>
        <w:tc>
          <w:tcPr>
            <w:tcW w:w="1213" w:type="dxa"/>
            <w:tcBorders>
              <w:top w:val="nil"/>
              <w:left w:val="nil"/>
              <w:bottom w:val="nil"/>
              <w:right w:val="single" w:sz="4" w:space="0" w:color="auto"/>
            </w:tcBorders>
            <w:shd w:val="clear" w:color="000000" w:fill="FFFFFF"/>
            <w:vAlign w:val="center"/>
            <w:hideMark/>
          </w:tcPr>
          <w:p w14:paraId="27F023A7"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Electricidad y gas</w:t>
            </w:r>
          </w:p>
        </w:tc>
        <w:tc>
          <w:tcPr>
            <w:tcW w:w="852" w:type="dxa"/>
            <w:tcBorders>
              <w:top w:val="nil"/>
              <w:left w:val="single" w:sz="4" w:space="0" w:color="auto"/>
              <w:bottom w:val="nil"/>
              <w:right w:val="nil"/>
            </w:tcBorders>
            <w:shd w:val="clear" w:color="000000" w:fill="FFFFFF"/>
            <w:vAlign w:val="center"/>
            <w:hideMark/>
          </w:tcPr>
          <w:p w14:paraId="4294885F"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3.52%</w:t>
            </w:r>
          </w:p>
        </w:tc>
        <w:tc>
          <w:tcPr>
            <w:tcW w:w="825" w:type="dxa"/>
            <w:tcBorders>
              <w:top w:val="nil"/>
              <w:left w:val="nil"/>
              <w:bottom w:val="nil"/>
              <w:right w:val="nil"/>
            </w:tcBorders>
            <w:shd w:val="clear" w:color="000000" w:fill="FFFFFF"/>
            <w:vAlign w:val="center"/>
            <w:hideMark/>
          </w:tcPr>
          <w:p w14:paraId="57408205"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c>
          <w:tcPr>
            <w:tcW w:w="829" w:type="dxa"/>
            <w:tcBorders>
              <w:top w:val="nil"/>
              <w:left w:val="nil"/>
              <w:bottom w:val="nil"/>
              <w:right w:val="nil"/>
            </w:tcBorders>
            <w:shd w:val="clear" w:color="000000" w:fill="FFFFFF"/>
            <w:vAlign w:val="center"/>
            <w:hideMark/>
          </w:tcPr>
          <w:p w14:paraId="60C8EE07"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c>
          <w:tcPr>
            <w:tcW w:w="825" w:type="dxa"/>
            <w:tcBorders>
              <w:top w:val="nil"/>
              <w:left w:val="nil"/>
              <w:bottom w:val="nil"/>
              <w:right w:val="nil"/>
            </w:tcBorders>
            <w:shd w:val="clear" w:color="000000" w:fill="FFFFFF"/>
            <w:vAlign w:val="center"/>
            <w:hideMark/>
          </w:tcPr>
          <w:p w14:paraId="1760782F"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c>
          <w:tcPr>
            <w:tcW w:w="879" w:type="dxa"/>
            <w:tcBorders>
              <w:top w:val="nil"/>
              <w:left w:val="nil"/>
              <w:bottom w:val="nil"/>
              <w:right w:val="nil"/>
            </w:tcBorders>
            <w:shd w:val="clear" w:color="000000" w:fill="FFFFFF"/>
            <w:vAlign w:val="center"/>
            <w:hideMark/>
          </w:tcPr>
          <w:p w14:paraId="6AEF5D4B"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c>
          <w:tcPr>
            <w:tcW w:w="1133" w:type="dxa"/>
            <w:tcBorders>
              <w:top w:val="nil"/>
              <w:left w:val="nil"/>
              <w:bottom w:val="nil"/>
              <w:right w:val="nil"/>
            </w:tcBorders>
            <w:shd w:val="clear" w:color="000000" w:fill="FFFFFF"/>
            <w:vAlign w:val="center"/>
            <w:hideMark/>
          </w:tcPr>
          <w:p w14:paraId="7BDAE540"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0.06%</w:t>
            </w:r>
          </w:p>
        </w:tc>
        <w:tc>
          <w:tcPr>
            <w:tcW w:w="1124" w:type="dxa"/>
            <w:tcBorders>
              <w:top w:val="nil"/>
              <w:left w:val="nil"/>
              <w:bottom w:val="nil"/>
              <w:right w:val="nil"/>
            </w:tcBorders>
            <w:shd w:val="clear" w:color="000000" w:fill="FFFFFF"/>
            <w:vAlign w:val="center"/>
            <w:hideMark/>
          </w:tcPr>
          <w:p w14:paraId="1799D4BE"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0.06%</w:t>
            </w:r>
          </w:p>
        </w:tc>
      </w:tr>
      <w:tr w:rsidR="00F27A93" w:rsidRPr="00F27A93" w14:paraId="359D6FE6" w14:textId="77777777" w:rsidTr="00C27C5F">
        <w:trPr>
          <w:trHeight w:val="290"/>
          <w:jc w:val="center"/>
        </w:trPr>
        <w:tc>
          <w:tcPr>
            <w:tcW w:w="1213" w:type="dxa"/>
            <w:tcBorders>
              <w:top w:val="nil"/>
              <w:left w:val="nil"/>
              <w:bottom w:val="nil"/>
              <w:right w:val="single" w:sz="4" w:space="0" w:color="auto"/>
            </w:tcBorders>
            <w:shd w:val="clear" w:color="000000" w:fill="FFFFFF"/>
            <w:vAlign w:val="center"/>
            <w:hideMark/>
          </w:tcPr>
          <w:p w14:paraId="5E3B49E4"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agua</w:t>
            </w:r>
          </w:p>
        </w:tc>
        <w:tc>
          <w:tcPr>
            <w:tcW w:w="852" w:type="dxa"/>
            <w:tcBorders>
              <w:top w:val="nil"/>
              <w:left w:val="single" w:sz="4" w:space="0" w:color="auto"/>
              <w:bottom w:val="nil"/>
              <w:right w:val="nil"/>
            </w:tcBorders>
            <w:shd w:val="clear" w:color="000000" w:fill="FFFFFF"/>
            <w:vAlign w:val="center"/>
            <w:hideMark/>
          </w:tcPr>
          <w:p w14:paraId="238E9103"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1.05%</w:t>
            </w:r>
          </w:p>
        </w:tc>
        <w:tc>
          <w:tcPr>
            <w:tcW w:w="825" w:type="dxa"/>
            <w:tcBorders>
              <w:top w:val="nil"/>
              <w:left w:val="nil"/>
              <w:bottom w:val="nil"/>
              <w:right w:val="nil"/>
            </w:tcBorders>
            <w:shd w:val="clear" w:color="000000" w:fill="FFFFFF"/>
            <w:vAlign w:val="center"/>
            <w:hideMark/>
          </w:tcPr>
          <w:p w14:paraId="2F5DEA1F"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c>
          <w:tcPr>
            <w:tcW w:w="829" w:type="dxa"/>
            <w:tcBorders>
              <w:top w:val="nil"/>
              <w:left w:val="nil"/>
              <w:bottom w:val="nil"/>
              <w:right w:val="nil"/>
            </w:tcBorders>
            <w:shd w:val="clear" w:color="000000" w:fill="FFFFFF"/>
            <w:vAlign w:val="center"/>
            <w:hideMark/>
          </w:tcPr>
          <w:p w14:paraId="40EB6C6C"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c>
          <w:tcPr>
            <w:tcW w:w="825" w:type="dxa"/>
            <w:tcBorders>
              <w:top w:val="nil"/>
              <w:left w:val="nil"/>
              <w:bottom w:val="nil"/>
              <w:right w:val="nil"/>
            </w:tcBorders>
            <w:shd w:val="clear" w:color="000000" w:fill="FFFFFF"/>
            <w:vAlign w:val="center"/>
            <w:hideMark/>
          </w:tcPr>
          <w:p w14:paraId="22AB37D0"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c>
          <w:tcPr>
            <w:tcW w:w="879" w:type="dxa"/>
            <w:tcBorders>
              <w:top w:val="nil"/>
              <w:left w:val="nil"/>
              <w:bottom w:val="nil"/>
              <w:right w:val="nil"/>
            </w:tcBorders>
            <w:shd w:val="clear" w:color="000000" w:fill="FFFFFF"/>
            <w:vAlign w:val="center"/>
            <w:hideMark/>
          </w:tcPr>
          <w:p w14:paraId="1D88F278"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c>
          <w:tcPr>
            <w:tcW w:w="1133" w:type="dxa"/>
            <w:tcBorders>
              <w:top w:val="nil"/>
              <w:left w:val="nil"/>
              <w:bottom w:val="nil"/>
              <w:right w:val="nil"/>
            </w:tcBorders>
            <w:shd w:val="clear" w:color="000000" w:fill="FFFFFF"/>
            <w:vAlign w:val="center"/>
            <w:hideMark/>
          </w:tcPr>
          <w:p w14:paraId="29CA9925"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0.01%</w:t>
            </w:r>
          </w:p>
        </w:tc>
        <w:tc>
          <w:tcPr>
            <w:tcW w:w="1124" w:type="dxa"/>
            <w:tcBorders>
              <w:top w:val="nil"/>
              <w:left w:val="nil"/>
              <w:bottom w:val="nil"/>
              <w:right w:val="nil"/>
            </w:tcBorders>
            <w:shd w:val="clear" w:color="000000" w:fill="FFFFFF"/>
            <w:vAlign w:val="center"/>
            <w:hideMark/>
          </w:tcPr>
          <w:p w14:paraId="5C61F915"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r>
      <w:tr w:rsidR="00F27A93" w:rsidRPr="00F27A93" w14:paraId="64623291" w14:textId="77777777" w:rsidTr="00C27C5F">
        <w:trPr>
          <w:trHeight w:val="400"/>
          <w:jc w:val="center"/>
        </w:trPr>
        <w:tc>
          <w:tcPr>
            <w:tcW w:w="1213" w:type="dxa"/>
            <w:tcBorders>
              <w:top w:val="nil"/>
              <w:left w:val="nil"/>
              <w:bottom w:val="nil"/>
              <w:right w:val="single" w:sz="4" w:space="0" w:color="auto"/>
            </w:tcBorders>
            <w:shd w:val="clear" w:color="000000" w:fill="FFFFFF"/>
            <w:vAlign w:val="center"/>
            <w:hideMark/>
          </w:tcPr>
          <w:p w14:paraId="73DA9927"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Construcción</w:t>
            </w:r>
          </w:p>
        </w:tc>
        <w:tc>
          <w:tcPr>
            <w:tcW w:w="852" w:type="dxa"/>
            <w:tcBorders>
              <w:top w:val="nil"/>
              <w:left w:val="single" w:sz="4" w:space="0" w:color="auto"/>
              <w:bottom w:val="nil"/>
              <w:right w:val="nil"/>
            </w:tcBorders>
            <w:shd w:val="clear" w:color="000000" w:fill="FFFFFF"/>
            <w:vAlign w:val="center"/>
            <w:hideMark/>
          </w:tcPr>
          <w:p w14:paraId="24325BC4"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1.11%</w:t>
            </w:r>
          </w:p>
        </w:tc>
        <w:tc>
          <w:tcPr>
            <w:tcW w:w="825" w:type="dxa"/>
            <w:tcBorders>
              <w:top w:val="nil"/>
              <w:left w:val="nil"/>
              <w:bottom w:val="nil"/>
              <w:right w:val="nil"/>
            </w:tcBorders>
            <w:shd w:val="clear" w:color="000000" w:fill="FFFFFF"/>
            <w:vAlign w:val="center"/>
            <w:hideMark/>
          </w:tcPr>
          <w:p w14:paraId="3AF72593"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c>
          <w:tcPr>
            <w:tcW w:w="829" w:type="dxa"/>
            <w:tcBorders>
              <w:top w:val="nil"/>
              <w:left w:val="nil"/>
              <w:bottom w:val="nil"/>
              <w:right w:val="nil"/>
            </w:tcBorders>
            <w:shd w:val="clear" w:color="000000" w:fill="FFFFFF"/>
            <w:vAlign w:val="center"/>
            <w:hideMark/>
          </w:tcPr>
          <w:p w14:paraId="36695B29"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62.19%</w:t>
            </w:r>
          </w:p>
        </w:tc>
        <w:tc>
          <w:tcPr>
            <w:tcW w:w="825" w:type="dxa"/>
            <w:tcBorders>
              <w:top w:val="nil"/>
              <w:left w:val="nil"/>
              <w:bottom w:val="nil"/>
              <w:right w:val="nil"/>
            </w:tcBorders>
            <w:shd w:val="clear" w:color="000000" w:fill="FFFFFF"/>
            <w:vAlign w:val="center"/>
            <w:hideMark/>
          </w:tcPr>
          <w:p w14:paraId="02DAF6CF"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70.34%</w:t>
            </w:r>
          </w:p>
        </w:tc>
        <w:tc>
          <w:tcPr>
            <w:tcW w:w="879" w:type="dxa"/>
            <w:tcBorders>
              <w:top w:val="nil"/>
              <w:left w:val="nil"/>
              <w:bottom w:val="nil"/>
              <w:right w:val="nil"/>
            </w:tcBorders>
            <w:shd w:val="clear" w:color="000000" w:fill="FFFFFF"/>
            <w:vAlign w:val="center"/>
            <w:hideMark/>
          </w:tcPr>
          <w:p w14:paraId="253B1E8B"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c>
          <w:tcPr>
            <w:tcW w:w="1133" w:type="dxa"/>
            <w:tcBorders>
              <w:top w:val="nil"/>
              <w:left w:val="nil"/>
              <w:bottom w:val="nil"/>
              <w:right w:val="nil"/>
            </w:tcBorders>
            <w:shd w:val="clear" w:color="000000" w:fill="FFFFFF"/>
            <w:vAlign w:val="center"/>
            <w:hideMark/>
          </w:tcPr>
          <w:p w14:paraId="680F8EF1"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c>
          <w:tcPr>
            <w:tcW w:w="1124" w:type="dxa"/>
            <w:tcBorders>
              <w:top w:val="nil"/>
              <w:left w:val="nil"/>
              <w:bottom w:val="nil"/>
              <w:right w:val="nil"/>
            </w:tcBorders>
            <w:shd w:val="clear" w:color="000000" w:fill="FFFFFF"/>
            <w:vAlign w:val="center"/>
            <w:hideMark/>
          </w:tcPr>
          <w:p w14:paraId="37EB993B"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r>
      <w:tr w:rsidR="00F27A93" w:rsidRPr="00F27A93" w14:paraId="048723D4" w14:textId="77777777" w:rsidTr="00C27C5F">
        <w:trPr>
          <w:trHeight w:val="290"/>
          <w:jc w:val="center"/>
        </w:trPr>
        <w:tc>
          <w:tcPr>
            <w:tcW w:w="1213" w:type="dxa"/>
            <w:tcBorders>
              <w:top w:val="nil"/>
              <w:left w:val="nil"/>
              <w:bottom w:val="nil"/>
              <w:right w:val="single" w:sz="4" w:space="0" w:color="auto"/>
            </w:tcBorders>
            <w:shd w:val="clear" w:color="000000" w:fill="FFFFFF"/>
            <w:vAlign w:val="center"/>
            <w:hideMark/>
          </w:tcPr>
          <w:p w14:paraId="263ABF1E"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comercio</w:t>
            </w:r>
          </w:p>
        </w:tc>
        <w:tc>
          <w:tcPr>
            <w:tcW w:w="852" w:type="dxa"/>
            <w:tcBorders>
              <w:top w:val="nil"/>
              <w:left w:val="single" w:sz="4" w:space="0" w:color="auto"/>
              <w:bottom w:val="nil"/>
              <w:right w:val="nil"/>
            </w:tcBorders>
            <w:shd w:val="clear" w:color="000000" w:fill="FFFFFF"/>
            <w:vAlign w:val="center"/>
            <w:hideMark/>
          </w:tcPr>
          <w:p w14:paraId="36C29E97"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2.47%</w:t>
            </w:r>
          </w:p>
        </w:tc>
        <w:tc>
          <w:tcPr>
            <w:tcW w:w="825" w:type="dxa"/>
            <w:tcBorders>
              <w:top w:val="nil"/>
              <w:left w:val="nil"/>
              <w:bottom w:val="nil"/>
              <w:right w:val="nil"/>
            </w:tcBorders>
            <w:shd w:val="clear" w:color="000000" w:fill="FFFFFF"/>
            <w:vAlign w:val="center"/>
            <w:hideMark/>
          </w:tcPr>
          <w:p w14:paraId="634AE5A3"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c>
          <w:tcPr>
            <w:tcW w:w="829" w:type="dxa"/>
            <w:tcBorders>
              <w:top w:val="nil"/>
              <w:left w:val="nil"/>
              <w:bottom w:val="nil"/>
              <w:right w:val="nil"/>
            </w:tcBorders>
            <w:shd w:val="clear" w:color="000000" w:fill="FFFFFF"/>
            <w:vAlign w:val="center"/>
            <w:hideMark/>
          </w:tcPr>
          <w:p w14:paraId="4B5895CD"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c>
          <w:tcPr>
            <w:tcW w:w="825" w:type="dxa"/>
            <w:tcBorders>
              <w:top w:val="nil"/>
              <w:left w:val="nil"/>
              <w:bottom w:val="nil"/>
              <w:right w:val="nil"/>
            </w:tcBorders>
            <w:shd w:val="clear" w:color="000000" w:fill="FFFFFF"/>
            <w:vAlign w:val="center"/>
            <w:hideMark/>
          </w:tcPr>
          <w:p w14:paraId="2077AF6B"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c>
          <w:tcPr>
            <w:tcW w:w="879" w:type="dxa"/>
            <w:tcBorders>
              <w:top w:val="nil"/>
              <w:left w:val="nil"/>
              <w:bottom w:val="nil"/>
              <w:right w:val="nil"/>
            </w:tcBorders>
            <w:shd w:val="clear" w:color="000000" w:fill="FFFFFF"/>
            <w:vAlign w:val="center"/>
            <w:hideMark/>
          </w:tcPr>
          <w:p w14:paraId="2A915C76"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c>
          <w:tcPr>
            <w:tcW w:w="1133" w:type="dxa"/>
            <w:tcBorders>
              <w:top w:val="nil"/>
              <w:left w:val="nil"/>
              <w:bottom w:val="nil"/>
              <w:right w:val="nil"/>
            </w:tcBorders>
            <w:shd w:val="clear" w:color="000000" w:fill="FFFFFF"/>
            <w:vAlign w:val="center"/>
            <w:hideMark/>
          </w:tcPr>
          <w:p w14:paraId="2594E460"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0.01%</w:t>
            </w:r>
          </w:p>
        </w:tc>
        <w:tc>
          <w:tcPr>
            <w:tcW w:w="1124" w:type="dxa"/>
            <w:tcBorders>
              <w:top w:val="nil"/>
              <w:left w:val="nil"/>
              <w:bottom w:val="nil"/>
              <w:right w:val="nil"/>
            </w:tcBorders>
            <w:shd w:val="clear" w:color="000000" w:fill="FFFFFF"/>
            <w:vAlign w:val="center"/>
            <w:hideMark/>
          </w:tcPr>
          <w:p w14:paraId="5C09F19E"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r>
      <w:tr w:rsidR="00F27A93" w:rsidRPr="00F27A93" w14:paraId="1723DC97" w14:textId="77777777" w:rsidTr="00C27C5F">
        <w:trPr>
          <w:trHeight w:val="290"/>
          <w:jc w:val="center"/>
        </w:trPr>
        <w:tc>
          <w:tcPr>
            <w:tcW w:w="1213" w:type="dxa"/>
            <w:tcBorders>
              <w:top w:val="nil"/>
              <w:left w:val="nil"/>
              <w:bottom w:val="nil"/>
              <w:right w:val="single" w:sz="4" w:space="0" w:color="auto"/>
            </w:tcBorders>
            <w:shd w:val="clear" w:color="000000" w:fill="FFFFFF"/>
            <w:vAlign w:val="center"/>
            <w:hideMark/>
          </w:tcPr>
          <w:p w14:paraId="4F761EEE"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Transporte</w:t>
            </w:r>
          </w:p>
        </w:tc>
        <w:tc>
          <w:tcPr>
            <w:tcW w:w="852" w:type="dxa"/>
            <w:tcBorders>
              <w:top w:val="nil"/>
              <w:left w:val="single" w:sz="4" w:space="0" w:color="auto"/>
              <w:bottom w:val="nil"/>
              <w:right w:val="nil"/>
            </w:tcBorders>
            <w:shd w:val="clear" w:color="000000" w:fill="FFFFFF"/>
            <w:vAlign w:val="center"/>
            <w:hideMark/>
          </w:tcPr>
          <w:p w14:paraId="018D8308"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9.53%</w:t>
            </w:r>
          </w:p>
        </w:tc>
        <w:tc>
          <w:tcPr>
            <w:tcW w:w="825" w:type="dxa"/>
            <w:tcBorders>
              <w:top w:val="nil"/>
              <w:left w:val="nil"/>
              <w:bottom w:val="nil"/>
              <w:right w:val="nil"/>
            </w:tcBorders>
            <w:shd w:val="clear" w:color="000000" w:fill="FFFFFF"/>
            <w:vAlign w:val="center"/>
            <w:hideMark/>
          </w:tcPr>
          <w:p w14:paraId="2CE872F8"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c>
          <w:tcPr>
            <w:tcW w:w="829" w:type="dxa"/>
            <w:tcBorders>
              <w:top w:val="nil"/>
              <w:left w:val="nil"/>
              <w:bottom w:val="nil"/>
              <w:right w:val="nil"/>
            </w:tcBorders>
            <w:shd w:val="clear" w:color="000000" w:fill="FFFFFF"/>
            <w:vAlign w:val="center"/>
            <w:hideMark/>
          </w:tcPr>
          <w:p w14:paraId="6C8F5C40"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c>
          <w:tcPr>
            <w:tcW w:w="825" w:type="dxa"/>
            <w:tcBorders>
              <w:top w:val="nil"/>
              <w:left w:val="nil"/>
              <w:bottom w:val="nil"/>
              <w:right w:val="nil"/>
            </w:tcBorders>
            <w:shd w:val="clear" w:color="000000" w:fill="FFFFFF"/>
            <w:vAlign w:val="center"/>
            <w:hideMark/>
          </w:tcPr>
          <w:p w14:paraId="52D2E585"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c>
          <w:tcPr>
            <w:tcW w:w="879" w:type="dxa"/>
            <w:tcBorders>
              <w:top w:val="nil"/>
              <w:left w:val="nil"/>
              <w:bottom w:val="nil"/>
              <w:right w:val="nil"/>
            </w:tcBorders>
            <w:shd w:val="clear" w:color="000000" w:fill="FFFFFF"/>
            <w:vAlign w:val="center"/>
            <w:hideMark/>
          </w:tcPr>
          <w:p w14:paraId="7FBBEE83"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0.09%</w:t>
            </w:r>
          </w:p>
        </w:tc>
        <w:tc>
          <w:tcPr>
            <w:tcW w:w="1133" w:type="dxa"/>
            <w:tcBorders>
              <w:top w:val="nil"/>
              <w:left w:val="nil"/>
              <w:bottom w:val="nil"/>
              <w:right w:val="nil"/>
            </w:tcBorders>
            <w:shd w:val="clear" w:color="000000" w:fill="FFFFFF"/>
            <w:vAlign w:val="center"/>
            <w:hideMark/>
          </w:tcPr>
          <w:p w14:paraId="67BA1791"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5.30%</w:t>
            </w:r>
          </w:p>
        </w:tc>
        <w:tc>
          <w:tcPr>
            <w:tcW w:w="1124" w:type="dxa"/>
            <w:tcBorders>
              <w:top w:val="nil"/>
              <w:left w:val="nil"/>
              <w:bottom w:val="nil"/>
              <w:right w:val="nil"/>
            </w:tcBorders>
            <w:shd w:val="clear" w:color="000000" w:fill="FFFFFF"/>
            <w:vAlign w:val="center"/>
            <w:hideMark/>
          </w:tcPr>
          <w:p w14:paraId="6926F8CE"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1.95%</w:t>
            </w:r>
          </w:p>
        </w:tc>
      </w:tr>
      <w:tr w:rsidR="00F27A93" w:rsidRPr="00F27A93" w14:paraId="7BB80E63" w14:textId="77777777" w:rsidTr="00C27C5F">
        <w:trPr>
          <w:trHeight w:val="400"/>
          <w:jc w:val="center"/>
        </w:trPr>
        <w:tc>
          <w:tcPr>
            <w:tcW w:w="1213" w:type="dxa"/>
            <w:tcBorders>
              <w:top w:val="nil"/>
              <w:left w:val="nil"/>
              <w:bottom w:val="nil"/>
              <w:right w:val="single" w:sz="4" w:space="0" w:color="auto"/>
            </w:tcBorders>
            <w:shd w:val="clear" w:color="000000" w:fill="FFFFFF"/>
            <w:vAlign w:val="center"/>
            <w:hideMark/>
          </w:tcPr>
          <w:p w14:paraId="55D259F5"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Hoteles y restaurantes</w:t>
            </w:r>
          </w:p>
        </w:tc>
        <w:tc>
          <w:tcPr>
            <w:tcW w:w="852" w:type="dxa"/>
            <w:tcBorders>
              <w:top w:val="nil"/>
              <w:left w:val="single" w:sz="4" w:space="0" w:color="auto"/>
              <w:bottom w:val="nil"/>
              <w:right w:val="nil"/>
            </w:tcBorders>
            <w:shd w:val="clear" w:color="000000" w:fill="FFFFFF"/>
            <w:vAlign w:val="center"/>
            <w:hideMark/>
          </w:tcPr>
          <w:p w14:paraId="01D1E253"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12.12%</w:t>
            </w:r>
          </w:p>
        </w:tc>
        <w:tc>
          <w:tcPr>
            <w:tcW w:w="825" w:type="dxa"/>
            <w:tcBorders>
              <w:top w:val="nil"/>
              <w:left w:val="nil"/>
              <w:bottom w:val="nil"/>
              <w:right w:val="nil"/>
            </w:tcBorders>
            <w:shd w:val="clear" w:color="000000" w:fill="FFFFFF"/>
            <w:vAlign w:val="center"/>
            <w:hideMark/>
          </w:tcPr>
          <w:p w14:paraId="6BE44737"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c>
          <w:tcPr>
            <w:tcW w:w="829" w:type="dxa"/>
            <w:tcBorders>
              <w:top w:val="nil"/>
              <w:left w:val="nil"/>
              <w:bottom w:val="nil"/>
              <w:right w:val="nil"/>
            </w:tcBorders>
            <w:shd w:val="clear" w:color="000000" w:fill="FFFFFF"/>
            <w:vAlign w:val="center"/>
            <w:hideMark/>
          </w:tcPr>
          <w:p w14:paraId="2F8D0A9C"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c>
          <w:tcPr>
            <w:tcW w:w="825" w:type="dxa"/>
            <w:tcBorders>
              <w:top w:val="nil"/>
              <w:left w:val="nil"/>
              <w:bottom w:val="nil"/>
              <w:right w:val="nil"/>
            </w:tcBorders>
            <w:shd w:val="clear" w:color="000000" w:fill="FFFFFF"/>
            <w:vAlign w:val="center"/>
            <w:hideMark/>
          </w:tcPr>
          <w:p w14:paraId="50DCD65E"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c>
          <w:tcPr>
            <w:tcW w:w="879" w:type="dxa"/>
            <w:tcBorders>
              <w:top w:val="nil"/>
              <w:left w:val="nil"/>
              <w:bottom w:val="nil"/>
              <w:right w:val="nil"/>
            </w:tcBorders>
            <w:shd w:val="clear" w:color="000000" w:fill="FFFFFF"/>
            <w:vAlign w:val="center"/>
            <w:hideMark/>
          </w:tcPr>
          <w:p w14:paraId="4318A9DE"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1.19%</w:t>
            </w:r>
          </w:p>
        </w:tc>
        <w:tc>
          <w:tcPr>
            <w:tcW w:w="1133" w:type="dxa"/>
            <w:tcBorders>
              <w:top w:val="nil"/>
              <w:left w:val="nil"/>
              <w:bottom w:val="nil"/>
              <w:right w:val="nil"/>
            </w:tcBorders>
            <w:shd w:val="clear" w:color="000000" w:fill="FFFFFF"/>
            <w:vAlign w:val="center"/>
            <w:hideMark/>
          </w:tcPr>
          <w:p w14:paraId="24397BB2"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9.29%</w:t>
            </w:r>
          </w:p>
        </w:tc>
        <w:tc>
          <w:tcPr>
            <w:tcW w:w="1124" w:type="dxa"/>
            <w:tcBorders>
              <w:top w:val="nil"/>
              <w:left w:val="nil"/>
              <w:bottom w:val="nil"/>
              <w:right w:val="nil"/>
            </w:tcBorders>
            <w:shd w:val="clear" w:color="000000" w:fill="FFFFFF"/>
            <w:vAlign w:val="center"/>
            <w:hideMark/>
          </w:tcPr>
          <w:p w14:paraId="4C4B3188"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1.72%</w:t>
            </w:r>
          </w:p>
        </w:tc>
      </w:tr>
      <w:tr w:rsidR="00F27A93" w:rsidRPr="00F27A93" w14:paraId="693C426B" w14:textId="77777777" w:rsidTr="00C27C5F">
        <w:trPr>
          <w:trHeight w:val="400"/>
          <w:jc w:val="center"/>
        </w:trPr>
        <w:tc>
          <w:tcPr>
            <w:tcW w:w="1213" w:type="dxa"/>
            <w:tcBorders>
              <w:top w:val="nil"/>
              <w:left w:val="nil"/>
              <w:bottom w:val="nil"/>
              <w:right w:val="single" w:sz="4" w:space="0" w:color="auto"/>
            </w:tcBorders>
            <w:shd w:val="clear" w:color="000000" w:fill="FFFFFF"/>
            <w:vAlign w:val="center"/>
            <w:hideMark/>
          </w:tcPr>
          <w:p w14:paraId="5F0CDFF4"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Comunicaciones</w:t>
            </w:r>
          </w:p>
        </w:tc>
        <w:tc>
          <w:tcPr>
            <w:tcW w:w="852" w:type="dxa"/>
            <w:tcBorders>
              <w:top w:val="nil"/>
              <w:left w:val="single" w:sz="4" w:space="0" w:color="auto"/>
              <w:bottom w:val="nil"/>
              <w:right w:val="nil"/>
            </w:tcBorders>
            <w:shd w:val="clear" w:color="000000" w:fill="FFFFFF"/>
            <w:vAlign w:val="center"/>
            <w:hideMark/>
          </w:tcPr>
          <w:p w14:paraId="0BF87460"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6.20%</w:t>
            </w:r>
          </w:p>
        </w:tc>
        <w:tc>
          <w:tcPr>
            <w:tcW w:w="825" w:type="dxa"/>
            <w:tcBorders>
              <w:top w:val="nil"/>
              <w:left w:val="nil"/>
              <w:bottom w:val="nil"/>
              <w:right w:val="nil"/>
            </w:tcBorders>
            <w:shd w:val="clear" w:color="000000" w:fill="FFFFFF"/>
            <w:vAlign w:val="center"/>
            <w:hideMark/>
          </w:tcPr>
          <w:p w14:paraId="55954D75"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c>
          <w:tcPr>
            <w:tcW w:w="829" w:type="dxa"/>
            <w:tcBorders>
              <w:top w:val="nil"/>
              <w:left w:val="nil"/>
              <w:bottom w:val="nil"/>
              <w:right w:val="nil"/>
            </w:tcBorders>
            <w:shd w:val="clear" w:color="000000" w:fill="FFFFFF"/>
            <w:vAlign w:val="center"/>
            <w:hideMark/>
          </w:tcPr>
          <w:p w14:paraId="5BC95F63"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0.46%</w:t>
            </w:r>
          </w:p>
        </w:tc>
        <w:tc>
          <w:tcPr>
            <w:tcW w:w="825" w:type="dxa"/>
            <w:tcBorders>
              <w:top w:val="nil"/>
              <w:left w:val="nil"/>
              <w:bottom w:val="nil"/>
              <w:right w:val="nil"/>
            </w:tcBorders>
            <w:shd w:val="clear" w:color="000000" w:fill="FFFFFF"/>
            <w:vAlign w:val="center"/>
            <w:hideMark/>
          </w:tcPr>
          <w:p w14:paraId="575D49A8"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0.02%</w:t>
            </w:r>
          </w:p>
        </w:tc>
        <w:tc>
          <w:tcPr>
            <w:tcW w:w="879" w:type="dxa"/>
            <w:tcBorders>
              <w:top w:val="nil"/>
              <w:left w:val="nil"/>
              <w:bottom w:val="nil"/>
              <w:right w:val="nil"/>
            </w:tcBorders>
            <w:shd w:val="clear" w:color="000000" w:fill="FFFFFF"/>
            <w:vAlign w:val="center"/>
            <w:hideMark/>
          </w:tcPr>
          <w:p w14:paraId="30DF9311"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c>
          <w:tcPr>
            <w:tcW w:w="1133" w:type="dxa"/>
            <w:tcBorders>
              <w:top w:val="nil"/>
              <w:left w:val="nil"/>
              <w:bottom w:val="nil"/>
              <w:right w:val="nil"/>
            </w:tcBorders>
            <w:shd w:val="clear" w:color="000000" w:fill="FFFFFF"/>
            <w:vAlign w:val="center"/>
            <w:hideMark/>
          </w:tcPr>
          <w:p w14:paraId="0C19AF46"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0.31%</w:t>
            </w:r>
          </w:p>
        </w:tc>
        <w:tc>
          <w:tcPr>
            <w:tcW w:w="1124" w:type="dxa"/>
            <w:tcBorders>
              <w:top w:val="nil"/>
              <w:left w:val="nil"/>
              <w:bottom w:val="nil"/>
              <w:right w:val="nil"/>
            </w:tcBorders>
            <w:shd w:val="clear" w:color="000000" w:fill="FFFFFF"/>
            <w:vAlign w:val="center"/>
            <w:hideMark/>
          </w:tcPr>
          <w:p w14:paraId="5065B777"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0.31%</w:t>
            </w:r>
          </w:p>
        </w:tc>
      </w:tr>
      <w:tr w:rsidR="00F27A93" w:rsidRPr="00F27A93" w14:paraId="2DCA25FA" w14:textId="77777777" w:rsidTr="00C27C5F">
        <w:trPr>
          <w:trHeight w:val="600"/>
          <w:jc w:val="center"/>
        </w:trPr>
        <w:tc>
          <w:tcPr>
            <w:tcW w:w="1213" w:type="dxa"/>
            <w:tcBorders>
              <w:top w:val="nil"/>
              <w:left w:val="nil"/>
              <w:bottom w:val="nil"/>
              <w:right w:val="single" w:sz="4" w:space="0" w:color="auto"/>
            </w:tcBorders>
            <w:shd w:val="clear" w:color="000000" w:fill="FFFFFF"/>
            <w:vAlign w:val="center"/>
            <w:hideMark/>
          </w:tcPr>
          <w:p w14:paraId="47CCFC2E"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Servicios profesionales</w:t>
            </w:r>
          </w:p>
        </w:tc>
        <w:tc>
          <w:tcPr>
            <w:tcW w:w="852" w:type="dxa"/>
            <w:tcBorders>
              <w:top w:val="nil"/>
              <w:left w:val="single" w:sz="4" w:space="0" w:color="auto"/>
              <w:bottom w:val="nil"/>
              <w:right w:val="nil"/>
            </w:tcBorders>
            <w:shd w:val="clear" w:color="000000" w:fill="FFFFFF"/>
            <w:vAlign w:val="center"/>
            <w:hideMark/>
          </w:tcPr>
          <w:p w14:paraId="1DF34D79"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0.70%</w:t>
            </w:r>
          </w:p>
        </w:tc>
        <w:tc>
          <w:tcPr>
            <w:tcW w:w="825" w:type="dxa"/>
            <w:tcBorders>
              <w:top w:val="nil"/>
              <w:left w:val="nil"/>
              <w:bottom w:val="nil"/>
              <w:right w:val="nil"/>
            </w:tcBorders>
            <w:shd w:val="clear" w:color="000000" w:fill="FFFFFF"/>
            <w:vAlign w:val="center"/>
            <w:hideMark/>
          </w:tcPr>
          <w:p w14:paraId="19EFEFDA"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4.87%</w:t>
            </w:r>
          </w:p>
        </w:tc>
        <w:tc>
          <w:tcPr>
            <w:tcW w:w="829" w:type="dxa"/>
            <w:tcBorders>
              <w:top w:val="nil"/>
              <w:left w:val="nil"/>
              <w:bottom w:val="nil"/>
              <w:right w:val="nil"/>
            </w:tcBorders>
            <w:shd w:val="clear" w:color="000000" w:fill="FFFFFF"/>
            <w:vAlign w:val="center"/>
            <w:hideMark/>
          </w:tcPr>
          <w:p w14:paraId="24D15052"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2.19%</w:t>
            </w:r>
          </w:p>
        </w:tc>
        <w:tc>
          <w:tcPr>
            <w:tcW w:w="825" w:type="dxa"/>
            <w:tcBorders>
              <w:top w:val="nil"/>
              <w:left w:val="nil"/>
              <w:bottom w:val="nil"/>
              <w:right w:val="nil"/>
            </w:tcBorders>
            <w:shd w:val="clear" w:color="000000" w:fill="FFFFFF"/>
            <w:vAlign w:val="center"/>
            <w:hideMark/>
          </w:tcPr>
          <w:p w14:paraId="0D031044"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6.12%</w:t>
            </w:r>
          </w:p>
        </w:tc>
        <w:tc>
          <w:tcPr>
            <w:tcW w:w="879" w:type="dxa"/>
            <w:tcBorders>
              <w:top w:val="nil"/>
              <w:left w:val="nil"/>
              <w:bottom w:val="nil"/>
              <w:right w:val="nil"/>
            </w:tcBorders>
            <w:shd w:val="clear" w:color="000000" w:fill="FFFFFF"/>
            <w:vAlign w:val="center"/>
            <w:hideMark/>
          </w:tcPr>
          <w:p w14:paraId="4993B634"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c>
          <w:tcPr>
            <w:tcW w:w="1133" w:type="dxa"/>
            <w:tcBorders>
              <w:top w:val="nil"/>
              <w:left w:val="nil"/>
              <w:bottom w:val="nil"/>
              <w:right w:val="nil"/>
            </w:tcBorders>
            <w:shd w:val="clear" w:color="000000" w:fill="FFFFFF"/>
            <w:vAlign w:val="center"/>
            <w:hideMark/>
          </w:tcPr>
          <w:p w14:paraId="42C1B6E4"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9.93%</w:t>
            </w:r>
          </w:p>
        </w:tc>
        <w:tc>
          <w:tcPr>
            <w:tcW w:w="1124" w:type="dxa"/>
            <w:tcBorders>
              <w:top w:val="nil"/>
              <w:left w:val="nil"/>
              <w:bottom w:val="nil"/>
              <w:right w:val="nil"/>
            </w:tcBorders>
            <w:shd w:val="clear" w:color="000000" w:fill="FFFFFF"/>
            <w:vAlign w:val="center"/>
            <w:hideMark/>
          </w:tcPr>
          <w:p w14:paraId="1C92260B"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0.89%</w:t>
            </w:r>
          </w:p>
        </w:tc>
      </w:tr>
      <w:tr w:rsidR="00F27A93" w:rsidRPr="00F27A93" w14:paraId="020A7941" w14:textId="77777777" w:rsidTr="00C27C5F">
        <w:trPr>
          <w:trHeight w:val="290"/>
          <w:jc w:val="center"/>
        </w:trPr>
        <w:tc>
          <w:tcPr>
            <w:tcW w:w="1213" w:type="dxa"/>
            <w:tcBorders>
              <w:top w:val="nil"/>
              <w:left w:val="nil"/>
              <w:bottom w:val="nil"/>
              <w:right w:val="single" w:sz="4" w:space="0" w:color="auto"/>
            </w:tcBorders>
            <w:shd w:val="clear" w:color="000000" w:fill="FFFFFF"/>
            <w:vAlign w:val="center"/>
            <w:hideMark/>
          </w:tcPr>
          <w:p w14:paraId="3F1FA137"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Financieros</w:t>
            </w:r>
          </w:p>
        </w:tc>
        <w:tc>
          <w:tcPr>
            <w:tcW w:w="852" w:type="dxa"/>
            <w:tcBorders>
              <w:top w:val="nil"/>
              <w:left w:val="single" w:sz="4" w:space="0" w:color="auto"/>
              <w:bottom w:val="nil"/>
              <w:right w:val="nil"/>
            </w:tcBorders>
            <w:shd w:val="clear" w:color="000000" w:fill="FFFFFF"/>
            <w:vAlign w:val="center"/>
            <w:hideMark/>
          </w:tcPr>
          <w:p w14:paraId="3B789A11"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9.09%</w:t>
            </w:r>
          </w:p>
        </w:tc>
        <w:tc>
          <w:tcPr>
            <w:tcW w:w="825" w:type="dxa"/>
            <w:tcBorders>
              <w:top w:val="nil"/>
              <w:left w:val="nil"/>
              <w:bottom w:val="nil"/>
              <w:right w:val="nil"/>
            </w:tcBorders>
            <w:shd w:val="clear" w:color="000000" w:fill="FFFFFF"/>
            <w:vAlign w:val="center"/>
            <w:hideMark/>
          </w:tcPr>
          <w:p w14:paraId="1CBB44E9"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0.82%</w:t>
            </w:r>
          </w:p>
        </w:tc>
        <w:tc>
          <w:tcPr>
            <w:tcW w:w="829" w:type="dxa"/>
            <w:tcBorders>
              <w:top w:val="nil"/>
              <w:left w:val="nil"/>
              <w:bottom w:val="nil"/>
              <w:right w:val="nil"/>
            </w:tcBorders>
            <w:shd w:val="clear" w:color="000000" w:fill="FFFFFF"/>
            <w:vAlign w:val="center"/>
            <w:hideMark/>
          </w:tcPr>
          <w:p w14:paraId="574F641A"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c>
          <w:tcPr>
            <w:tcW w:w="825" w:type="dxa"/>
            <w:tcBorders>
              <w:top w:val="nil"/>
              <w:left w:val="nil"/>
              <w:bottom w:val="nil"/>
              <w:right w:val="nil"/>
            </w:tcBorders>
            <w:shd w:val="clear" w:color="000000" w:fill="FFFFFF"/>
            <w:vAlign w:val="center"/>
            <w:hideMark/>
          </w:tcPr>
          <w:p w14:paraId="1BC021E6"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c>
          <w:tcPr>
            <w:tcW w:w="879" w:type="dxa"/>
            <w:tcBorders>
              <w:top w:val="nil"/>
              <w:left w:val="nil"/>
              <w:bottom w:val="nil"/>
              <w:right w:val="nil"/>
            </w:tcBorders>
            <w:shd w:val="clear" w:color="000000" w:fill="FFFFFF"/>
            <w:vAlign w:val="center"/>
            <w:hideMark/>
          </w:tcPr>
          <w:p w14:paraId="34E12FF9"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0.78%</w:t>
            </w:r>
          </w:p>
        </w:tc>
        <w:tc>
          <w:tcPr>
            <w:tcW w:w="1133" w:type="dxa"/>
            <w:tcBorders>
              <w:top w:val="nil"/>
              <w:left w:val="nil"/>
              <w:bottom w:val="nil"/>
              <w:right w:val="nil"/>
            </w:tcBorders>
            <w:shd w:val="clear" w:color="000000" w:fill="FFFFFF"/>
            <w:vAlign w:val="center"/>
            <w:hideMark/>
          </w:tcPr>
          <w:p w14:paraId="3DFA3EDF"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0.27%</w:t>
            </w:r>
          </w:p>
        </w:tc>
        <w:tc>
          <w:tcPr>
            <w:tcW w:w="1124" w:type="dxa"/>
            <w:tcBorders>
              <w:top w:val="nil"/>
              <w:left w:val="nil"/>
              <w:bottom w:val="nil"/>
              <w:right w:val="nil"/>
            </w:tcBorders>
            <w:shd w:val="clear" w:color="000000" w:fill="FFFFFF"/>
            <w:vAlign w:val="center"/>
            <w:hideMark/>
          </w:tcPr>
          <w:p w14:paraId="444ABB91"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1.08%</w:t>
            </w:r>
          </w:p>
        </w:tc>
      </w:tr>
      <w:tr w:rsidR="00F27A93" w:rsidRPr="00F27A93" w14:paraId="0244EE7F" w14:textId="77777777" w:rsidTr="00C27C5F">
        <w:trPr>
          <w:trHeight w:val="400"/>
          <w:jc w:val="center"/>
        </w:trPr>
        <w:tc>
          <w:tcPr>
            <w:tcW w:w="1213" w:type="dxa"/>
            <w:tcBorders>
              <w:top w:val="nil"/>
              <w:left w:val="nil"/>
              <w:bottom w:val="nil"/>
              <w:right w:val="single" w:sz="4" w:space="0" w:color="auto"/>
            </w:tcBorders>
            <w:shd w:val="clear" w:color="000000" w:fill="FFFFFF"/>
            <w:vAlign w:val="center"/>
            <w:hideMark/>
          </w:tcPr>
          <w:p w14:paraId="66DA6257"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Administración pública</w:t>
            </w:r>
          </w:p>
        </w:tc>
        <w:tc>
          <w:tcPr>
            <w:tcW w:w="852" w:type="dxa"/>
            <w:tcBorders>
              <w:top w:val="nil"/>
              <w:left w:val="single" w:sz="4" w:space="0" w:color="auto"/>
              <w:bottom w:val="nil"/>
              <w:right w:val="nil"/>
            </w:tcBorders>
            <w:shd w:val="clear" w:color="000000" w:fill="FFFFFF"/>
            <w:vAlign w:val="center"/>
            <w:hideMark/>
          </w:tcPr>
          <w:p w14:paraId="62FB987E"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0.04%</w:t>
            </w:r>
          </w:p>
        </w:tc>
        <w:tc>
          <w:tcPr>
            <w:tcW w:w="825" w:type="dxa"/>
            <w:tcBorders>
              <w:top w:val="nil"/>
              <w:left w:val="nil"/>
              <w:bottom w:val="nil"/>
              <w:right w:val="nil"/>
            </w:tcBorders>
            <w:shd w:val="clear" w:color="000000" w:fill="FFFFFF"/>
            <w:vAlign w:val="center"/>
            <w:hideMark/>
          </w:tcPr>
          <w:p w14:paraId="69161866"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c>
          <w:tcPr>
            <w:tcW w:w="829" w:type="dxa"/>
            <w:tcBorders>
              <w:top w:val="nil"/>
              <w:left w:val="nil"/>
              <w:bottom w:val="nil"/>
              <w:right w:val="nil"/>
            </w:tcBorders>
            <w:shd w:val="clear" w:color="000000" w:fill="FFFFFF"/>
            <w:vAlign w:val="center"/>
            <w:hideMark/>
          </w:tcPr>
          <w:p w14:paraId="0FB30036"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c>
          <w:tcPr>
            <w:tcW w:w="825" w:type="dxa"/>
            <w:tcBorders>
              <w:top w:val="nil"/>
              <w:left w:val="nil"/>
              <w:bottom w:val="nil"/>
              <w:right w:val="nil"/>
            </w:tcBorders>
            <w:shd w:val="clear" w:color="000000" w:fill="FFFFFF"/>
            <w:vAlign w:val="center"/>
            <w:hideMark/>
          </w:tcPr>
          <w:p w14:paraId="611BD475"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c>
          <w:tcPr>
            <w:tcW w:w="879" w:type="dxa"/>
            <w:tcBorders>
              <w:top w:val="nil"/>
              <w:left w:val="nil"/>
              <w:bottom w:val="nil"/>
              <w:right w:val="nil"/>
            </w:tcBorders>
            <w:shd w:val="clear" w:color="000000" w:fill="FFFFFF"/>
            <w:vAlign w:val="center"/>
            <w:hideMark/>
          </w:tcPr>
          <w:p w14:paraId="03B2793B"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17.54%</w:t>
            </w:r>
          </w:p>
        </w:tc>
        <w:tc>
          <w:tcPr>
            <w:tcW w:w="1133" w:type="dxa"/>
            <w:tcBorders>
              <w:top w:val="nil"/>
              <w:left w:val="nil"/>
              <w:bottom w:val="nil"/>
              <w:right w:val="nil"/>
            </w:tcBorders>
            <w:shd w:val="clear" w:color="000000" w:fill="FFFFFF"/>
            <w:vAlign w:val="center"/>
            <w:hideMark/>
          </w:tcPr>
          <w:p w14:paraId="70E16F0C"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c>
          <w:tcPr>
            <w:tcW w:w="1124" w:type="dxa"/>
            <w:tcBorders>
              <w:top w:val="nil"/>
              <w:left w:val="nil"/>
              <w:bottom w:val="nil"/>
              <w:right w:val="nil"/>
            </w:tcBorders>
            <w:shd w:val="clear" w:color="000000" w:fill="FFFFFF"/>
            <w:vAlign w:val="center"/>
            <w:hideMark/>
          </w:tcPr>
          <w:p w14:paraId="136E1C6B"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r>
      <w:tr w:rsidR="00F27A93" w:rsidRPr="00F27A93" w14:paraId="59958E89" w14:textId="77777777" w:rsidTr="00C27C5F">
        <w:trPr>
          <w:trHeight w:val="290"/>
          <w:jc w:val="center"/>
        </w:trPr>
        <w:tc>
          <w:tcPr>
            <w:tcW w:w="1213" w:type="dxa"/>
            <w:tcBorders>
              <w:top w:val="nil"/>
              <w:left w:val="nil"/>
              <w:bottom w:val="nil"/>
              <w:right w:val="single" w:sz="4" w:space="0" w:color="auto"/>
            </w:tcBorders>
            <w:shd w:val="clear" w:color="000000" w:fill="FFFFFF"/>
            <w:vAlign w:val="center"/>
            <w:hideMark/>
          </w:tcPr>
          <w:p w14:paraId="297E2567" w14:textId="77777777" w:rsidR="00F27A93" w:rsidRPr="00F27A93" w:rsidRDefault="00F27A93" w:rsidP="00C139E7">
            <w:pPr>
              <w:spacing w:after="0" w:line="240" w:lineRule="auto"/>
              <w:jc w:val="right"/>
              <w:rPr>
                <w:rFonts w:cs="Arial"/>
                <w:color w:val="000000"/>
                <w:sz w:val="16"/>
                <w:szCs w:val="16"/>
                <w:lang w:val="en-US"/>
              </w:rPr>
            </w:pPr>
            <w:r w:rsidRPr="00F27A93">
              <w:rPr>
                <w:rFonts w:cs="Arial"/>
                <w:color w:val="000000"/>
                <w:sz w:val="16"/>
                <w:szCs w:val="16"/>
              </w:rPr>
              <w:t>Educación</w:t>
            </w:r>
          </w:p>
        </w:tc>
        <w:tc>
          <w:tcPr>
            <w:tcW w:w="852" w:type="dxa"/>
            <w:tcBorders>
              <w:top w:val="nil"/>
              <w:left w:val="single" w:sz="4" w:space="0" w:color="auto"/>
              <w:bottom w:val="nil"/>
              <w:right w:val="nil"/>
            </w:tcBorders>
            <w:shd w:val="clear" w:color="000000" w:fill="FFFFFF"/>
            <w:vAlign w:val="center"/>
            <w:hideMark/>
          </w:tcPr>
          <w:p w14:paraId="676D9ACA"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6.70%</w:t>
            </w:r>
          </w:p>
        </w:tc>
        <w:tc>
          <w:tcPr>
            <w:tcW w:w="825" w:type="dxa"/>
            <w:tcBorders>
              <w:top w:val="nil"/>
              <w:left w:val="nil"/>
              <w:bottom w:val="nil"/>
              <w:right w:val="nil"/>
            </w:tcBorders>
            <w:shd w:val="clear" w:color="000000" w:fill="FFFFFF"/>
            <w:vAlign w:val="center"/>
            <w:hideMark/>
          </w:tcPr>
          <w:p w14:paraId="72D814F7"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10.94%</w:t>
            </w:r>
          </w:p>
        </w:tc>
        <w:tc>
          <w:tcPr>
            <w:tcW w:w="829" w:type="dxa"/>
            <w:tcBorders>
              <w:top w:val="nil"/>
              <w:left w:val="nil"/>
              <w:bottom w:val="nil"/>
              <w:right w:val="nil"/>
            </w:tcBorders>
            <w:shd w:val="clear" w:color="000000" w:fill="FFFFFF"/>
            <w:vAlign w:val="center"/>
            <w:hideMark/>
          </w:tcPr>
          <w:p w14:paraId="66A942E9"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c>
          <w:tcPr>
            <w:tcW w:w="825" w:type="dxa"/>
            <w:tcBorders>
              <w:top w:val="nil"/>
              <w:left w:val="nil"/>
              <w:bottom w:val="nil"/>
              <w:right w:val="nil"/>
            </w:tcBorders>
            <w:shd w:val="clear" w:color="000000" w:fill="FFFFFF"/>
            <w:vAlign w:val="center"/>
            <w:hideMark/>
          </w:tcPr>
          <w:p w14:paraId="0678D62A"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c>
          <w:tcPr>
            <w:tcW w:w="879" w:type="dxa"/>
            <w:tcBorders>
              <w:top w:val="nil"/>
              <w:left w:val="nil"/>
              <w:bottom w:val="nil"/>
              <w:right w:val="nil"/>
            </w:tcBorders>
            <w:shd w:val="clear" w:color="000000" w:fill="FFFFFF"/>
            <w:vAlign w:val="center"/>
            <w:hideMark/>
          </w:tcPr>
          <w:p w14:paraId="64BCC3DA"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33.12%</w:t>
            </w:r>
          </w:p>
        </w:tc>
        <w:tc>
          <w:tcPr>
            <w:tcW w:w="1133" w:type="dxa"/>
            <w:tcBorders>
              <w:top w:val="nil"/>
              <w:left w:val="nil"/>
              <w:bottom w:val="nil"/>
              <w:right w:val="nil"/>
            </w:tcBorders>
            <w:shd w:val="clear" w:color="000000" w:fill="FFFFFF"/>
            <w:vAlign w:val="center"/>
            <w:hideMark/>
          </w:tcPr>
          <w:p w14:paraId="38B25DAF"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0.39%</w:t>
            </w:r>
          </w:p>
        </w:tc>
        <w:tc>
          <w:tcPr>
            <w:tcW w:w="1124" w:type="dxa"/>
            <w:tcBorders>
              <w:top w:val="nil"/>
              <w:left w:val="nil"/>
              <w:bottom w:val="nil"/>
              <w:right w:val="nil"/>
            </w:tcBorders>
            <w:shd w:val="clear" w:color="000000" w:fill="FFFFFF"/>
            <w:vAlign w:val="center"/>
            <w:hideMark/>
          </w:tcPr>
          <w:p w14:paraId="2DC0D419"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r>
      <w:tr w:rsidR="00F27A93" w:rsidRPr="00F27A93" w14:paraId="45E92286" w14:textId="77777777" w:rsidTr="00C27C5F">
        <w:trPr>
          <w:trHeight w:val="290"/>
          <w:jc w:val="center"/>
        </w:trPr>
        <w:tc>
          <w:tcPr>
            <w:tcW w:w="1213" w:type="dxa"/>
            <w:tcBorders>
              <w:top w:val="nil"/>
              <w:left w:val="nil"/>
              <w:bottom w:val="nil"/>
              <w:right w:val="single" w:sz="4" w:space="0" w:color="auto"/>
            </w:tcBorders>
            <w:shd w:val="clear" w:color="000000" w:fill="FFFFFF"/>
            <w:vAlign w:val="center"/>
            <w:hideMark/>
          </w:tcPr>
          <w:p w14:paraId="5989F43C"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Salud</w:t>
            </w:r>
          </w:p>
        </w:tc>
        <w:tc>
          <w:tcPr>
            <w:tcW w:w="852" w:type="dxa"/>
            <w:tcBorders>
              <w:top w:val="nil"/>
              <w:left w:val="single" w:sz="4" w:space="0" w:color="auto"/>
              <w:bottom w:val="nil"/>
              <w:right w:val="nil"/>
            </w:tcBorders>
            <w:shd w:val="clear" w:color="000000" w:fill="FFFFFF"/>
            <w:vAlign w:val="center"/>
            <w:hideMark/>
          </w:tcPr>
          <w:p w14:paraId="1C6B932A"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6.58%</w:t>
            </w:r>
          </w:p>
        </w:tc>
        <w:tc>
          <w:tcPr>
            <w:tcW w:w="825" w:type="dxa"/>
            <w:tcBorders>
              <w:top w:val="nil"/>
              <w:left w:val="nil"/>
              <w:bottom w:val="nil"/>
              <w:right w:val="nil"/>
            </w:tcBorders>
            <w:shd w:val="clear" w:color="000000" w:fill="FFFFFF"/>
            <w:vAlign w:val="center"/>
            <w:hideMark/>
          </w:tcPr>
          <w:p w14:paraId="65F98547"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35.91%</w:t>
            </w:r>
          </w:p>
        </w:tc>
        <w:tc>
          <w:tcPr>
            <w:tcW w:w="829" w:type="dxa"/>
            <w:tcBorders>
              <w:top w:val="nil"/>
              <w:left w:val="nil"/>
              <w:bottom w:val="nil"/>
              <w:right w:val="nil"/>
            </w:tcBorders>
            <w:shd w:val="clear" w:color="000000" w:fill="FFFFFF"/>
            <w:vAlign w:val="center"/>
            <w:hideMark/>
          </w:tcPr>
          <w:p w14:paraId="307AD886"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c>
          <w:tcPr>
            <w:tcW w:w="825" w:type="dxa"/>
            <w:tcBorders>
              <w:top w:val="nil"/>
              <w:left w:val="nil"/>
              <w:bottom w:val="nil"/>
              <w:right w:val="nil"/>
            </w:tcBorders>
            <w:shd w:val="clear" w:color="000000" w:fill="FFFFFF"/>
            <w:vAlign w:val="center"/>
            <w:hideMark/>
          </w:tcPr>
          <w:p w14:paraId="73D15D73"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c>
          <w:tcPr>
            <w:tcW w:w="879" w:type="dxa"/>
            <w:tcBorders>
              <w:top w:val="nil"/>
              <w:left w:val="nil"/>
              <w:bottom w:val="nil"/>
              <w:right w:val="nil"/>
            </w:tcBorders>
            <w:shd w:val="clear" w:color="000000" w:fill="FFFFFF"/>
            <w:vAlign w:val="center"/>
            <w:hideMark/>
          </w:tcPr>
          <w:p w14:paraId="41FAFDA3"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30.13%</w:t>
            </w:r>
          </w:p>
        </w:tc>
        <w:tc>
          <w:tcPr>
            <w:tcW w:w="1133" w:type="dxa"/>
            <w:tcBorders>
              <w:top w:val="nil"/>
              <w:left w:val="nil"/>
              <w:bottom w:val="nil"/>
              <w:right w:val="nil"/>
            </w:tcBorders>
            <w:shd w:val="clear" w:color="000000" w:fill="FFFFFF"/>
            <w:vAlign w:val="center"/>
            <w:hideMark/>
          </w:tcPr>
          <w:p w14:paraId="54E12F9A"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0.92%</w:t>
            </w:r>
          </w:p>
        </w:tc>
        <w:tc>
          <w:tcPr>
            <w:tcW w:w="1124" w:type="dxa"/>
            <w:tcBorders>
              <w:top w:val="nil"/>
              <w:left w:val="nil"/>
              <w:bottom w:val="nil"/>
              <w:right w:val="nil"/>
            </w:tcBorders>
            <w:shd w:val="clear" w:color="000000" w:fill="FFFFFF"/>
            <w:vAlign w:val="center"/>
            <w:hideMark/>
          </w:tcPr>
          <w:p w14:paraId="5DEC1B88"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r>
      <w:tr w:rsidR="00F27A93" w:rsidRPr="00F27A93" w14:paraId="38218779" w14:textId="77777777" w:rsidTr="00C27C5F">
        <w:trPr>
          <w:trHeight w:val="300"/>
          <w:jc w:val="center"/>
        </w:trPr>
        <w:tc>
          <w:tcPr>
            <w:tcW w:w="1213" w:type="dxa"/>
            <w:tcBorders>
              <w:top w:val="nil"/>
              <w:left w:val="nil"/>
              <w:bottom w:val="single" w:sz="8" w:space="0" w:color="000000"/>
              <w:right w:val="single" w:sz="4" w:space="0" w:color="auto"/>
            </w:tcBorders>
            <w:shd w:val="clear" w:color="000000" w:fill="FFFFFF"/>
            <w:vAlign w:val="center"/>
            <w:hideMark/>
          </w:tcPr>
          <w:p w14:paraId="1BDE3AA9"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Domésticos</w:t>
            </w:r>
          </w:p>
        </w:tc>
        <w:tc>
          <w:tcPr>
            <w:tcW w:w="852" w:type="dxa"/>
            <w:tcBorders>
              <w:top w:val="nil"/>
              <w:left w:val="single" w:sz="4" w:space="0" w:color="auto"/>
              <w:bottom w:val="single" w:sz="8" w:space="0" w:color="000000"/>
              <w:right w:val="nil"/>
            </w:tcBorders>
            <w:shd w:val="clear" w:color="000000" w:fill="FFFFFF"/>
            <w:vAlign w:val="center"/>
            <w:hideMark/>
          </w:tcPr>
          <w:p w14:paraId="377D1FEA"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3.62%</w:t>
            </w:r>
          </w:p>
        </w:tc>
        <w:tc>
          <w:tcPr>
            <w:tcW w:w="825" w:type="dxa"/>
            <w:tcBorders>
              <w:top w:val="nil"/>
              <w:left w:val="nil"/>
              <w:bottom w:val="single" w:sz="8" w:space="0" w:color="000000"/>
              <w:right w:val="nil"/>
            </w:tcBorders>
            <w:shd w:val="clear" w:color="000000" w:fill="FFFFFF"/>
            <w:vAlign w:val="center"/>
            <w:hideMark/>
          </w:tcPr>
          <w:p w14:paraId="563E2887"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c>
          <w:tcPr>
            <w:tcW w:w="829" w:type="dxa"/>
            <w:tcBorders>
              <w:top w:val="nil"/>
              <w:left w:val="nil"/>
              <w:bottom w:val="single" w:sz="8" w:space="0" w:color="000000"/>
              <w:right w:val="nil"/>
            </w:tcBorders>
            <w:shd w:val="clear" w:color="000000" w:fill="FFFFFF"/>
            <w:vAlign w:val="center"/>
            <w:hideMark/>
          </w:tcPr>
          <w:p w14:paraId="29A598B0"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c>
          <w:tcPr>
            <w:tcW w:w="825" w:type="dxa"/>
            <w:tcBorders>
              <w:top w:val="nil"/>
              <w:left w:val="nil"/>
              <w:bottom w:val="single" w:sz="8" w:space="0" w:color="000000"/>
              <w:right w:val="nil"/>
            </w:tcBorders>
            <w:shd w:val="clear" w:color="000000" w:fill="FFFFFF"/>
            <w:vAlign w:val="center"/>
            <w:hideMark/>
          </w:tcPr>
          <w:p w14:paraId="50DF6304"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c>
          <w:tcPr>
            <w:tcW w:w="879" w:type="dxa"/>
            <w:tcBorders>
              <w:top w:val="nil"/>
              <w:left w:val="nil"/>
              <w:bottom w:val="single" w:sz="8" w:space="0" w:color="000000"/>
              <w:right w:val="nil"/>
            </w:tcBorders>
            <w:shd w:val="clear" w:color="000000" w:fill="FFFFFF"/>
            <w:vAlign w:val="center"/>
            <w:hideMark/>
          </w:tcPr>
          <w:p w14:paraId="24E66A72"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c>
          <w:tcPr>
            <w:tcW w:w="1133" w:type="dxa"/>
            <w:tcBorders>
              <w:top w:val="nil"/>
              <w:left w:val="nil"/>
              <w:bottom w:val="single" w:sz="8" w:space="0" w:color="000000"/>
              <w:right w:val="nil"/>
            </w:tcBorders>
            <w:shd w:val="clear" w:color="000000" w:fill="FFFFFF"/>
            <w:vAlign w:val="center"/>
            <w:hideMark/>
          </w:tcPr>
          <w:p w14:paraId="368E50A9"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c>
          <w:tcPr>
            <w:tcW w:w="1124" w:type="dxa"/>
            <w:tcBorders>
              <w:top w:val="nil"/>
              <w:left w:val="nil"/>
              <w:bottom w:val="single" w:sz="8" w:space="0" w:color="000000"/>
              <w:right w:val="nil"/>
            </w:tcBorders>
            <w:shd w:val="clear" w:color="000000" w:fill="FFFFFF"/>
            <w:vAlign w:val="center"/>
            <w:hideMark/>
          </w:tcPr>
          <w:p w14:paraId="0CB9348C" w14:textId="77777777" w:rsidR="00F27A93" w:rsidRPr="00F27A93" w:rsidRDefault="00F27A93" w:rsidP="00C139E7">
            <w:pPr>
              <w:spacing w:after="0" w:line="240" w:lineRule="auto"/>
              <w:jc w:val="right"/>
              <w:rPr>
                <w:rFonts w:cs="Arial"/>
                <w:color w:val="000000"/>
                <w:sz w:val="16"/>
                <w:szCs w:val="16"/>
                <w:lang w:val="en-US"/>
              </w:rPr>
            </w:pPr>
            <w:r w:rsidRPr="00F27A93">
              <w:rPr>
                <w:color w:val="000000"/>
                <w:sz w:val="16"/>
                <w:szCs w:val="16"/>
              </w:rPr>
              <w:t>0.00%</w:t>
            </w:r>
          </w:p>
        </w:tc>
      </w:tr>
    </w:tbl>
    <w:p w14:paraId="12EADAB5" w14:textId="41AC1E53" w:rsidR="006C0015" w:rsidRPr="00512418" w:rsidRDefault="00D02485" w:rsidP="00C139E7">
      <w:pPr>
        <w:spacing w:line="240" w:lineRule="auto"/>
        <w:rPr>
          <w:rFonts w:cs="Arial"/>
          <w:sz w:val="20"/>
          <w:szCs w:val="20"/>
        </w:rPr>
      </w:pPr>
      <w:r w:rsidRPr="00512418">
        <w:rPr>
          <w:rFonts w:cs="Arial"/>
          <w:sz w:val="18"/>
          <w:szCs w:val="20"/>
        </w:rPr>
        <w:t xml:space="preserve">Fuente: </w:t>
      </w:r>
      <w:r w:rsidR="00A948DC">
        <w:rPr>
          <w:rFonts w:cs="Arial"/>
          <w:sz w:val="18"/>
          <w:szCs w:val="20"/>
        </w:rPr>
        <w:t>e</w:t>
      </w:r>
      <w:r w:rsidRPr="00512418">
        <w:rPr>
          <w:rFonts w:cs="Arial"/>
          <w:sz w:val="18"/>
          <w:szCs w:val="20"/>
        </w:rPr>
        <w:t xml:space="preserve">laboración propia. </w:t>
      </w:r>
    </w:p>
    <w:p w14:paraId="0D9C3BA2" w14:textId="03603809" w:rsidR="001025E0" w:rsidRDefault="00910719" w:rsidP="00C139E7">
      <w:pPr>
        <w:pStyle w:val="NormalWeb"/>
        <w:jc w:val="both"/>
        <w:rPr>
          <w:rFonts w:eastAsiaTheme="minorHAnsi" w:cs="Arial"/>
          <w:lang w:val="es-CR"/>
        </w:rPr>
      </w:pPr>
      <w:r w:rsidRPr="00910719">
        <w:rPr>
          <w:rFonts w:eastAsiaTheme="minorHAnsi" w:cs="Arial"/>
          <w:lang w:val="es-CR"/>
        </w:rPr>
        <w:t>Por el lado de los ingresos, los hogares tienen dist</w:t>
      </w:r>
      <w:r w:rsidR="00B055DE">
        <w:rPr>
          <w:rFonts w:eastAsiaTheme="minorHAnsi" w:cs="Arial"/>
          <w:lang w:val="es-CR"/>
        </w:rPr>
        <w:t>i</w:t>
      </w:r>
      <w:r w:rsidRPr="00910719">
        <w:rPr>
          <w:rFonts w:eastAsiaTheme="minorHAnsi" w:cs="Arial"/>
          <w:lang w:val="es-CR"/>
        </w:rPr>
        <w:t>n</w:t>
      </w:r>
      <w:r w:rsidR="00B055DE">
        <w:rPr>
          <w:rFonts w:eastAsiaTheme="minorHAnsi" w:cs="Arial"/>
          <w:lang w:val="es-CR"/>
        </w:rPr>
        <w:t>tas</w:t>
      </w:r>
      <w:r w:rsidRPr="00910719">
        <w:rPr>
          <w:rFonts w:eastAsiaTheme="minorHAnsi" w:cs="Arial"/>
          <w:lang w:val="es-CR"/>
        </w:rPr>
        <w:t xml:space="preserve"> fuentes de recursos, los cuales se agregaron por ingresos de trabajo asalariado y no asalariado, capital, empresas, tierra, transferencias internacionales y del gobierno, además se incluye las contribuciones sociales a los trabajadores, las cuales también recauda el gobierno y se encarga de realizar la transferencia como servicios de salud y pensiones.</w:t>
      </w:r>
      <w:r w:rsidR="0058363D">
        <w:rPr>
          <w:rFonts w:eastAsiaTheme="minorHAnsi" w:cs="Arial"/>
          <w:lang w:val="es-CR"/>
        </w:rPr>
        <w:t xml:space="preserve"> </w:t>
      </w:r>
      <w:r w:rsidR="00377184">
        <w:rPr>
          <w:rFonts w:eastAsiaTheme="minorHAnsi" w:cs="Arial"/>
          <w:lang w:val="es-CR"/>
        </w:rPr>
        <w:t xml:space="preserve">Con el objetivo de analizar los hogares con </w:t>
      </w:r>
      <w:proofErr w:type="gramStart"/>
      <w:r w:rsidR="00377184">
        <w:rPr>
          <w:rFonts w:eastAsiaTheme="minorHAnsi" w:cs="Arial"/>
          <w:lang w:val="es-CR"/>
        </w:rPr>
        <w:t>mayor detalles</w:t>
      </w:r>
      <w:proofErr w:type="gramEnd"/>
      <w:r w:rsidR="00377184">
        <w:rPr>
          <w:rFonts w:eastAsiaTheme="minorHAnsi" w:cs="Arial"/>
          <w:lang w:val="es-CR"/>
        </w:rPr>
        <w:t>, se propone expandir la matriz en deciles, el procedim</w:t>
      </w:r>
      <w:r w:rsidR="00857A27">
        <w:rPr>
          <w:rFonts w:eastAsiaTheme="minorHAnsi" w:cs="Arial"/>
          <w:lang w:val="es-CR"/>
        </w:rPr>
        <w:t>iento de desagregación</w:t>
      </w:r>
      <w:r w:rsidR="00CF774F">
        <w:rPr>
          <w:rFonts w:eastAsiaTheme="minorHAnsi" w:cs="Arial"/>
          <w:lang w:val="es-CR"/>
        </w:rPr>
        <w:t xml:space="preserve"> se muestra en el </w:t>
      </w:r>
      <w:r w:rsidR="00CF774F">
        <w:rPr>
          <w:rFonts w:eastAsiaTheme="minorHAnsi" w:cs="Arial"/>
          <w:lang w:val="es-CR"/>
        </w:rPr>
        <w:fldChar w:fldCharType="begin"/>
      </w:r>
      <w:r w:rsidR="00CF774F">
        <w:rPr>
          <w:rFonts w:eastAsiaTheme="minorHAnsi" w:cs="Arial"/>
          <w:lang w:val="es-CR"/>
        </w:rPr>
        <w:instrText xml:space="preserve"> REF _Ref527137343 \h </w:instrText>
      </w:r>
      <w:r w:rsidR="00CF774F">
        <w:rPr>
          <w:rFonts w:eastAsiaTheme="minorHAnsi" w:cs="Arial"/>
          <w:lang w:val="es-CR"/>
        </w:rPr>
      </w:r>
      <w:r w:rsidR="00CF774F">
        <w:rPr>
          <w:rFonts w:eastAsiaTheme="minorHAnsi" w:cs="Arial"/>
          <w:lang w:val="es-CR"/>
        </w:rPr>
        <w:fldChar w:fldCharType="separate"/>
      </w:r>
      <w:r w:rsidR="00A95E32" w:rsidRPr="0013634F">
        <w:rPr>
          <w:lang w:val="es-CR"/>
        </w:rPr>
        <w:t xml:space="preserve">Anexo </w:t>
      </w:r>
      <w:r w:rsidR="00A95E32" w:rsidRPr="0013634F">
        <w:rPr>
          <w:noProof/>
          <w:lang w:val="es-CR"/>
        </w:rPr>
        <w:t>A</w:t>
      </w:r>
      <w:r w:rsidR="00CF774F">
        <w:rPr>
          <w:rFonts w:eastAsiaTheme="minorHAnsi" w:cs="Arial"/>
          <w:lang w:val="es-CR"/>
        </w:rPr>
        <w:fldChar w:fldCharType="end"/>
      </w:r>
      <w:r w:rsidR="00CF774F">
        <w:rPr>
          <w:rFonts w:eastAsiaTheme="minorHAnsi" w:cs="Arial"/>
          <w:lang w:val="es-CR"/>
        </w:rPr>
        <w:t>.</w:t>
      </w:r>
      <w:r w:rsidRPr="00910719">
        <w:rPr>
          <w:rFonts w:eastAsiaTheme="minorHAnsi" w:cs="Arial"/>
          <w:lang w:val="es-CR"/>
        </w:rPr>
        <w:t xml:space="preserve"> </w:t>
      </w:r>
    </w:p>
    <w:p w14:paraId="26EA2A39" w14:textId="2ADA0F86" w:rsidR="00BB17E2" w:rsidRDefault="00910719" w:rsidP="00C139E7">
      <w:pPr>
        <w:pStyle w:val="NormalWeb"/>
        <w:jc w:val="both"/>
        <w:rPr>
          <w:rFonts w:eastAsiaTheme="minorHAnsi" w:cs="Arial"/>
          <w:lang w:val="es-CR"/>
        </w:rPr>
      </w:pPr>
      <w:r w:rsidRPr="00910719">
        <w:rPr>
          <w:rFonts w:eastAsiaTheme="minorHAnsi" w:cs="Arial"/>
          <w:lang w:val="es-CR"/>
        </w:rPr>
        <w:t xml:space="preserve">Los ingresos de los hogares </w:t>
      </w:r>
      <w:r w:rsidR="00B055DE">
        <w:rPr>
          <w:rFonts w:eastAsiaTheme="minorHAnsi" w:cs="Arial"/>
          <w:lang w:val="es-CR"/>
        </w:rPr>
        <w:t>de los deciles superiores</w:t>
      </w:r>
      <w:r w:rsidRPr="00910719">
        <w:rPr>
          <w:rFonts w:eastAsiaTheme="minorHAnsi" w:cs="Arial"/>
          <w:lang w:val="es-CR"/>
        </w:rPr>
        <w:t xml:space="preserve"> </w:t>
      </w:r>
      <w:r w:rsidR="00B055DE">
        <w:rPr>
          <w:rFonts w:eastAsiaTheme="minorHAnsi" w:cs="Arial"/>
          <w:lang w:val="es-CR"/>
        </w:rPr>
        <w:t>tienen</w:t>
      </w:r>
      <w:r w:rsidR="006951CC">
        <w:rPr>
          <w:rFonts w:eastAsiaTheme="minorHAnsi" w:cs="Arial"/>
          <w:lang w:val="es-CR"/>
        </w:rPr>
        <w:t xml:space="preserve"> un</w:t>
      </w:r>
      <w:r w:rsidR="00B055DE">
        <w:rPr>
          <w:rFonts w:eastAsiaTheme="minorHAnsi" w:cs="Arial"/>
          <w:lang w:val="es-CR"/>
        </w:rPr>
        <w:t xml:space="preserve"> </w:t>
      </w:r>
      <w:r w:rsidR="00B055DE" w:rsidRPr="00910719">
        <w:rPr>
          <w:rFonts w:eastAsiaTheme="minorHAnsi" w:cs="Arial"/>
          <w:lang w:val="es-CR"/>
        </w:rPr>
        <w:t>mayor</w:t>
      </w:r>
      <w:r w:rsidR="006951CC">
        <w:rPr>
          <w:rFonts w:eastAsiaTheme="minorHAnsi" w:cs="Arial"/>
          <w:lang w:val="es-CR"/>
        </w:rPr>
        <w:t xml:space="preserve"> componente de</w:t>
      </w:r>
      <w:r w:rsidR="00B055DE">
        <w:rPr>
          <w:rFonts w:eastAsiaTheme="minorHAnsi" w:cs="Arial"/>
          <w:lang w:val="es-CR"/>
        </w:rPr>
        <w:t xml:space="preserve"> </w:t>
      </w:r>
      <w:r w:rsidR="00B055DE" w:rsidRPr="00910719">
        <w:rPr>
          <w:rFonts w:eastAsiaTheme="minorHAnsi" w:cs="Arial"/>
          <w:lang w:val="es-CR"/>
        </w:rPr>
        <w:t>trabajo</w:t>
      </w:r>
      <w:r w:rsidRPr="00910719">
        <w:rPr>
          <w:rFonts w:eastAsiaTheme="minorHAnsi" w:cs="Arial"/>
          <w:lang w:val="es-CR"/>
        </w:rPr>
        <w:t xml:space="preserve"> asalariado </w:t>
      </w:r>
      <w:r w:rsidR="00B055DE">
        <w:rPr>
          <w:rFonts w:eastAsiaTheme="minorHAnsi" w:cs="Arial"/>
          <w:lang w:val="es-CR"/>
        </w:rPr>
        <w:t>y un</w:t>
      </w:r>
      <w:r w:rsidR="006951CC">
        <w:rPr>
          <w:rFonts w:eastAsiaTheme="minorHAnsi" w:cs="Arial"/>
          <w:lang w:val="es-CR"/>
        </w:rPr>
        <w:t xml:space="preserve">a participación </w:t>
      </w:r>
      <w:r w:rsidR="00B055DE">
        <w:rPr>
          <w:rFonts w:eastAsiaTheme="minorHAnsi" w:cs="Arial"/>
          <w:lang w:val="es-CR"/>
        </w:rPr>
        <w:t>relevante de empresas</w:t>
      </w:r>
      <w:r w:rsidRPr="00910719">
        <w:rPr>
          <w:rFonts w:eastAsiaTheme="minorHAnsi" w:cs="Arial"/>
          <w:lang w:val="es-CR"/>
        </w:rPr>
        <w:t xml:space="preserve">, </w:t>
      </w:r>
      <w:r w:rsidR="00B32B30">
        <w:rPr>
          <w:rFonts w:eastAsiaTheme="minorHAnsi" w:cs="Arial"/>
          <w:lang w:val="es-CR"/>
        </w:rPr>
        <w:t xml:space="preserve">por otro lado, </w:t>
      </w:r>
      <w:r w:rsidRPr="00910719">
        <w:rPr>
          <w:rFonts w:eastAsiaTheme="minorHAnsi" w:cs="Arial"/>
          <w:lang w:val="es-CR"/>
        </w:rPr>
        <w:t xml:space="preserve">el empleo no asalariado tiene mayor importancia en los </w:t>
      </w:r>
      <w:r w:rsidR="00B055DE">
        <w:rPr>
          <w:rFonts w:eastAsiaTheme="minorHAnsi" w:cs="Arial"/>
          <w:lang w:val="es-CR"/>
        </w:rPr>
        <w:t>deciles inferiores</w:t>
      </w:r>
      <w:r w:rsidRPr="00910719">
        <w:rPr>
          <w:rFonts w:eastAsiaTheme="minorHAnsi" w:cs="Arial"/>
          <w:lang w:val="es-CR"/>
        </w:rPr>
        <w:t xml:space="preserve">, </w:t>
      </w:r>
      <w:r w:rsidR="00B055DE">
        <w:rPr>
          <w:rFonts w:eastAsiaTheme="minorHAnsi" w:cs="Arial"/>
          <w:lang w:val="es-CR"/>
        </w:rPr>
        <w:t xml:space="preserve">de igual manera sucede con </w:t>
      </w:r>
      <w:r w:rsidR="00B32B30">
        <w:rPr>
          <w:rFonts w:eastAsiaTheme="minorHAnsi" w:cs="Arial"/>
          <w:lang w:val="es-CR"/>
        </w:rPr>
        <w:t>las transferencias</w:t>
      </w:r>
      <w:r w:rsidR="00B055DE">
        <w:rPr>
          <w:rFonts w:eastAsiaTheme="minorHAnsi" w:cs="Arial"/>
          <w:lang w:val="es-CR"/>
        </w:rPr>
        <w:t xml:space="preserve"> del gobierno</w:t>
      </w:r>
      <w:r w:rsidR="00B32B30">
        <w:rPr>
          <w:rFonts w:eastAsiaTheme="minorHAnsi" w:cs="Arial"/>
          <w:lang w:val="es-CR"/>
        </w:rPr>
        <w:t xml:space="preserve"> donde en </w:t>
      </w:r>
      <w:r w:rsidR="00B055DE">
        <w:rPr>
          <w:rFonts w:eastAsiaTheme="minorHAnsi" w:cs="Arial"/>
          <w:lang w:val="es-CR"/>
        </w:rPr>
        <w:t>el decil 1,</w:t>
      </w:r>
      <w:r w:rsidR="00B32B30">
        <w:rPr>
          <w:rFonts w:eastAsiaTheme="minorHAnsi" w:cs="Arial"/>
          <w:lang w:val="es-CR"/>
        </w:rPr>
        <w:t xml:space="preserve"> </w:t>
      </w:r>
      <w:r w:rsidR="00B055DE">
        <w:rPr>
          <w:rFonts w:eastAsiaTheme="minorHAnsi" w:cs="Arial"/>
          <w:lang w:val="es-CR"/>
        </w:rPr>
        <w:t>estas</w:t>
      </w:r>
      <w:r w:rsidR="00B32B30">
        <w:rPr>
          <w:rFonts w:eastAsiaTheme="minorHAnsi" w:cs="Arial"/>
          <w:lang w:val="es-CR"/>
        </w:rPr>
        <w:t xml:space="preserve"> </w:t>
      </w:r>
      <w:r w:rsidR="00B055DE">
        <w:rPr>
          <w:rFonts w:eastAsiaTheme="minorHAnsi" w:cs="Arial"/>
          <w:lang w:val="es-CR"/>
        </w:rPr>
        <w:t>representan 60%</w:t>
      </w:r>
      <w:r w:rsidR="00625C0E">
        <w:rPr>
          <w:rFonts w:eastAsiaTheme="minorHAnsi" w:cs="Arial"/>
          <w:lang w:val="es-CR"/>
        </w:rPr>
        <w:t>, esto se muestra en la</w:t>
      </w:r>
      <w:r w:rsidR="00614260">
        <w:rPr>
          <w:rFonts w:eastAsiaTheme="minorHAnsi" w:cs="Arial"/>
          <w:lang w:val="es-CR"/>
        </w:rPr>
        <w:t xml:space="preserve"> </w:t>
      </w:r>
      <w:r w:rsidR="00614260">
        <w:rPr>
          <w:rFonts w:eastAsiaTheme="minorHAnsi" w:cs="Arial"/>
          <w:lang w:val="es-CR"/>
        </w:rPr>
        <w:fldChar w:fldCharType="begin"/>
      </w:r>
      <w:r w:rsidR="00614260" w:rsidRPr="00313A59">
        <w:rPr>
          <w:rFonts w:eastAsiaTheme="minorHAnsi" w:cs="Arial"/>
          <w:lang w:val="es-CR"/>
        </w:rPr>
        <w:instrText xml:space="preserve"> REF _Ref525025109 \h \* lower </w:instrText>
      </w:r>
      <w:r w:rsidR="00614260">
        <w:rPr>
          <w:rFonts w:eastAsiaTheme="minorHAnsi" w:cs="Arial"/>
          <w:lang w:val="es-CR"/>
        </w:rPr>
      </w:r>
      <w:r w:rsidR="00614260">
        <w:rPr>
          <w:rFonts w:eastAsiaTheme="minorHAnsi" w:cs="Arial"/>
          <w:lang w:val="es-CR"/>
        </w:rPr>
        <w:fldChar w:fldCharType="separate"/>
      </w:r>
      <w:r w:rsidR="00A95E32" w:rsidRPr="0013634F">
        <w:rPr>
          <w:lang w:val="es-CR"/>
        </w:rPr>
        <w:t xml:space="preserve">figura </w:t>
      </w:r>
      <w:r w:rsidR="00A95E32" w:rsidRPr="0013634F">
        <w:rPr>
          <w:noProof/>
          <w:lang w:val="es-CR"/>
        </w:rPr>
        <w:t>10</w:t>
      </w:r>
      <w:r w:rsidR="00614260">
        <w:rPr>
          <w:rFonts w:eastAsiaTheme="minorHAnsi" w:cs="Arial"/>
          <w:lang w:val="es-CR"/>
        </w:rPr>
        <w:fldChar w:fldCharType="end"/>
      </w:r>
      <w:r w:rsidR="00B055DE">
        <w:rPr>
          <w:rFonts w:eastAsiaTheme="minorHAnsi" w:cs="Arial"/>
          <w:lang w:val="es-CR"/>
        </w:rPr>
        <w:t>.</w:t>
      </w:r>
      <w:r w:rsidR="006951CC">
        <w:rPr>
          <w:rFonts w:eastAsiaTheme="minorHAnsi" w:cs="Arial"/>
          <w:lang w:val="es-CR"/>
        </w:rPr>
        <w:t xml:space="preserve"> Las transferencias del resto del mundo son mayores para los hogares de menor ingreso y el capital es factor</w:t>
      </w:r>
      <w:r w:rsidR="001025E0">
        <w:rPr>
          <w:rFonts w:eastAsiaTheme="minorHAnsi" w:cs="Arial"/>
          <w:lang w:val="es-CR"/>
        </w:rPr>
        <w:t xml:space="preserve"> cercano 8% en todos los hogares</w:t>
      </w:r>
    </w:p>
    <w:p w14:paraId="269FE9C6" w14:textId="4924E5AA" w:rsidR="00C162B1" w:rsidRDefault="00C162B1" w:rsidP="00C139E7">
      <w:pPr>
        <w:pStyle w:val="NormalWeb"/>
        <w:jc w:val="both"/>
        <w:rPr>
          <w:rFonts w:eastAsiaTheme="minorHAnsi" w:cs="Arial"/>
          <w:lang w:val="es-CR"/>
        </w:rPr>
      </w:pPr>
    </w:p>
    <w:p w14:paraId="29573C60" w14:textId="538C3F6C" w:rsidR="00614260" w:rsidRDefault="00614260" w:rsidP="00614260">
      <w:pPr>
        <w:pStyle w:val="Caption"/>
        <w:rPr>
          <w:rFonts w:eastAsiaTheme="minorHAnsi" w:cs="Arial"/>
        </w:rPr>
      </w:pPr>
      <w:bookmarkStart w:id="164" w:name="_Ref525025109"/>
      <w:bookmarkStart w:id="165" w:name="_Toc2853727"/>
      <w:r>
        <w:lastRenderedPageBreak/>
        <w:t xml:space="preserve">Figura </w:t>
      </w:r>
      <w:r w:rsidR="00F700CF">
        <w:rPr>
          <w:noProof/>
        </w:rPr>
        <w:fldChar w:fldCharType="begin"/>
      </w:r>
      <w:r w:rsidR="00F700CF">
        <w:rPr>
          <w:noProof/>
        </w:rPr>
        <w:instrText xml:space="preserve"> SEQ Figura \* ARABIC </w:instrText>
      </w:r>
      <w:r w:rsidR="00F700CF">
        <w:rPr>
          <w:noProof/>
        </w:rPr>
        <w:fldChar w:fldCharType="separate"/>
      </w:r>
      <w:r w:rsidR="00A95E32">
        <w:rPr>
          <w:noProof/>
        </w:rPr>
        <w:t>10</w:t>
      </w:r>
      <w:r w:rsidR="00F700CF">
        <w:rPr>
          <w:noProof/>
        </w:rPr>
        <w:fldChar w:fldCharType="end"/>
      </w:r>
      <w:bookmarkEnd w:id="164"/>
      <w:r>
        <w:t xml:space="preserve"> </w:t>
      </w:r>
      <w:r>
        <w:br/>
      </w:r>
      <w:r w:rsidRPr="00B31AD3">
        <w:t>Composición del ingreso de los hogares</w:t>
      </w:r>
      <w:r w:rsidR="000B5520">
        <w:t>, año 2012</w:t>
      </w:r>
      <w:bookmarkEnd w:id="165"/>
    </w:p>
    <w:p w14:paraId="37979FF3" w14:textId="77777777" w:rsidR="00C02C19" w:rsidRDefault="00D87928" w:rsidP="00C02C19">
      <w:pPr>
        <w:pStyle w:val="NormalWeb"/>
        <w:jc w:val="center"/>
        <w:rPr>
          <w:rFonts w:cs="Arial"/>
          <w:sz w:val="18"/>
          <w:szCs w:val="20"/>
          <w:lang w:val="es-CR"/>
        </w:rPr>
      </w:pPr>
      <w:r>
        <w:rPr>
          <w:noProof/>
        </w:rPr>
        <w:drawing>
          <wp:inline distT="0" distB="0" distL="0" distR="0" wp14:anchorId="4D6379AA" wp14:editId="49245FAF">
            <wp:extent cx="5721350" cy="3328035"/>
            <wp:effectExtent l="0" t="0" r="0" b="5715"/>
            <wp:docPr id="7" name="Chart 7">
              <a:extLst xmlns:a="http://schemas.openxmlformats.org/drawingml/2006/main">
                <a:ext uri="{FF2B5EF4-FFF2-40B4-BE49-F238E27FC236}">
                  <a16:creationId xmlns:a16="http://schemas.microsoft.com/office/drawing/2014/main" id="{9CF1E015-D9BF-4D6A-AFA7-54BF556459D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57"/>
              </a:graphicData>
            </a:graphic>
          </wp:inline>
        </w:drawing>
      </w:r>
    </w:p>
    <w:p w14:paraId="12EE2B78" w14:textId="4C60C5F8" w:rsidR="00E010E5" w:rsidRDefault="00B14D3F" w:rsidP="00C02C19">
      <w:pPr>
        <w:pStyle w:val="NormalWeb"/>
        <w:rPr>
          <w:rFonts w:cs="Arial"/>
          <w:sz w:val="18"/>
          <w:szCs w:val="20"/>
          <w:lang w:val="es-CR"/>
        </w:rPr>
      </w:pPr>
      <w:r w:rsidRPr="00BE3D1F">
        <w:rPr>
          <w:rFonts w:cs="Arial"/>
          <w:sz w:val="18"/>
          <w:szCs w:val="20"/>
          <w:lang w:val="es-CR"/>
        </w:rPr>
        <w:t>Fuente: elaboración propia con datos de MCS.</w:t>
      </w:r>
    </w:p>
    <w:p w14:paraId="271418A0" w14:textId="5BAB6946" w:rsidR="00C162B1" w:rsidRPr="003B1A52" w:rsidRDefault="00C162B1" w:rsidP="00C162B1">
      <w:pPr>
        <w:pStyle w:val="Caption"/>
        <w:jc w:val="both"/>
        <w:rPr>
          <w:rFonts w:cs="Arial"/>
          <w:b w:val="0"/>
          <w:sz w:val="24"/>
        </w:rPr>
      </w:pPr>
      <w:r w:rsidRPr="00E010E5">
        <w:rPr>
          <w:rFonts w:cs="Arial"/>
          <w:b w:val="0"/>
          <w:sz w:val="24"/>
        </w:rPr>
        <w:t xml:space="preserve">En el caso del gobierno, las fuentes de ingreso se muestran en la </w:t>
      </w:r>
      <w:r w:rsidRPr="00EF1621">
        <w:rPr>
          <w:rFonts w:cs="Arial"/>
          <w:b w:val="0"/>
          <w:sz w:val="24"/>
          <w:szCs w:val="24"/>
        </w:rPr>
        <w:fldChar w:fldCharType="begin"/>
      </w:r>
      <w:r w:rsidRPr="00EF1621">
        <w:rPr>
          <w:rFonts w:cs="Arial"/>
          <w:b w:val="0"/>
          <w:sz w:val="24"/>
        </w:rPr>
        <w:instrText xml:space="preserve"> REF _Ref525025227 \h \* lower </w:instrText>
      </w:r>
      <w:r w:rsidRPr="00EF1621">
        <w:rPr>
          <w:rFonts w:cs="Arial"/>
          <w:b w:val="0"/>
          <w:sz w:val="24"/>
          <w:szCs w:val="24"/>
        </w:rPr>
        <w:instrText xml:space="preserve"> \* MERGEFORMAT </w:instrText>
      </w:r>
      <w:r w:rsidRPr="00EF1621">
        <w:rPr>
          <w:rFonts w:cs="Arial"/>
          <w:b w:val="0"/>
          <w:sz w:val="24"/>
          <w:szCs w:val="24"/>
        </w:rPr>
      </w:r>
      <w:r w:rsidRPr="00EF1621">
        <w:rPr>
          <w:rFonts w:cs="Arial"/>
          <w:b w:val="0"/>
          <w:sz w:val="24"/>
          <w:szCs w:val="24"/>
        </w:rPr>
        <w:fldChar w:fldCharType="separate"/>
      </w:r>
      <w:r w:rsidR="00A95E32" w:rsidRPr="00A95E32">
        <w:rPr>
          <w:b w:val="0"/>
        </w:rPr>
        <w:t xml:space="preserve">figura </w:t>
      </w:r>
      <w:r w:rsidR="00A95E32" w:rsidRPr="00A95E32">
        <w:rPr>
          <w:b w:val="0"/>
          <w:noProof/>
        </w:rPr>
        <w:t>11</w:t>
      </w:r>
      <w:r w:rsidRPr="00EF1621">
        <w:rPr>
          <w:rFonts w:cs="Arial"/>
          <w:b w:val="0"/>
          <w:sz w:val="24"/>
          <w:szCs w:val="24"/>
        </w:rPr>
        <w:fldChar w:fldCharType="end"/>
      </w:r>
      <w:r w:rsidRPr="00E010E5">
        <w:rPr>
          <w:rFonts w:cs="Arial"/>
          <w:b w:val="0"/>
          <w:sz w:val="24"/>
        </w:rPr>
        <w:t>, donde se evidencia que la principal fuente de ingreso son las transferencias internas</w:t>
      </w:r>
      <w:r w:rsidR="00993E64">
        <w:rPr>
          <w:rFonts w:cs="Arial"/>
          <w:b w:val="0"/>
          <w:sz w:val="24"/>
        </w:rPr>
        <w:t xml:space="preserve"> (</w:t>
      </w:r>
      <w:r w:rsidR="006107DB">
        <w:rPr>
          <w:rFonts w:cs="Arial"/>
          <w:b w:val="0"/>
          <w:sz w:val="24"/>
        </w:rPr>
        <w:t>endeudamiento)</w:t>
      </w:r>
      <w:r w:rsidRPr="00E010E5">
        <w:rPr>
          <w:rFonts w:cs="Arial"/>
          <w:b w:val="0"/>
          <w:sz w:val="24"/>
        </w:rPr>
        <w:t xml:space="preserve"> con un 38.7%,</w:t>
      </w:r>
      <w:r w:rsidR="00D67778">
        <w:rPr>
          <w:rFonts w:cs="Arial"/>
          <w:b w:val="0"/>
          <w:sz w:val="24"/>
        </w:rPr>
        <w:t xml:space="preserve"> </w:t>
      </w:r>
      <w:r w:rsidRPr="00E010E5">
        <w:rPr>
          <w:rFonts w:cs="Arial"/>
          <w:b w:val="0"/>
          <w:sz w:val="24"/>
        </w:rPr>
        <w:t xml:space="preserve">las transferencias externas </w:t>
      </w:r>
      <w:r>
        <w:rPr>
          <w:rFonts w:cs="Arial"/>
          <w:b w:val="0"/>
          <w:sz w:val="24"/>
        </w:rPr>
        <w:t xml:space="preserve">se excluyeron del gráfico porque </w:t>
      </w:r>
      <w:r w:rsidRPr="00E010E5">
        <w:rPr>
          <w:rFonts w:cs="Arial"/>
          <w:b w:val="0"/>
          <w:sz w:val="24"/>
        </w:rPr>
        <w:t>solo</w:t>
      </w:r>
      <w:r>
        <w:rPr>
          <w:rFonts w:cs="Arial"/>
          <w:b w:val="0"/>
          <w:sz w:val="24"/>
        </w:rPr>
        <w:t xml:space="preserve"> representan un</w:t>
      </w:r>
      <w:r w:rsidRPr="00E010E5">
        <w:rPr>
          <w:rFonts w:cs="Arial"/>
          <w:b w:val="0"/>
          <w:sz w:val="24"/>
        </w:rPr>
        <w:t xml:space="preserve"> 0.275%. La </w:t>
      </w:r>
      <w:r w:rsidR="006A6F50">
        <w:rPr>
          <w:rFonts w:cs="Arial"/>
          <w:b w:val="0"/>
          <w:sz w:val="24"/>
        </w:rPr>
        <w:t xml:space="preserve">segunda </w:t>
      </w:r>
      <w:r w:rsidRPr="00E010E5">
        <w:rPr>
          <w:rFonts w:cs="Arial"/>
          <w:b w:val="0"/>
          <w:sz w:val="24"/>
        </w:rPr>
        <w:t>fuente de ingresos son los impuestos indirectos con un 20.6%, siendo un 18% por el I</w:t>
      </w:r>
      <w:r w:rsidR="00FB31FC">
        <w:rPr>
          <w:rFonts w:cs="Arial"/>
          <w:b w:val="0"/>
          <w:sz w:val="24"/>
        </w:rPr>
        <w:t>GV</w:t>
      </w:r>
      <w:r w:rsidRPr="00E010E5">
        <w:rPr>
          <w:rFonts w:cs="Arial"/>
          <w:b w:val="0"/>
          <w:sz w:val="24"/>
        </w:rPr>
        <w:t xml:space="preserve"> y un 2.57% de los impuestos a los bienes netos (restando el valor subsidio), los impuestos directos serían los siguientes con un 17.5%</w:t>
      </w:r>
      <w:r>
        <w:rPr>
          <w:rFonts w:cs="Arial"/>
          <w:b w:val="0"/>
          <w:sz w:val="24"/>
        </w:rPr>
        <w:t>, esto demuestra que la estructura de ingresos del gobierno recae sobre el impuesto de ventas y, por tanto, es la herramienta más fuerte que tiene el fisco para obtener dinero.</w:t>
      </w:r>
    </w:p>
    <w:p w14:paraId="002D58ED" w14:textId="6E062E14" w:rsidR="00C162B1" w:rsidRDefault="00C162B1" w:rsidP="00BE3D1F">
      <w:pPr>
        <w:pStyle w:val="NormalWeb"/>
        <w:jc w:val="both"/>
        <w:rPr>
          <w:rFonts w:cs="Arial"/>
          <w:sz w:val="18"/>
          <w:szCs w:val="20"/>
          <w:lang w:val="es-CR"/>
        </w:rPr>
      </w:pPr>
    </w:p>
    <w:p w14:paraId="7E22B158" w14:textId="13FA7562" w:rsidR="00C02C19" w:rsidRDefault="00C02C19" w:rsidP="00BE3D1F">
      <w:pPr>
        <w:pStyle w:val="NormalWeb"/>
        <w:jc w:val="both"/>
        <w:rPr>
          <w:rFonts w:cs="Arial"/>
          <w:sz w:val="18"/>
          <w:szCs w:val="20"/>
          <w:lang w:val="es-CR"/>
        </w:rPr>
      </w:pPr>
    </w:p>
    <w:p w14:paraId="0A75E02F" w14:textId="2D2BCFD7" w:rsidR="00C02C19" w:rsidRDefault="00C02C19" w:rsidP="00BE3D1F">
      <w:pPr>
        <w:pStyle w:val="NormalWeb"/>
        <w:jc w:val="both"/>
        <w:rPr>
          <w:rFonts w:cs="Arial"/>
          <w:sz w:val="18"/>
          <w:szCs w:val="20"/>
          <w:lang w:val="es-CR"/>
        </w:rPr>
      </w:pPr>
    </w:p>
    <w:p w14:paraId="04D13464" w14:textId="505109B8" w:rsidR="00C02C19" w:rsidRDefault="00C02C19" w:rsidP="00BE3D1F">
      <w:pPr>
        <w:pStyle w:val="NormalWeb"/>
        <w:jc w:val="both"/>
        <w:rPr>
          <w:rFonts w:cs="Arial"/>
          <w:sz w:val="18"/>
          <w:szCs w:val="20"/>
          <w:lang w:val="es-CR"/>
        </w:rPr>
      </w:pPr>
    </w:p>
    <w:p w14:paraId="4FEEBEB8" w14:textId="626329C6" w:rsidR="00C02C19" w:rsidRDefault="00C02C19" w:rsidP="00BE3D1F">
      <w:pPr>
        <w:pStyle w:val="NormalWeb"/>
        <w:jc w:val="both"/>
        <w:rPr>
          <w:rFonts w:cs="Arial"/>
          <w:sz w:val="18"/>
          <w:szCs w:val="20"/>
          <w:lang w:val="es-CR"/>
        </w:rPr>
      </w:pPr>
    </w:p>
    <w:p w14:paraId="114671BD" w14:textId="2B54F9EC" w:rsidR="00C02C19" w:rsidRDefault="00C02C19" w:rsidP="00BE3D1F">
      <w:pPr>
        <w:pStyle w:val="NormalWeb"/>
        <w:jc w:val="both"/>
        <w:rPr>
          <w:rFonts w:cs="Arial"/>
          <w:sz w:val="18"/>
          <w:szCs w:val="20"/>
          <w:lang w:val="es-CR"/>
        </w:rPr>
      </w:pPr>
    </w:p>
    <w:p w14:paraId="7604A78D" w14:textId="31A263E1" w:rsidR="00C02C19" w:rsidRDefault="00C02C19" w:rsidP="00BE3D1F">
      <w:pPr>
        <w:pStyle w:val="NormalWeb"/>
        <w:jc w:val="both"/>
        <w:rPr>
          <w:rFonts w:cs="Arial"/>
          <w:sz w:val="18"/>
          <w:szCs w:val="20"/>
          <w:lang w:val="es-CR"/>
        </w:rPr>
      </w:pPr>
    </w:p>
    <w:p w14:paraId="3DDE7A91" w14:textId="10F8099A" w:rsidR="00C02C19" w:rsidRDefault="00C02C19" w:rsidP="00BE3D1F">
      <w:pPr>
        <w:pStyle w:val="NormalWeb"/>
        <w:jc w:val="both"/>
        <w:rPr>
          <w:rFonts w:cs="Arial"/>
          <w:sz w:val="18"/>
          <w:szCs w:val="20"/>
          <w:lang w:val="es-CR"/>
        </w:rPr>
      </w:pPr>
    </w:p>
    <w:p w14:paraId="34328D35" w14:textId="40426A52" w:rsidR="00C02C19" w:rsidRPr="00BE3D1F" w:rsidRDefault="00C02C19" w:rsidP="00C02C19">
      <w:pPr>
        <w:jc w:val="left"/>
        <w:rPr>
          <w:rFonts w:cs="Arial"/>
          <w:sz w:val="18"/>
          <w:szCs w:val="20"/>
        </w:rPr>
      </w:pPr>
      <w:r>
        <w:rPr>
          <w:rFonts w:cs="Arial"/>
          <w:sz w:val="18"/>
          <w:szCs w:val="20"/>
        </w:rPr>
        <w:br w:type="page"/>
      </w:r>
    </w:p>
    <w:p w14:paraId="0857FE99" w14:textId="5AB2C332" w:rsidR="00C162B1" w:rsidRDefault="00C162B1" w:rsidP="00C162B1">
      <w:pPr>
        <w:pStyle w:val="Caption"/>
      </w:pPr>
      <w:bookmarkStart w:id="166" w:name="_Ref525025227"/>
      <w:bookmarkStart w:id="167" w:name="_Toc2853728"/>
      <w:r>
        <w:lastRenderedPageBreak/>
        <w:t xml:space="preserve">Figura </w:t>
      </w:r>
      <w:r>
        <w:rPr>
          <w:noProof/>
        </w:rPr>
        <w:fldChar w:fldCharType="begin"/>
      </w:r>
      <w:r>
        <w:rPr>
          <w:noProof/>
        </w:rPr>
        <w:instrText xml:space="preserve"> SEQ Figura \* ARABIC </w:instrText>
      </w:r>
      <w:r>
        <w:rPr>
          <w:noProof/>
        </w:rPr>
        <w:fldChar w:fldCharType="separate"/>
      </w:r>
      <w:r w:rsidR="00A95E32">
        <w:rPr>
          <w:noProof/>
        </w:rPr>
        <w:t>11</w:t>
      </w:r>
      <w:r>
        <w:rPr>
          <w:noProof/>
        </w:rPr>
        <w:fldChar w:fldCharType="end"/>
      </w:r>
      <w:bookmarkEnd w:id="166"/>
      <w:r>
        <w:t xml:space="preserve"> </w:t>
      </w:r>
      <w:r>
        <w:br/>
      </w:r>
      <w:r w:rsidRPr="00DF67C2">
        <w:t>Composición de los ingresos del gobierno</w:t>
      </w:r>
      <w:r w:rsidR="00AF7F8A">
        <w:t xml:space="preserve">, </w:t>
      </w:r>
      <w:r w:rsidR="004C584F">
        <w:t xml:space="preserve">año </w:t>
      </w:r>
      <w:r w:rsidR="00AF7F8A">
        <w:t>2012</w:t>
      </w:r>
      <w:bookmarkEnd w:id="167"/>
    </w:p>
    <w:p w14:paraId="35ADF7BF" w14:textId="79B50DE3" w:rsidR="00C02C19" w:rsidRPr="00C02C19" w:rsidRDefault="00C02C19" w:rsidP="00C02C19">
      <w:pPr>
        <w:jc w:val="center"/>
        <w:rPr>
          <w:rFonts w:eastAsiaTheme="minorHAnsi"/>
        </w:rPr>
      </w:pPr>
      <w:r>
        <w:rPr>
          <w:noProof/>
        </w:rPr>
        <mc:AlternateContent>
          <mc:Choice Requires="cx1">
            <w:drawing>
              <wp:inline distT="0" distB="0" distL="0" distR="0" wp14:anchorId="31E2BDF8" wp14:editId="4E9E0B05">
                <wp:extent cx="5731510" cy="4598035"/>
                <wp:effectExtent l="0" t="0" r="2540" b="12065"/>
                <wp:docPr id="47" name="Chart 47">
                  <a:extLst xmlns:a="http://schemas.openxmlformats.org/drawingml/2006/main">
                    <a:ext uri="{FF2B5EF4-FFF2-40B4-BE49-F238E27FC236}">
                      <a16:creationId xmlns:a16="http://schemas.microsoft.com/office/drawing/2014/main" id="{FC657EDF-070D-4188-8CE6-150627C212E0}"/>
                    </a:ext>
                  </a:extLst>
                </wp:docPr>
                <wp:cNvGraphicFramePr/>
                <a:graphic xmlns:a="http://schemas.openxmlformats.org/drawingml/2006/main">
                  <a:graphicData uri="http://schemas.microsoft.com/office/drawing/2014/chartex">
                    <cx:chart xmlns:cx="http://schemas.microsoft.com/office/drawing/2014/chartex" xmlns:r="http://schemas.openxmlformats.org/officeDocument/2006/relationships" r:id="rId958"/>
                  </a:graphicData>
                </a:graphic>
              </wp:inline>
            </w:drawing>
          </mc:Choice>
          <mc:Fallback>
            <w:drawing>
              <wp:inline distT="0" distB="0" distL="0" distR="0" wp14:anchorId="31E2BDF8" wp14:editId="4E9E0B05">
                <wp:extent cx="5731510" cy="4598035"/>
                <wp:effectExtent l="0" t="0" r="2540" b="12065"/>
                <wp:docPr id="47" name="Chart 47">
                  <a:extLst xmlns:a="http://schemas.openxmlformats.org/drawingml/2006/main">
                    <a:ext uri="{FF2B5EF4-FFF2-40B4-BE49-F238E27FC236}">
                      <a16:creationId xmlns:a16="http://schemas.microsoft.com/office/drawing/2014/main" id="{FC657EDF-070D-4188-8CE6-150627C212E0}"/>
                    </a:ext>
                  </a:extLst>
                </wp:docPr>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47" name="Chart 47">
                          <a:extLst>
                            <a:ext uri="{FF2B5EF4-FFF2-40B4-BE49-F238E27FC236}">
                              <a16:creationId xmlns:a16="http://schemas.microsoft.com/office/drawing/2014/main" id="{FC657EDF-070D-4188-8CE6-150627C212E0}"/>
                            </a:ext>
                          </a:extLst>
                        </pic:cNvPr>
                        <pic:cNvPicPr>
                          <a:picLocks noGrp="1" noRot="1" noChangeAspect="1" noMove="1" noResize="1" noEditPoints="1" noAdjustHandles="1" noChangeArrowheads="1" noChangeShapeType="1"/>
                        </pic:cNvPicPr>
                      </pic:nvPicPr>
                      <pic:blipFill>
                        <a:blip r:embed="rId959"/>
                        <a:stretch>
                          <a:fillRect/>
                        </a:stretch>
                      </pic:blipFill>
                      <pic:spPr>
                        <a:xfrm>
                          <a:off x="0" y="0"/>
                          <a:ext cx="5731510" cy="4598035"/>
                        </a:xfrm>
                        <a:prstGeom prst="rect">
                          <a:avLst/>
                        </a:prstGeom>
                      </pic:spPr>
                    </pic:pic>
                  </a:graphicData>
                </a:graphic>
              </wp:inline>
            </w:drawing>
          </mc:Fallback>
        </mc:AlternateContent>
      </w:r>
    </w:p>
    <w:p w14:paraId="68F9A555" w14:textId="2B8D53BE" w:rsidR="00C162B1" w:rsidRPr="00872E4E" w:rsidRDefault="00C162B1" w:rsidP="00C162B1">
      <w:pPr>
        <w:pStyle w:val="NormalWeb"/>
        <w:rPr>
          <w:rFonts w:cs="Arial"/>
          <w:b/>
          <w:lang w:val="es-CR"/>
        </w:rPr>
      </w:pPr>
      <w:r w:rsidRPr="00494DA6">
        <w:rPr>
          <w:rFonts w:eastAsiaTheme="minorHAnsi" w:cs="Arial"/>
          <w:sz w:val="18"/>
          <w:szCs w:val="20"/>
          <w:lang w:val="es-CR"/>
        </w:rPr>
        <w:t>Fuente: elaboración propia con datos de la MCS</w:t>
      </w:r>
      <w:r w:rsidR="00F051C8">
        <w:rPr>
          <w:rFonts w:eastAsiaTheme="minorHAnsi" w:cs="Arial"/>
          <w:sz w:val="18"/>
          <w:szCs w:val="20"/>
          <w:lang w:val="es-CR"/>
        </w:rPr>
        <w:t>, con modificaciones</w:t>
      </w:r>
      <w:r w:rsidRPr="00494DA6">
        <w:rPr>
          <w:rFonts w:eastAsiaTheme="minorHAnsi" w:cs="Arial"/>
          <w:sz w:val="18"/>
          <w:szCs w:val="20"/>
          <w:lang w:val="es-CR"/>
        </w:rPr>
        <w:t>.</w:t>
      </w:r>
    </w:p>
    <w:p w14:paraId="5923C33B" w14:textId="1F65293B" w:rsidR="00447D3B" w:rsidRPr="00734504" w:rsidRDefault="00772215" w:rsidP="00C139E7">
      <w:pPr>
        <w:pStyle w:val="NormalWeb"/>
        <w:jc w:val="both"/>
        <w:rPr>
          <w:rFonts w:eastAsiaTheme="minorHAnsi" w:cs="Arial"/>
          <w:lang w:val="es-CR"/>
        </w:rPr>
      </w:pPr>
      <w:r w:rsidRPr="001C02EB">
        <w:rPr>
          <w:rFonts w:eastAsiaTheme="minorHAnsi" w:cs="Arial"/>
          <w:lang w:val="es-CR"/>
        </w:rPr>
        <w:t xml:space="preserve">Con la matriz se pueden obtener datos de las tasas efectivas </w:t>
      </w:r>
      <w:r w:rsidR="00206F93">
        <w:rPr>
          <w:rFonts w:eastAsiaTheme="minorHAnsi" w:cs="Arial"/>
          <w:lang w:val="es-CR"/>
        </w:rPr>
        <w:t>del IGV</w:t>
      </w:r>
      <w:r w:rsidRPr="001C02EB">
        <w:rPr>
          <w:rFonts w:eastAsiaTheme="minorHAnsi" w:cs="Arial"/>
          <w:lang w:val="es-CR"/>
        </w:rPr>
        <w:t xml:space="preserve">, las cuales se muestran en </w:t>
      </w:r>
      <w:r w:rsidR="007B361F">
        <w:rPr>
          <w:rFonts w:eastAsiaTheme="minorHAnsi" w:cs="Arial"/>
          <w:lang w:val="es-CR"/>
        </w:rPr>
        <w:t xml:space="preserve">la </w:t>
      </w:r>
      <w:r w:rsidR="007B361F">
        <w:rPr>
          <w:rFonts w:eastAsiaTheme="minorHAnsi" w:cs="Arial"/>
          <w:lang w:val="es-CR"/>
        </w:rPr>
        <w:fldChar w:fldCharType="begin"/>
      </w:r>
      <w:r w:rsidR="007B361F" w:rsidRPr="007B361F">
        <w:rPr>
          <w:rFonts w:eastAsiaTheme="minorHAnsi" w:cs="Arial"/>
          <w:lang w:val="es-CR"/>
        </w:rPr>
        <w:instrText xml:space="preserve"> REF _Ref526155930 \h \* lower </w:instrText>
      </w:r>
      <w:r w:rsidR="007B361F">
        <w:rPr>
          <w:rFonts w:eastAsiaTheme="minorHAnsi" w:cs="Arial"/>
          <w:lang w:val="es-CR"/>
        </w:rPr>
      </w:r>
      <w:r w:rsidR="007B361F">
        <w:rPr>
          <w:rFonts w:eastAsiaTheme="minorHAnsi" w:cs="Arial"/>
          <w:lang w:val="es-CR"/>
        </w:rPr>
        <w:fldChar w:fldCharType="separate"/>
      </w:r>
      <w:r w:rsidR="00A95E32" w:rsidRPr="0013634F">
        <w:rPr>
          <w:lang w:val="es-CR"/>
        </w:rPr>
        <w:t xml:space="preserve">tabla </w:t>
      </w:r>
      <w:r w:rsidR="00A95E32" w:rsidRPr="0013634F">
        <w:rPr>
          <w:noProof/>
          <w:lang w:val="es-CR"/>
        </w:rPr>
        <w:t>21</w:t>
      </w:r>
      <w:r w:rsidR="007B361F">
        <w:rPr>
          <w:rFonts w:eastAsiaTheme="minorHAnsi" w:cs="Arial"/>
          <w:lang w:val="es-CR"/>
        </w:rPr>
        <w:fldChar w:fldCharType="end"/>
      </w:r>
      <w:r w:rsidRPr="001C02EB">
        <w:rPr>
          <w:rFonts w:eastAsiaTheme="minorHAnsi" w:cs="Arial"/>
          <w:lang w:val="es-CR"/>
        </w:rPr>
        <w:t xml:space="preserve">. </w:t>
      </w:r>
      <w:r w:rsidR="007B361F">
        <w:rPr>
          <w:rFonts w:eastAsiaTheme="minorHAnsi" w:cs="Arial"/>
          <w:lang w:val="es-CR"/>
        </w:rPr>
        <w:t>Est</w:t>
      </w:r>
      <w:r w:rsidR="00734504">
        <w:rPr>
          <w:rFonts w:eastAsiaTheme="minorHAnsi" w:cs="Arial"/>
          <w:lang w:val="es-CR"/>
        </w:rPr>
        <w:t>a</w:t>
      </w:r>
      <w:r w:rsidR="007B361F">
        <w:rPr>
          <w:rFonts w:eastAsiaTheme="minorHAnsi" w:cs="Arial"/>
          <w:lang w:val="es-CR"/>
        </w:rPr>
        <w:t xml:space="preserve">s tasas varían debido al grado de agregación propuesto para el modelo y por el </w:t>
      </w:r>
      <w:r w:rsidR="00734504">
        <w:rPr>
          <w:rFonts w:eastAsiaTheme="minorHAnsi" w:cs="Arial"/>
          <w:lang w:val="es-CR"/>
        </w:rPr>
        <w:t xml:space="preserve">nivel </w:t>
      </w:r>
      <w:r w:rsidR="007B361F">
        <w:rPr>
          <w:rFonts w:eastAsiaTheme="minorHAnsi" w:cs="Arial"/>
          <w:lang w:val="es-CR"/>
        </w:rPr>
        <w:t>incumplimiento tributario que muestra la economía.</w:t>
      </w:r>
      <w:r w:rsidR="00734504">
        <w:rPr>
          <w:rFonts w:eastAsiaTheme="minorHAnsi" w:cs="Arial"/>
          <w:lang w:val="es-CR"/>
        </w:rPr>
        <w:t xml:space="preserve"> Las tasas más altas se encuentran en las bebidas y tabaco, </w:t>
      </w:r>
      <w:r w:rsidR="00C162B1">
        <w:rPr>
          <w:rFonts w:eastAsiaTheme="minorHAnsi" w:cs="Arial"/>
          <w:lang w:val="es-CR"/>
        </w:rPr>
        <w:t>vehículos</w:t>
      </w:r>
      <w:r w:rsidR="00734504">
        <w:rPr>
          <w:rFonts w:eastAsiaTheme="minorHAnsi" w:cs="Arial"/>
          <w:lang w:val="es-CR"/>
        </w:rPr>
        <w:t xml:space="preserve"> y hoteles, por otro lado, las de menor tasa son la agricultura, refinados del petróleo y transporte. La tasa promedio efectiva es de 5.3%, la cual es bastante distante de la tasa legal (13%).</w:t>
      </w:r>
    </w:p>
    <w:p w14:paraId="67A74B41" w14:textId="63318BCE" w:rsidR="00BE3D1F" w:rsidRDefault="00BE3D1F" w:rsidP="00BE3D1F">
      <w:pPr>
        <w:pStyle w:val="Caption"/>
        <w:rPr>
          <w:rFonts w:eastAsiaTheme="minorHAnsi" w:cs="Arial"/>
        </w:rPr>
      </w:pPr>
      <w:bookmarkStart w:id="168" w:name="_Ref526155930"/>
      <w:bookmarkStart w:id="169" w:name="_Toc526175264"/>
      <w:bookmarkStart w:id="170" w:name="_Toc2853711"/>
      <w:r>
        <w:t xml:space="preserve">Tabla </w:t>
      </w:r>
      <w:r>
        <w:fldChar w:fldCharType="begin"/>
      </w:r>
      <w:r>
        <w:instrText xml:space="preserve"> SEQ Tabla \* ARABIC </w:instrText>
      </w:r>
      <w:r>
        <w:fldChar w:fldCharType="separate"/>
      </w:r>
      <w:r w:rsidR="00A95E32">
        <w:rPr>
          <w:noProof/>
        </w:rPr>
        <w:t>21</w:t>
      </w:r>
      <w:r>
        <w:fldChar w:fldCharType="end"/>
      </w:r>
      <w:bookmarkEnd w:id="168"/>
      <w:r>
        <w:t xml:space="preserve"> </w:t>
      </w:r>
      <w:r w:rsidR="005F6B23">
        <w:br/>
      </w:r>
      <w:r>
        <w:t>Tasas efectivas del impuesto sobre las ventas</w:t>
      </w:r>
      <w:bookmarkEnd w:id="169"/>
      <w:r w:rsidR="00A54E84">
        <w:t xml:space="preserve">, según </w:t>
      </w:r>
      <w:r w:rsidR="00C671B3">
        <w:t>producto,</w:t>
      </w:r>
      <w:r w:rsidR="00C57B93">
        <w:t xml:space="preserve"> año 2012</w:t>
      </w:r>
      <w:bookmarkEnd w:id="170"/>
    </w:p>
    <w:tbl>
      <w:tblPr>
        <w:tblW w:w="5426" w:type="dxa"/>
        <w:jc w:val="center"/>
        <w:tblLook w:val="04A0" w:firstRow="1" w:lastRow="0" w:firstColumn="1" w:lastColumn="0" w:noHBand="0" w:noVBand="1"/>
      </w:tblPr>
      <w:tblGrid>
        <w:gridCol w:w="3685"/>
        <w:gridCol w:w="1741"/>
      </w:tblGrid>
      <w:tr w:rsidR="00BE3D1F" w:rsidRPr="00BE3D1F" w14:paraId="38FB34E3" w14:textId="77777777" w:rsidTr="00BE3D1F">
        <w:trPr>
          <w:trHeight w:val="290"/>
          <w:jc w:val="center"/>
        </w:trPr>
        <w:tc>
          <w:tcPr>
            <w:tcW w:w="3685" w:type="dxa"/>
            <w:tcBorders>
              <w:top w:val="nil"/>
              <w:left w:val="nil"/>
              <w:bottom w:val="single" w:sz="4" w:space="0" w:color="auto"/>
              <w:right w:val="nil"/>
            </w:tcBorders>
            <w:shd w:val="clear" w:color="000000" w:fill="FFFFFF"/>
            <w:noWrap/>
            <w:vAlign w:val="bottom"/>
            <w:hideMark/>
          </w:tcPr>
          <w:p w14:paraId="1612ADA5" w14:textId="36BEA099" w:rsidR="00BE3D1F" w:rsidRPr="00BE3D1F" w:rsidRDefault="008B03B7" w:rsidP="00BE3D1F">
            <w:pPr>
              <w:spacing w:after="0" w:line="240" w:lineRule="auto"/>
              <w:jc w:val="center"/>
              <w:rPr>
                <w:rFonts w:cs="Arial"/>
                <w:color w:val="000000"/>
                <w:sz w:val="22"/>
                <w:szCs w:val="22"/>
                <w:lang w:eastAsia="en-US"/>
              </w:rPr>
            </w:pPr>
            <w:r>
              <w:rPr>
                <w:rFonts w:cs="Arial"/>
                <w:color w:val="000000"/>
                <w:sz w:val="22"/>
                <w:szCs w:val="22"/>
                <w:lang w:eastAsia="en-US"/>
              </w:rPr>
              <w:t>Producto</w:t>
            </w:r>
          </w:p>
        </w:tc>
        <w:tc>
          <w:tcPr>
            <w:tcW w:w="1741" w:type="dxa"/>
            <w:tcBorders>
              <w:top w:val="nil"/>
              <w:left w:val="single" w:sz="4" w:space="0" w:color="auto"/>
              <w:bottom w:val="single" w:sz="4" w:space="0" w:color="auto"/>
              <w:right w:val="nil"/>
            </w:tcBorders>
            <w:shd w:val="clear" w:color="000000" w:fill="FFFFFF"/>
            <w:noWrap/>
            <w:vAlign w:val="bottom"/>
            <w:hideMark/>
          </w:tcPr>
          <w:p w14:paraId="659C51CE" w14:textId="2140372D" w:rsidR="00BE3D1F" w:rsidRPr="00BE3D1F" w:rsidRDefault="00857883" w:rsidP="00BE3D1F">
            <w:pPr>
              <w:spacing w:after="0" w:line="240" w:lineRule="auto"/>
              <w:jc w:val="center"/>
              <w:rPr>
                <w:rFonts w:cs="Arial"/>
                <w:color w:val="000000"/>
                <w:sz w:val="22"/>
                <w:szCs w:val="22"/>
                <w:lang w:eastAsia="en-US"/>
              </w:rPr>
            </w:pPr>
            <w:r>
              <w:rPr>
                <w:rFonts w:cs="Arial"/>
                <w:color w:val="000000"/>
                <w:sz w:val="22"/>
                <w:szCs w:val="22"/>
                <w:lang w:eastAsia="en-US"/>
              </w:rPr>
              <w:t>Tasa efectiva</w:t>
            </w:r>
          </w:p>
        </w:tc>
      </w:tr>
      <w:tr w:rsidR="00BE3D1F" w:rsidRPr="00BE3D1F" w14:paraId="6F9EB923" w14:textId="77777777" w:rsidTr="00BE3D1F">
        <w:trPr>
          <w:trHeight w:val="310"/>
          <w:jc w:val="center"/>
        </w:trPr>
        <w:tc>
          <w:tcPr>
            <w:tcW w:w="3685" w:type="dxa"/>
            <w:tcBorders>
              <w:top w:val="nil"/>
              <w:left w:val="nil"/>
              <w:bottom w:val="nil"/>
              <w:right w:val="nil"/>
            </w:tcBorders>
            <w:shd w:val="clear" w:color="000000" w:fill="FFFFFF"/>
            <w:noWrap/>
            <w:vAlign w:val="bottom"/>
            <w:hideMark/>
          </w:tcPr>
          <w:p w14:paraId="1828B545" w14:textId="77777777" w:rsidR="00BE3D1F" w:rsidRPr="00BE3D1F" w:rsidRDefault="00BE3D1F" w:rsidP="00BE3D1F">
            <w:pPr>
              <w:spacing w:after="0" w:line="240" w:lineRule="auto"/>
              <w:jc w:val="center"/>
              <w:rPr>
                <w:rFonts w:cs="Arial"/>
                <w:sz w:val="22"/>
                <w:szCs w:val="22"/>
                <w:lang w:eastAsia="en-US"/>
              </w:rPr>
            </w:pPr>
            <w:r w:rsidRPr="00BE3D1F">
              <w:rPr>
                <w:rFonts w:cs="Arial"/>
                <w:sz w:val="22"/>
                <w:szCs w:val="22"/>
                <w:lang w:eastAsia="en-US"/>
              </w:rPr>
              <w:t>Agricultura</w:t>
            </w:r>
          </w:p>
        </w:tc>
        <w:tc>
          <w:tcPr>
            <w:tcW w:w="1741" w:type="dxa"/>
            <w:tcBorders>
              <w:top w:val="nil"/>
              <w:left w:val="single" w:sz="4" w:space="0" w:color="auto"/>
              <w:bottom w:val="nil"/>
              <w:right w:val="nil"/>
            </w:tcBorders>
            <w:shd w:val="clear" w:color="000000" w:fill="FFFFFF"/>
            <w:noWrap/>
            <w:vAlign w:val="bottom"/>
            <w:hideMark/>
          </w:tcPr>
          <w:p w14:paraId="6CBED282" w14:textId="77777777" w:rsidR="00BE3D1F" w:rsidRPr="00BE3D1F" w:rsidRDefault="00BE3D1F" w:rsidP="00BE3D1F">
            <w:pPr>
              <w:spacing w:after="0" w:line="240" w:lineRule="auto"/>
              <w:jc w:val="center"/>
              <w:rPr>
                <w:rFonts w:cs="Arial"/>
                <w:color w:val="000000"/>
                <w:sz w:val="22"/>
                <w:szCs w:val="22"/>
                <w:lang w:eastAsia="en-US"/>
              </w:rPr>
            </w:pPr>
            <w:r w:rsidRPr="00BE3D1F">
              <w:rPr>
                <w:rFonts w:cs="Arial"/>
                <w:color w:val="000000"/>
                <w:sz w:val="22"/>
                <w:szCs w:val="22"/>
                <w:lang w:eastAsia="en-US"/>
              </w:rPr>
              <w:t>0.6%</w:t>
            </w:r>
          </w:p>
        </w:tc>
      </w:tr>
      <w:tr w:rsidR="00BE3D1F" w:rsidRPr="00BE3D1F" w14:paraId="4194EF42" w14:textId="77777777" w:rsidTr="00BE3D1F">
        <w:trPr>
          <w:trHeight w:val="310"/>
          <w:jc w:val="center"/>
        </w:trPr>
        <w:tc>
          <w:tcPr>
            <w:tcW w:w="3685" w:type="dxa"/>
            <w:tcBorders>
              <w:top w:val="nil"/>
              <w:left w:val="nil"/>
              <w:bottom w:val="nil"/>
              <w:right w:val="nil"/>
            </w:tcBorders>
            <w:shd w:val="clear" w:color="000000" w:fill="FFFFFF"/>
            <w:noWrap/>
            <w:vAlign w:val="bottom"/>
            <w:hideMark/>
          </w:tcPr>
          <w:p w14:paraId="373173EB" w14:textId="77777777" w:rsidR="00BE3D1F" w:rsidRPr="00BE3D1F" w:rsidRDefault="00BE3D1F" w:rsidP="00BE3D1F">
            <w:pPr>
              <w:spacing w:after="0" w:line="240" w:lineRule="auto"/>
              <w:jc w:val="center"/>
              <w:rPr>
                <w:rFonts w:cs="Arial"/>
                <w:color w:val="000000"/>
                <w:sz w:val="22"/>
                <w:szCs w:val="22"/>
                <w:lang w:eastAsia="en-US"/>
              </w:rPr>
            </w:pPr>
            <w:r w:rsidRPr="00BE3D1F">
              <w:rPr>
                <w:rFonts w:cs="Arial"/>
                <w:color w:val="000000"/>
                <w:sz w:val="22"/>
                <w:szCs w:val="22"/>
                <w:lang w:eastAsia="en-US"/>
              </w:rPr>
              <w:t>Alimentos</w:t>
            </w:r>
          </w:p>
        </w:tc>
        <w:tc>
          <w:tcPr>
            <w:tcW w:w="1741" w:type="dxa"/>
            <w:tcBorders>
              <w:top w:val="nil"/>
              <w:left w:val="single" w:sz="4" w:space="0" w:color="auto"/>
              <w:bottom w:val="nil"/>
              <w:right w:val="nil"/>
            </w:tcBorders>
            <w:shd w:val="clear" w:color="000000" w:fill="FFFFFF"/>
            <w:noWrap/>
            <w:vAlign w:val="bottom"/>
            <w:hideMark/>
          </w:tcPr>
          <w:p w14:paraId="7F38D01D" w14:textId="77777777" w:rsidR="00BE3D1F" w:rsidRPr="00BE3D1F" w:rsidRDefault="00BE3D1F" w:rsidP="00BE3D1F">
            <w:pPr>
              <w:spacing w:after="0" w:line="240" w:lineRule="auto"/>
              <w:jc w:val="center"/>
              <w:rPr>
                <w:rFonts w:cs="Arial"/>
                <w:color w:val="000000"/>
                <w:sz w:val="22"/>
                <w:szCs w:val="22"/>
                <w:lang w:eastAsia="en-US"/>
              </w:rPr>
            </w:pPr>
            <w:r w:rsidRPr="00BE3D1F">
              <w:rPr>
                <w:rFonts w:cs="Arial"/>
                <w:color w:val="000000"/>
                <w:sz w:val="22"/>
                <w:szCs w:val="22"/>
                <w:lang w:eastAsia="en-US"/>
              </w:rPr>
              <w:t>3.4%</w:t>
            </w:r>
          </w:p>
        </w:tc>
      </w:tr>
      <w:tr w:rsidR="00BE3D1F" w:rsidRPr="00BE3D1F" w14:paraId="1F2C84B7" w14:textId="77777777" w:rsidTr="00BE3D1F">
        <w:trPr>
          <w:trHeight w:val="310"/>
          <w:jc w:val="center"/>
        </w:trPr>
        <w:tc>
          <w:tcPr>
            <w:tcW w:w="3685" w:type="dxa"/>
            <w:tcBorders>
              <w:top w:val="nil"/>
              <w:left w:val="nil"/>
              <w:bottom w:val="nil"/>
              <w:right w:val="nil"/>
            </w:tcBorders>
            <w:shd w:val="clear" w:color="000000" w:fill="FFFFFF"/>
            <w:noWrap/>
            <w:vAlign w:val="bottom"/>
            <w:hideMark/>
          </w:tcPr>
          <w:p w14:paraId="09AB813C" w14:textId="77777777" w:rsidR="00BE3D1F" w:rsidRPr="00BE3D1F" w:rsidRDefault="00BE3D1F" w:rsidP="00BE3D1F">
            <w:pPr>
              <w:spacing w:after="0" w:line="240" w:lineRule="auto"/>
              <w:jc w:val="center"/>
              <w:rPr>
                <w:rFonts w:cs="Arial"/>
                <w:sz w:val="22"/>
                <w:szCs w:val="22"/>
                <w:lang w:eastAsia="en-US"/>
              </w:rPr>
            </w:pPr>
            <w:r w:rsidRPr="00BE3D1F">
              <w:rPr>
                <w:rFonts w:cs="Arial"/>
                <w:sz w:val="22"/>
                <w:szCs w:val="22"/>
                <w:lang w:eastAsia="en-US"/>
              </w:rPr>
              <w:t>Bebidas y tabaco</w:t>
            </w:r>
          </w:p>
        </w:tc>
        <w:tc>
          <w:tcPr>
            <w:tcW w:w="1741" w:type="dxa"/>
            <w:tcBorders>
              <w:top w:val="nil"/>
              <w:left w:val="single" w:sz="4" w:space="0" w:color="auto"/>
              <w:bottom w:val="nil"/>
              <w:right w:val="nil"/>
            </w:tcBorders>
            <w:shd w:val="clear" w:color="000000" w:fill="FFFFFF"/>
            <w:noWrap/>
            <w:vAlign w:val="bottom"/>
            <w:hideMark/>
          </w:tcPr>
          <w:p w14:paraId="13898E80" w14:textId="77777777" w:rsidR="00BE3D1F" w:rsidRPr="00BE3D1F" w:rsidRDefault="00BE3D1F" w:rsidP="00BE3D1F">
            <w:pPr>
              <w:spacing w:after="0" w:line="240" w:lineRule="auto"/>
              <w:jc w:val="center"/>
              <w:rPr>
                <w:rFonts w:cs="Arial"/>
                <w:color w:val="000000"/>
                <w:sz w:val="22"/>
                <w:szCs w:val="22"/>
                <w:lang w:eastAsia="en-US"/>
              </w:rPr>
            </w:pPr>
            <w:r w:rsidRPr="00BE3D1F">
              <w:rPr>
                <w:rFonts w:cs="Arial"/>
                <w:color w:val="000000"/>
                <w:sz w:val="22"/>
                <w:szCs w:val="22"/>
                <w:lang w:eastAsia="en-US"/>
              </w:rPr>
              <w:t>16.2%</w:t>
            </w:r>
          </w:p>
        </w:tc>
      </w:tr>
      <w:tr w:rsidR="00BE3D1F" w:rsidRPr="00BE3D1F" w14:paraId="7B8225F3" w14:textId="77777777" w:rsidTr="00BE3D1F">
        <w:trPr>
          <w:trHeight w:val="310"/>
          <w:jc w:val="center"/>
        </w:trPr>
        <w:tc>
          <w:tcPr>
            <w:tcW w:w="3685" w:type="dxa"/>
            <w:tcBorders>
              <w:top w:val="nil"/>
              <w:left w:val="nil"/>
              <w:bottom w:val="nil"/>
              <w:right w:val="nil"/>
            </w:tcBorders>
            <w:shd w:val="clear" w:color="000000" w:fill="FFFFFF"/>
            <w:noWrap/>
            <w:vAlign w:val="bottom"/>
            <w:hideMark/>
          </w:tcPr>
          <w:p w14:paraId="09EC2D83" w14:textId="77777777" w:rsidR="00BE3D1F" w:rsidRPr="00BE3D1F" w:rsidRDefault="00BE3D1F" w:rsidP="00BE3D1F">
            <w:pPr>
              <w:spacing w:after="0" w:line="240" w:lineRule="auto"/>
              <w:jc w:val="center"/>
              <w:rPr>
                <w:rFonts w:cs="Arial"/>
                <w:sz w:val="22"/>
                <w:szCs w:val="22"/>
                <w:lang w:eastAsia="en-US"/>
              </w:rPr>
            </w:pPr>
            <w:r w:rsidRPr="00BE3D1F">
              <w:rPr>
                <w:rFonts w:cs="Arial"/>
                <w:sz w:val="22"/>
                <w:szCs w:val="22"/>
                <w:lang w:eastAsia="en-US"/>
              </w:rPr>
              <w:t>Café</w:t>
            </w:r>
          </w:p>
        </w:tc>
        <w:tc>
          <w:tcPr>
            <w:tcW w:w="1741" w:type="dxa"/>
            <w:tcBorders>
              <w:top w:val="nil"/>
              <w:left w:val="single" w:sz="4" w:space="0" w:color="auto"/>
              <w:bottom w:val="nil"/>
              <w:right w:val="nil"/>
            </w:tcBorders>
            <w:shd w:val="clear" w:color="000000" w:fill="FFFFFF"/>
            <w:noWrap/>
            <w:vAlign w:val="bottom"/>
            <w:hideMark/>
          </w:tcPr>
          <w:p w14:paraId="449AA393" w14:textId="77777777" w:rsidR="00BE3D1F" w:rsidRPr="00BE3D1F" w:rsidRDefault="00BE3D1F" w:rsidP="00BE3D1F">
            <w:pPr>
              <w:spacing w:after="0" w:line="240" w:lineRule="auto"/>
              <w:jc w:val="center"/>
              <w:rPr>
                <w:rFonts w:cs="Arial"/>
                <w:color w:val="000000"/>
                <w:sz w:val="22"/>
                <w:szCs w:val="22"/>
                <w:lang w:eastAsia="en-US"/>
              </w:rPr>
            </w:pPr>
            <w:r w:rsidRPr="00BE3D1F">
              <w:rPr>
                <w:rFonts w:cs="Arial"/>
                <w:color w:val="000000"/>
                <w:sz w:val="22"/>
                <w:szCs w:val="22"/>
                <w:lang w:eastAsia="en-US"/>
              </w:rPr>
              <w:t>0.2%</w:t>
            </w:r>
          </w:p>
        </w:tc>
      </w:tr>
      <w:tr w:rsidR="00BE3D1F" w:rsidRPr="00BE3D1F" w14:paraId="215259CA" w14:textId="77777777" w:rsidTr="00BE3D1F">
        <w:trPr>
          <w:trHeight w:val="310"/>
          <w:jc w:val="center"/>
        </w:trPr>
        <w:tc>
          <w:tcPr>
            <w:tcW w:w="3685" w:type="dxa"/>
            <w:tcBorders>
              <w:top w:val="nil"/>
              <w:left w:val="nil"/>
              <w:bottom w:val="nil"/>
              <w:right w:val="nil"/>
            </w:tcBorders>
            <w:shd w:val="clear" w:color="000000" w:fill="FFFFFF"/>
            <w:noWrap/>
            <w:vAlign w:val="bottom"/>
            <w:hideMark/>
          </w:tcPr>
          <w:p w14:paraId="4AF6DC87" w14:textId="77777777" w:rsidR="00BE3D1F" w:rsidRPr="00BE3D1F" w:rsidRDefault="00BE3D1F" w:rsidP="00BE3D1F">
            <w:pPr>
              <w:spacing w:after="0" w:line="240" w:lineRule="auto"/>
              <w:jc w:val="center"/>
              <w:rPr>
                <w:rFonts w:cs="Arial"/>
                <w:sz w:val="22"/>
                <w:szCs w:val="22"/>
                <w:lang w:eastAsia="en-US"/>
              </w:rPr>
            </w:pPr>
            <w:r w:rsidRPr="00BE3D1F">
              <w:rPr>
                <w:rFonts w:cs="Arial"/>
                <w:sz w:val="22"/>
                <w:szCs w:val="22"/>
                <w:lang w:eastAsia="en-US"/>
              </w:rPr>
              <w:t>Caucho y plástico</w:t>
            </w:r>
          </w:p>
        </w:tc>
        <w:tc>
          <w:tcPr>
            <w:tcW w:w="1741" w:type="dxa"/>
            <w:tcBorders>
              <w:top w:val="nil"/>
              <w:left w:val="single" w:sz="4" w:space="0" w:color="auto"/>
              <w:bottom w:val="nil"/>
              <w:right w:val="nil"/>
            </w:tcBorders>
            <w:shd w:val="clear" w:color="000000" w:fill="FFFFFF"/>
            <w:noWrap/>
            <w:vAlign w:val="bottom"/>
            <w:hideMark/>
          </w:tcPr>
          <w:p w14:paraId="7B770D9E" w14:textId="77777777" w:rsidR="00BE3D1F" w:rsidRPr="00BE3D1F" w:rsidRDefault="00BE3D1F" w:rsidP="00BE3D1F">
            <w:pPr>
              <w:spacing w:after="0" w:line="240" w:lineRule="auto"/>
              <w:jc w:val="center"/>
              <w:rPr>
                <w:rFonts w:cs="Arial"/>
                <w:color w:val="000000"/>
                <w:sz w:val="22"/>
                <w:szCs w:val="22"/>
                <w:lang w:eastAsia="en-US"/>
              </w:rPr>
            </w:pPr>
            <w:r w:rsidRPr="00BE3D1F">
              <w:rPr>
                <w:rFonts w:cs="Arial"/>
                <w:color w:val="000000"/>
                <w:sz w:val="22"/>
                <w:szCs w:val="22"/>
                <w:lang w:eastAsia="en-US"/>
              </w:rPr>
              <w:t>6.7%</w:t>
            </w:r>
          </w:p>
        </w:tc>
      </w:tr>
      <w:tr w:rsidR="00BE3D1F" w:rsidRPr="00BE3D1F" w14:paraId="71E5FA15" w14:textId="77777777" w:rsidTr="00BE3D1F">
        <w:trPr>
          <w:trHeight w:val="310"/>
          <w:jc w:val="center"/>
        </w:trPr>
        <w:tc>
          <w:tcPr>
            <w:tcW w:w="3685" w:type="dxa"/>
            <w:tcBorders>
              <w:top w:val="nil"/>
              <w:left w:val="nil"/>
              <w:bottom w:val="nil"/>
              <w:right w:val="nil"/>
            </w:tcBorders>
            <w:shd w:val="clear" w:color="000000" w:fill="FFFFFF"/>
            <w:noWrap/>
            <w:vAlign w:val="bottom"/>
            <w:hideMark/>
          </w:tcPr>
          <w:p w14:paraId="6F4B69BB" w14:textId="77777777" w:rsidR="00BE3D1F" w:rsidRPr="00BE3D1F" w:rsidRDefault="00BE3D1F" w:rsidP="00BE3D1F">
            <w:pPr>
              <w:spacing w:after="0" w:line="240" w:lineRule="auto"/>
              <w:jc w:val="center"/>
              <w:rPr>
                <w:rFonts w:cs="Arial"/>
                <w:sz w:val="22"/>
                <w:szCs w:val="22"/>
                <w:lang w:eastAsia="en-US"/>
              </w:rPr>
            </w:pPr>
            <w:r w:rsidRPr="00BE3D1F">
              <w:rPr>
                <w:rFonts w:cs="Arial"/>
                <w:sz w:val="22"/>
                <w:szCs w:val="22"/>
                <w:lang w:eastAsia="en-US"/>
              </w:rPr>
              <w:t>Comercio</w:t>
            </w:r>
          </w:p>
        </w:tc>
        <w:tc>
          <w:tcPr>
            <w:tcW w:w="1741" w:type="dxa"/>
            <w:tcBorders>
              <w:top w:val="nil"/>
              <w:left w:val="single" w:sz="4" w:space="0" w:color="auto"/>
              <w:bottom w:val="nil"/>
              <w:right w:val="nil"/>
            </w:tcBorders>
            <w:shd w:val="clear" w:color="000000" w:fill="FFFFFF"/>
            <w:noWrap/>
            <w:vAlign w:val="bottom"/>
            <w:hideMark/>
          </w:tcPr>
          <w:p w14:paraId="3B24127C" w14:textId="77777777" w:rsidR="00BE3D1F" w:rsidRPr="00BE3D1F" w:rsidRDefault="00BE3D1F" w:rsidP="00BE3D1F">
            <w:pPr>
              <w:spacing w:after="0" w:line="240" w:lineRule="auto"/>
              <w:jc w:val="center"/>
              <w:rPr>
                <w:rFonts w:cs="Arial"/>
                <w:color w:val="000000"/>
                <w:sz w:val="22"/>
                <w:szCs w:val="22"/>
                <w:lang w:eastAsia="en-US"/>
              </w:rPr>
            </w:pPr>
            <w:r w:rsidRPr="00BE3D1F">
              <w:rPr>
                <w:rFonts w:cs="Arial"/>
                <w:color w:val="000000"/>
                <w:sz w:val="22"/>
                <w:szCs w:val="22"/>
                <w:lang w:eastAsia="en-US"/>
              </w:rPr>
              <w:t>1.1%</w:t>
            </w:r>
          </w:p>
        </w:tc>
      </w:tr>
      <w:tr w:rsidR="00BE3D1F" w:rsidRPr="00BE3D1F" w14:paraId="36003305" w14:textId="77777777" w:rsidTr="00BE3D1F">
        <w:trPr>
          <w:trHeight w:val="310"/>
          <w:jc w:val="center"/>
        </w:trPr>
        <w:tc>
          <w:tcPr>
            <w:tcW w:w="3685" w:type="dxa"/>
            <w:tcBorders>
              <w:top w:val="nil"/>
              <w:left w:val="nil"/>
              <w:bottom w:val="nil"/>
              <w:right w:val="nil"/>
            </w:tcBorders>
            <w:shd w:val="clear" w:color="000000" w:fill="FFFFFF"/>
            <w:noWrap/>
            <w:vAlign w:val="bottom"/>
            <w:hideMark/>
          </w:tcPr>
          <w:p w14:paraId="1EB7EC12" w14:textId="77777777" w:rsidR="00BE3D1F" w:rsidRPr="00BE3D1F" w:rsidRDefault="00BE3D1F" w:rsidP="00BE3D1F">
            <w:pPr>
              <w:spacing w:after="0" w:line="240" w:lineRule="auto"/>
              <w:jc w:val="center"/>
              <w:rPr>
                <w:rFonts w:cs="Arial"/>
                <w:sz w:val="22"/>
                <w:szCs w:val="22"/>
                <w:lang w:eastAsia="en-US"/>
              </w:rPr>
            </w:pPr>
            <w:r w:rsidRPr="00BE3D1F">
              <w:rPr>
                <w:rFonts w:cs="Arial"/>
                <w:sz w:val="22"/>
                <w:szCs w:val="22"/>
                <w:lang w:eastAsia="en-US"/>
              </w:rPr>
              <w:lastRenderedPageBreak/>
              <w:t xml:space="preserve">Comunicación </w:t>
            </w:r>
          </w:p>
        </w:tc>
        <w:tc>
          <w:tcPr>
            <w:tcW w:w="1741" w:type="dxa"/>
            <w:tcBorders>
              <w:top w:val="nil"/>
              <w:left w:val="single" w:sz="4" w:space="0" w:color="auto"/>
              <w:bottom w:val="nil"/>
              <w:right w:val="nil"/>
            </w:tcBorders>
            <w:shd w:val="clear" w:color="000000" w:fill="FFFFFF"/>
            <w:noWrap/>
            <w:vAlign w:val="bottom"/>
            <w:hideMark/>
          </w:tcPr>
          <w:p w14:paraId="10E82C82" w14:textId="77777777" w:rsidR="00BE3D1F" w:rsidRPr="00BE3D1F" w:rsidRDefault="00BE3D1F" w:rsidP="00BE3D1F">
            <w:pPr>
              <w:spacing w:after="0" w:line="240" w:lineRule="auto"/>
              <w:jc w:val="center"/>
              <w:rPr>
                <w:rFonts w:cs="Arial"/>
                <w:color w:val="000000"/>
                <w:sz w:val="22"/>
                <w:szCs w:val="22"/>
                <w:lang w:eastAsia="en-US"/>
              </w:rPr>
            </w:pPr>
            <w:r w:rsidRPr="00BE3D1F">
              <w:rPr>
                <w:rFonts w:cs="Arial"/>
                <w:color w:val="000000"/>
                <w:sz w:val="22"/>
                <w:szCs w:val="22"/>
                <w:lang w:eastAsia="en-US"/>
              </w:rPr>
              <w:t>10.3%</w:t>
            </w:r>
          </w:p>
        </w:tc>
      </w:tr>
      <w:tr w:rsidR="00BE3D1F" w:rsidRPr="00BE3D1F" w14:paraId="15FD77A0" w14:textId="77777777" w:rsidTr="00BE3D1F">
        <w:trPr>
          <w:trHeight w:val="310"/>
          <w:jc w:val="center"/>
        </w:trPr>
        <w:tc>
          <w:tcPr>
            <w:tcW w:w="3685" w:type="dxa"/>
            <w:tcBorders>
              <w:top w:val="nil"/>
              <w:left w:val="nil"/>
              <w:bottom w:val="nil"/>
              <w:right w:val="nil"/>
            </w:tcBorders>
            <w:shd w:val="clear" w:color="000000" w:fill="FFFFFF"/>
            <w:noWrap/>
            <w:vAlign w:val="bottom"/>
            <w:hideMark/>
          </w:tcPr>
          <w:p w14:paraId="40B21EB5" w14:textId="77777777" w:rsidR="00BE3D1F" w:rsidRPr="00BE3D1F" w:rsidRDefault="00BE3D1F" w:rsidP="00BE3D1F">
            <w:pPr>
              <w:spacing w:after="0" w:line="240" w:lineRule="auto"/>
              <w:jc w:val="center"/>
              <w:rPr>
                <w:rFonts w:cs="Arial"/>
                <w:sz w:val="22"/>
                <w:szCs w:val="22"/>
                <w:lang w:eastAsia="en-US"/>
              </w:rPr>
            </w:pPr>
            <w:r w:rsidRPr="00BE3D1F">
              <w:rPr>
                <w:rFonts w:cs="Arial"/>
                <w:sz w:val="22"/>
                <w:szCs w:val="22"/>
                <w:lang w:eastAsia="en-US"/>
              </w:rPr>
              <w:t>Electricidad y gas</w:t>
            </w:r>
          </w:p>
        </w:tc>
        <w:tc>
          <w:tcPr>
            <w:tcW w:w="1741" w:type="dxa"/>
            <w:tcBorders>
              <w:top w:val="nil"/>
              <w:left w:val="single" w:sz="4" w:space="0" w:color="auto"/>
              <w:bottom w:val="nil"/>
              <w:right w:val="nil"/>
            </w:tcBorders>
            <w:shd w:val="clear" w:color="000000" w:fill="FFFFFF"/>
            <w:noWrap/>
            <w:vAlign w:val="bottom"/>
            <w:hideMark/>
          </w:tcPr>
          <w:p w14:paraId="0C50E212" w14:textId="77777777" w:rsidR="00BE3D1F" w:rsidRPr="00BE3D1F" w:rsidRDefault="00BE3D1F" w:rsidP="00BE3D1F">
            <w:pPr>
              <w:spacing w:after="0" w:line="240" w:lineRule="auto"/>
              <w:jc w:val="center"/>
              <w:rPr>
                <w:rFonts w:cs="Arial"/>
                <w:color w:val="000000"/>
                <w:sz w:val="22"/>
                <w:szCs w:val="22"/>
                <w:lang w:eastAsia="en-US"/>
              </w:rPr>
            </w:pPr>
            <w:r w:rsidRPr="00BE3D1F">
              <w:rPr>
                <w:rFonts w:cs="Arial"/>
                <w:color w:val="000000"/>
                <w:sz w:val="22"/>
                <w:szCs w:val="22"/>
                <w:lang w:eastAsia="en-US"/>
              </w:rPr>
              <w:t>4.4%</w:t>
            </w:r>
          </w:p>
        </w:tc>
      </w:tr>
      <w:tr w:rsidR="00BE3D1F" w:rsidRPr="00BE3D1F" w14:paraId="120CC4F9" w14:textId="77777777" w:rsidTr="00BE3D1F">
        <w:trPr>
          <w:trHeight w:val="310"/>
          <w:jc w:val="center"/>
        </w:trPr>
        <w:tc>
          <w:tcPr>
            <w:tcW w:w="3685" w:type="dxa"/>
            <w:tcBorders>
              <w:top w:val="nil"/>
              <w:left w:val="nil"/>
              <w:bottom w:val="nil"/>
              <w:right w:val="nil"/>
            </w:tcBorders>
            <w:shd w:val="clear" w:color="000000" w:fill="FFFFFF"/>
            <w:noWrap/>
            <w:vAlign w:val="bottom"/>
            <w:hideMark/>
          </w:tcPr>
          <w:p w14:paraId="37E2F99C" w14:textId="77777777" w:rsidR="00BE3D1F" w:rsidRPr="00BE3D1F" w:rsidRDefault="00BE3D1F" w:rsidP="00BE3D1F">
            <w:pPr>
              <w:spacing w:after="0" w:line="240" w:lineRule="auto"/>
              <w:jc w:val="center"/>
              <w:rPr>
                <w:rFonts w:cs="Arial"/>
                <w:sz w:val="22"/>
                <w:szCs w:val="22"/>
                <w:lang w:eastAsia="en-US"/>
              </w:rPr>
            </w:pPr>
            <w:r w:rsidRPr="00BE3D1F">
              <w:rPr>
                <w:rFonts w:cs="Arial"/>
                <w:sz w:val="22"/>
                <w:szCs w:val="22"/>
                <w:lang w:eastAsia="en-US"/>
              </w:rPr>
              <w:t>Finanzas</w:t>
            </w:r>
          </w:p>
        </w:tc>
        <w:tc>
          <w:tcPr>
            <w:tcW w:w="1741" w:type="dxa"/>
            <w:tcBorders>
              <w:top w:val="nil"/>
              <w:left w:val="single" w:sz="4" w:space="0" w:color="auto"/>
              <w:bottom w:val="nil"/>
              <w:right w:val="nil"/>
            </w:tcBorders>
            <w:shd w:val="clear" w:color="000000" w:fill="FFFFFF"/>
            <w:noWrap/>
            <w:vAlign w:val="bottom"/>
            <w:hideMark/>
          </w:tcPr>
          <w:p w14:paraId="198EB043" w14:textId="77777777" w:rsidR="00BE3D1F" w:rsidRPr="00BE3D1F" w:rsidRDefault="00BE3D1F" w:rsidP="00BE3D1F">
            <w:pPr>
              <w:spacing w:after="0" w:line="240" w:lineRule="auto"/>
              <w:jc w:val="center"/>
              <w:rPr>
                <w:rFonts w:cs="Arial"/>
                <w:color w:val="000000"/>
                <w:sz w:val="22"/>
                <w:szCs w:val="22"/>
                <w:lang w:eastAsia="en-US"/>
              </w:rPr>
            </w:pPr>
            <w:r w:rsidRPr="00BE3D1F">
              <w:rPr>
                <w:rFonts w:cs="Arial"/>
                <w:color w:val="000000"/>
                <w:sz w:val="22"/>
                <w:szCs w:val="22"/>
                <w:lang w:eastAsia="en-US"/>
              </w:rPr>
              <w:t>1.0%</w:t>
            </w:r>
          </w:p>
        </w:tc>
      </w:tr>
      <w:tr w:rsidR="00BE3D1F" w:rsidRPr="00BE3D1F" w14:paraId="2297B757" w14:textId="77777777" w:rsidTr="00BE3D1F">
        <w:trPr>
          <w:trHeight w:val="310"/>
          <w:jc w:val="center"/>
        </w:trPr>
        <w:tc>
          <w:tcPr>
            <w:tcW w:w="3685" w:type="dxa"/>
            <w:tcBorders>
              <w:top w:val="nil"/>
              <w:left w:val="nil"/>
              <w:bottom w:val="nil"/>
              <w:right w:val="nil"/>
            </w:tcBorders>
            <w:shd w:val="clear" w:color="000000" w:fill="FFFFFF"/>
            <w:noWrap/>
            <w:vAlign w:val="bottom"/>
            <w:hideMark/>
          </w:tcPr>
          <w:p w14:paraId="0EED34A4" w14:textId="77777777" w:rsidR="00BE3D1F" w:rsidRPr="00BE3D1F" w:rsidRDefault="00BE3D1F" w:rsidP="00BE3D1F">
            <w:pPr>
              <w:spacing w:after="0" w:line="240" w:lineRule="auto"/>
              <w:jc w:val="center"/>
              <w:rPr>
                <w:rFonts w:cs="Arial"/>
                <w:sz w:val="22"/>
                <w:szCs w:val="22"/>
                <w:lang w:eastAsia="en-US"/>
              </w:rPr>
            </w:pPr>
            <w:r w:rsidRPr="00BE3D1F">
              <w:rPr>
                <w:rFonts w:cs="Arial"/>
                <w:sz w:val="22"/>
                <w:szCs w:val="22"/>
                <w:lang w:eastAsia="en-US"/>
              </w:rPr>
              <w:t>Hoteles y restaurantes</w:t>
            </w:r>
          </w:p>
        </w:tc>
        <w:tc>
          <w:tcPr>
            <w:tcW w:w="1741" w:type="dxa"/>
            <w:tcBorders>
              <w:top w:val="nil"/>
              <w:left w:val="single" w:sz="4" w:space="0" w:color="auto"/>
              <w:bottom w:val="nil"/>
              <w:right w:val="nil"/>
            </w:tcBorders>
            <w:shd w:val="clear" w:color="000000" w:fill="FFFFFF"/>
            <w:noWrap/>
            <w:vAlign w:val="bottom"/>
            <w:hideMark/>
          </w:tcPr>
          <w:p w14:paraId="3D092330" w14:textId="77777777" w:rsidR="00BE3D1F" w:rsidRPr="00BE3D1F" w:rsidRDefault="00BE3D1F" w:rsidP="00BE3D1F">
            <w:pPr>
              <w:spacing w:after="0" w:line="240" w:lineRule="auto"/>
              <w:jc w:val="center"/>
              <w:rPr>
                <w:rFonts w:cs="Arial"/>
                <w:color w:val="000000"/>
                <w:sz w:val="22"/>
                <w:szCs w:val="22"/>
                <w:lang w:eastAsia="en-US"/>
              </w:rPr>
            </w:pPr>
            <w:r w:rsidRPr="00BE3D1F">
              <w:rPr>
                <w:rFonts w:cs="Arial"/>
                <w:color w:val="000000"/>
                <w:sz w:val="22"/>
                <w:szCs w:val="22"/>
                <w:lang w:eastAsia="en-US"/>
              </w:rPr>
              <w:t>15.2%</w:t>
            </w:r>
          </w:p>
        </w:tc>
      </w:tr>
      <w:tr w:rsidR="00BE3D1F" w:rsidRPr="00BE3D1F" w14:paraId="25EAC163" w14:textId="77777777" w:rsidTr="00BE3D1F">
        <w:trPr>
          <w:trHeight w:val="310"/>
          <w:jc w:val="center"/>
        </w:trPr>
        <w:tc>
          <w:tcPr>
            <w:tcW w:w="3685" w:type="dxa"/>
            <w:tcBorders>
              <w:top w:val="nil"/>
              <w:left w:val="nil"/>
              <w:bottom w:val="nil"/>
              <w:right w:val="nil"/>
            </w:tcBorders>
            <w:shd w:val="clear" w:color="000000" w:fill="FFFFFF"/>
            <w:noWrap/>
            <w:vAlign w:val="bottom"/>
            <w:hideMark/>
          </w:tcPr>
          <w:p w14:paraId="31614259" w14:textId="77777777" w:rsidR="00BE3D1F" w:rsidRPr="00BE3D1F" w:rsidRDefault="00BE3D1F" w:rsidP="00BE3D1F">
            <w:pPr>
              <w:spacing w:after="0" w:line="240" w:lineRule="auto"/>
              <w:jc w:val="center"/>
              <w:rPr>
                <w:rFonts w:cs="Arial"/>
                <w:color w:val="000000"/>
                <w:sz w:val="22"/>
                <w:szCs w:val="22"/>
                <w:lang w:eastAsia="en-US"/>
              </w:rPr>
            </w:pPr>
            <w:r w:rsidRPr="00BE3D1F">
              <w:rPr>
                <w:rFonts w:cs="Arial"/>
                <w:color w:val="000000"/>
                <w:sz w:val="22"/>
                <w:szCs w:val="22"/>
                <w:lang w:eastAsia="en-US"/>
              </w:rPr>
              <w:t>Manufactura</w:t>
            </w:r>
          </w:p>
        </w:tc>
        <w:tc>
          <w:tcPr>
            <w:tcW w:w="1741" w:type="dxa"/>
            <w:tcBorders>
              <w:top w:val="nil"/>
              <w:left w:val="single" w:sz="4" w:space="0" w:color="auto"/>
              <w:bottom w:val="nil"/>
              <w:right w:val="nil"/>
            </w:tcBorders>
            <w:shd w:val="clear" w:color="000000" w:fill="FFFFFF"/>
            <w:noWrap/>
            <w:vAlign w:val="bottom"/>
            <w:hideMark/>
          </w:tcPr>
          <w:p w14:paraId="7B3B1D94" w14:textId="77777777" w:rsidR="00BE3D1F" w:rsidRPr="00BE3D1F" w:rsidRDefault="00BE3D1F" w:rsidP="00BE3D1F">
            <w:pPr>
              <w:spacing w:after="0" w:line="240" w:lineRule="auto"/>
              <w:jc w:val="center"/>
              <w:rPr>
                <w:rFonts w:cs="Arial"/>
                <w:color w:val="000000"/>
                <w:sz w:val="22"/>
                <w:szCs w:val="22"/>
                <w:lang w:eastAsia="en-US"/>
              </w:rPr>
            </w:pPr>
            <w:r w:rsidRPr="00BE3D1F">
              <w:rPr>
                <w:rFonts w:cs="Arial"/>
                <w:color w:val="000000"/>
                <w:sz w:val="22"/>
                <w:szCs w:val="22"/>
                <w:lang w:eastAsia="en-US"/>
              </w:rPr>
              <w:t>4.3%</w:t>
            </w:r>
          </w:p>
        </w:tc>
      </w:tr>
      <w:tr w:rsidR="00BE3D1F" w:rsidRPr="00BE3D1F" w14:paraId="0818EE6A" w14:textId="77777777" w:rsidTr="00BE3D1F">
        <w:trPr>
          <w:trHeight w:val="310"/>
          <w:jc w:val="center"/>
        </w:trPr>
        <w:tc>
          <w:tcPr>
            <w:tcW w:w="3685" w:type="dxa"/>
            <w:tcBorders>
              <w:top w:val="nil"/>
              <w:left w:val="nil"/>
              <w:bottom w:val="nil"/>
              <w:right w:val="nil"/>
            </w:tcBorders>
            <w:shd w:val="clear" w:color="000000" w:fill="FFFFFF"/>
            <w:noWrap/>
            <w:vAlign w:val="bottom"/>
            <w:hideMark/>
          </w:tcPr>
          <w:p w14:paraId="3A09A7F1" w14:textId="77777777" w:rsidR="00BE3D1F" w:rsidRPr="00BE3D1F" w:rsidRDefault="00BE3D1F" w:rsidP="00BE3D1F">
            <w:pPr>
              <w:spacing w:after="0" w:line="240" w:lineRule="auto"/>
              <w:jc w:val="center"/>
              <w:rPr>
                <w:rFonts w:cs="Arial"/>
                <w:sz w:val="22"/>
                <w:szCs w:val="22"/>
                <w:lang w:eastAsia="en-US"/>
              </w:rPr>
            </w:pPr>
            <w:r w:rsidRPr="00BE3D1F">
              <w:rPr>
                <w:rFonts w:cs="Arial"/>
                <w:sz w:val="22"/>
                <w:szCs w:val="22"/>
                <w:lang w:eastAsia="en-US"/>
              </w:rPr>
              <w:t>Maquinaria</w:t>
            </w:r>
          </w:p>
        </w:tc>
        <w:tc>
          <w:tcPr>
            <w:tcW w:w="1741" w:type="dxa"/>
            <w:tcBorders>
              <w:top w:val="nil"/>
              <w:left w:val="single" w:sz="4" w:space="0" w:color="auto"/>
              <w:bottom w:val="nil"/>
              <w:right w:val="nil"/>
            </w:tcBorders>
            <w:shd w:val="clear" w:color="000000" w:fill="FFFFFF"/>
            <w:noWrap/>
            <w:vAlign w:val="bottom"/>
            <w:hideMark/>
          </w:tcPr>
          <w:p w14:paraId="1F7C8C23" w14:textId="77777777" w:rsidR="00BE3D1F" w:rsidRPr="00BE3D1F" w:rsidRDefault="00BE3D1F" w:rsidP="00BE3D1F">
            <w:pPr>
              <w:spacing w:after="0" w:line="240" w:lineRule="auto"/>
              <w:jc w:val="center"/>
              <w:rPr>
                <w:rFonts w:cs="Arial"/>
                <w:color w:val="000000"/>
                <w:sz w:val="22"/>
                <w:szCs w:val="22"/>
                <w:lang w:eastAsia="en-US"/>
              </w:rPr>
            </w:pPr>
            <w:r w:rsidRPr="00BE3D1F">
              <w:rPr>
                <w:rFonts w:cs="Arial"/>
                <w:color w:val="000000"/>
                <w:sz w:val="22"/>
                <w:szCs w:val="22"/>
                <w:lang w:eastAsia="en-US"/>
              </w:rPr>
              <w:t>6.4%</w:t>
            </w:r>
          </w:p>
        </w:tc>
      </w:tr>
      <w:tr w:rsidR="00BE3D1F" w:rsidRPr="00BE3D1F" w14:paraId="285141C0" w14:textId="77777777" w:rsidTr="00BE3D1F">
        <w:trPr>
          <w:trHeight w:val="310"/>
          <w:jc w:val="center"/>
        </w:trPr>
        <w:tc>
          <w:tcPr>
            <w:tcW w:w="3685" w:type="dxa"/>
            <w:tcBorders>
              <w:top w:val="nil"/>
              <w:left w:val="nil"/>
              <w:bottom w:val="nil"/>
              <w:right w:val="nil"/>
            </w:tcBorders>
            <w:shd w:val="clear" w:color="000000" w:fill="FFFFFF"/>
            <w:noWrap/>
            <w:vAlign w:val="bottom"/>
            <w:hideMark/>
          </w:tcPr>
          <w:p w14:paraId="3F7F07DD" w14:textId="77777777" w:rsidR="00BE3D1F" w:rsidRPr="00BE3D1F" w:rsidRDefault="00BE3D1F" w:rsidP="00BE3D1F">
            <w:pPr>
              <w:spacing w:after="0" w:line="240" w:lineRule="auto"/>
              <w:jc w:val="center"/>
              <w:rPr>
                <w:rFonts w:cs="Arial"/>
                <w:sz w:val="22"/>
                <w:szCs w:val="22"/>
                <w:lang w:eastAsia="en-US"/>
              </w:rPr>
            </w:pPr>
            <w:r w:rsidRPr="00BE3D1F">
              <w:rPr>
                <w:rFonts w:cs="Arial"/>
                <w:sz w:val="22"/>
                <w:szCs w:val="22"/>
                <w:lang w:eastAsia="en-US"/>
              </w:rPr>
              <w:t>Metálicos</w:t>
            </w:r>
          </w:p>
        </w:tc>
        <w:tc>
          <w:tcPr>
            <w:tcW w:w="1741" w:type="dxa"/>
            <w:tcBorders>
              <w:top w:val="nil"/>
              <w:left w:val="single" w:sz="4" w:space="0" w:color="auto"/>
              <w:bottom w:val="nil"/>
              <w:right w:val="nil"/>
            </w:tcBorders>
            <w:shd w:val="clear" w:color="000000" w:fill="FFFFFF"/>
            <w:noWrap/>
            <w:vAlign w:val="bottom"/>
            <w:hideMark/>
          </w:tcPr>
          <w:p w14:paraId="075D7B56" w14:textId="77777777" w:rsidR="00BE3D1F" w:rsidRPr="00BE3D1F" w:rsidRDefault="00BE3D1F" w:rsidP="00BE3D1F">
            <w:pPr>
              <w:spacing w:after="0" w:line="240" w:lineRule="auto"/>
              <w:jc w:val="center"/>
              <w:rPr>
                <w:rFonts w:cs="Arial"/>
                <w:color w:val="000000"/>
                <w:sz w:val="22"/>
                <w:szCs w:val="22"/>
                <w:lang w:eastAsia="en-US"/>
              </w:rPr>
            </w:pPr>
            <w:r w:rsidRPr="00BE3D1F">
              <w:rPr>
                <w:rFonts w:cs="Arial"/>
                <w:color w:val="000000"/>
                <w:sz w:val="22"/>
                <w:szCs w:val="22"/>
                <w:lang w:eastAsia="en-US"/>
              </w:rPr>
              <w:t>6.4%</w:t>
            </w:r>
          </w:p>
        </w:tc>
      </w:tr>
      <w:tr w:rsidR="00BE3D1F" w:rsidRPr="00BE3D1F" w14:paraId="0616BD73" w14:textId="77777777" w:rsidTr="00BE3D1F">
        <w:trPr>
          <w:trHeight w:val="310"/>
          <w:jc w:val="center"/>
        </w:trPr>
        <w:tc>
          <w:tcPr>
            <w:tcW w:w="3685" w:type="dxa"/>
            <w:tcBorders>
              <w:top w:val="nil"/>
              <w:left w:val="nil"/>
              <w:bottom w:val="nil"/>
              <w:right w:val="nil"/>
            </w:tcBorders>
            <w:shd w:val="clear" w:color="000000" w:fill="FFFFFF"/>
            <w:noWrap/>
            <w:vAlign w:val="bottom"/>
            <w:hideMark/>
          </w:tcPr>
          <w:p w14:paraId="50541C5F" w14:textId="77777777" w:rsidR="00BE3D1F" w:rsidRPr="00BE3D1F" w:rsidRDefault="00BE3D1F" w:rsidP="00BE3D1F">
            <w:pPr>
              <w:spacing w:after="0" w:line="240" w:lineRule="auto"/>
              <w:jc w:val="center"/>
              <w:rPr>
                <w:rFonts w:cs="Arial"/>
                <w:color w:val="000000"/>
                <w:sz w:val="22"/>
                <w:szCs w:val="22"/>
                <w:lang w:eastAsia="en-US"/>
              </w:rPr>
            </w:pPr>
            <w:r w:rsidRPr="00BE3D1F">
              <w:rPr>
                <w:rFonts w:cs="Arial"/>
                <w:color w:val="000000"/>
                <w:sz w:val="22"/>
                <w:szCs w:val="22"/>
                <w:lang w:eastAsia="en-US"/>
              </w:rPr>
              <w:t>Minería</w:t>
            </w:r>
          </w:p>
        </w:tc>
        <w:tc>
          <w:tcPr>
            <w:tcW w:w="1741" w:type="dxa"/>
            <w:tcBorders>
              <w:top w:val="nil"/>
              <w:left w:val="single" w:sz="4" w:space="0" w:color="auto"/>
              <w:bottom w:val="nil"/>
              <w:right w:val="nil"/>
            </w:tcBorders>
            <w:shd w:val="clear" w:color="000000" w:fill="FFFFFF"/>
            <w:noWrap/>
            <w:vAlign w:val="bottom"/>
            <w:hideMark/>
          </w:tcPr>
          <w:p w14:paraId="45D13623" w14:textId="77777777" w:rsidR="00BE3D1F" w:rsidRPr="00BE3D1F" w:rsidRDefault="00BE3D1F" w:rsidP="00BE3D1F">
            <w:pPr>
              <w:spacing w:after="0" w:line="240" w:lineRule="auto"/>
              <w:jc w:val="center"/>
              <w:rPr>
                <w:rFonts w:cs="Arial"/>
                <w:color w:val="000000"/>
                <w:sz w:val="22"/>
                <w:szCs w:val="22"/>
                <w:lang w:eastAsia="en-US"/>
              </w:rPr>
            </w:pPr>
            <w:r w:rsidRPr="00BE3D1F">
              <w:rPr>
                <w:rFonts w:cs="Arial"/>
                <w:color w:val="000000"/>
                <w:sz w:val="22"/>
                <w:szCs w:val="22"/>
                <w:lang w:eastAsia="en-US"/>
              </w:rPr>
              <w:t>8.8%</w:t>
            </w:r>
          </w:p>
        </w:tc>
      </w:tr>
      <w:tr w:rsidR="00BE3D1F" w:rsidRPr="00BE3D1F" w14:paraId="01B48F08" w14:textId="77777777" w:rsidTr="00BE3D1F">
        <w:trPr>
          <w:trHeight w:val="310"/>
          <w:jc w:val="center"/>
        </w:trPr>
        <w:tc>
          <w:tcPr>
            <w:tcW w:w="3685" w:type="dxa"/>
            <w:tcBorders>
              <w:top w:val="nil"/>
              <w:left w:val="nil"/>
              <w:bottom w:val="nil"/>
              <w:right w:val="nil"/>
            </w:tcBorders>
            <w:shd w:val="clear" w:color="000000" w:fill="FFFFFF"/>
            <w:noWrap/>
            <w:vAlign w:val="bottom"/>
            <w:hideMark/>
          </w:tcPr>
          <w:p w14:paraId="316EAB5C" w14:textId="51579770" w:rsidR="00BE3D1F" w:rsidRPr="00BE3D1F" w:rsidRDefault="00BE3D1F" w:rsidP="00BE3D1F">
            <w:pPr>
              <w:spacing w:after="0" w:line="240" w:lineRule="auto"/>
              <w:jc w:val="center"/>
              <w:rPr>
                <w:rFonts w:cs="Arial"/>
                <w:sz w:val="22"/>
                <w:szCs w:val="22"/>
                <w:lang w:eastAsia="en-US"/>
              </w:rPr>
            </w:pPr>
            <w:r w:rsidRPr="00BE3D1F">
              <w:rPr>
                <w:rFonts w:cs="Arial"/>
                <w:sz w:val="22"/>
                <w:szCs w:val="22"/>
                <w:lang w:eastAsia="en-US"/>
              </w:rPr>
              <w:t xml:space="preserve">No </w:t>
            </w:r>
            <w:r w:rsidR="005F6B23" w:rsidRPr="00BE3D1F">
              <w:rPr>
                <w:rFonts w:cs="Arial"/>
                <w:sz w:val="22"/>
                <w:szCs w:val="22"/>
                <w:lang w:eastAsia="en-US"/>
              </w:rPr>
              <w:t>metálicos</w:t>
            </w:r>
          </w:p>
        </w:tc>
        <w:tc>
          <w:tcPr>
            <w:tcW w:w="1741" w:type="dxa"/>
            <w:tcBorders>
              <w:top w:val="nil"/>
              <w:left w:val="single" w:sz="4" w:space="0" w:color="auto"/>
              <w:bottom w:val="nil"/>
              <w:right w:val="nil"/>
            </w:tcBorders>
            <w:shd w:val="clear" w:color="000000" w:fill="FFFFFF"/>
            <w:noWrap/>
            <w:vAlign w:val="bottom"/>
            <w:hideMark/>
          </w:tcPr>
          <w:p w14:paraId="7DB0C64E" w14:textId="77777777" w:rsidR="00BE3D1F" w:rsidRPr="00BE3D1F" w:rsidRDefault="00BE3D1F" w:rsidP="00BE3D1F">
            <w:pPr>
              <w:spacing w:after="0" w:line="240" w:lineRule="auto"/>
              <w:jc w:val="center"/>
              <w:rPr>
                <w:rFonts w:cs="Arial"/>
                <w:color w:val="000000"/>
                <w:sz w:val="22"/>
                <w:szCs w:val="22"/>
                <w:lang w:eastAsia="en-US"/>
              </w:rPr>
            </w:pPr>
            <w:r w:rsidRPr="00BE3D1F">
              <w:rPr>
                <w:rFonts w:cs="Arial"/>
                <w:color w:val="000000"/>
                <w:sz w:val="22"/>
                <w:szCs w:val="22"/>
                <w:lang w:eastAsia="en-US"/>
              </w:rPr>
              <w:t>13.1%</w:t>
            </w:r>
          </w:p>
        </w:tc>
      </w:tr>
      <w:tr w:rsidR="00BE3D1F" w:rsidRPr="00BE3D1F" w14:paraId="73996150" w14:textId="77777777" w:rsidTr="00BE3D1F">
        <w:trPr>
          <w:trHeight w:val="310"/>
          <w:jc w:val="center"/>
        </w:trPr>
        <w:tc>
          <w:tcPr>
            <w:tcW w:w="3685" w:type="dxa"/>
            <w:tcBorders>
              <w:top w:val="nil"/>
              <w:left w:val="nil"/>
              <w:bottom w:val="nil"/>
              <w:right w:val="nil"/>
            </w:tcBorders>
            <w:shd w:val="clear" w:color="000000" w:fill="FFFFFF"/>
            <w:noWrap/>
            <w:vAlign w:val="bottom"/>
            <w:hideMark/>
          </w:tcPr>
          <w:p w14:paraId="06DFE094" w14:textId="77777777" w:rsidR="00BE3D1F" w:rsidRPr="00BE3D1F" w:rsidRDefault="00BE3D1F" w:rsidP="00BE3D1F">
            <w:pPr>
              <w:spacing w:after="0" w:line="240" w:lineRule="auto"/>
              <w:jc w:val="center"/>
              <w:rPr>
                <w:rFonts w:cs="Arial"/>
                <w:sz w:val="22"/>
                <w:szCs w:val="22"/>
                <w:lang w:eastAsia="en-US"/>
              </w:rPr>
            </w:pPr>
            <w:r w:rsidRPr="00BE3D1F">
              <w:rPr>
                <w:rFonts w:cs="Arial"/>
                <w:sz w:val="22"/>
                <w:szCs w:val="22"/>
                <w:lang w:eastAsia="en-US"/>
              </w:rPr>
              <w:t>Otros servicios</w:t>
            </w:r>
          </w:p>
        </w:tc>
        <w:tc>
          <w:tcPr>
            <w:tcW w:w="1741" w:type="dxa"/>
            <w:tcBorders>
              <w:top w:val="nil"/>
              <w:left w:val="single" w:sz="4" w:space="0" w:color="auto"/>
              <w:bottom w:val="nil"/>
              <w:right w:val="nil"/>
            </w:tcBorders>
            <w:shd w:val="clear" w:color="000000" w:fill="FFFFFF"/>
            <w:noWrap/>
            <w:vAlign w:val="bottom"/>
            <w:hideMark/>
          </w:tcPr>
          <w:p w14:paraId="55B749DC" w14:textId="77777777" w:rsidR="00BE3D1F" w:rsidRPr="00BE3D1F" w:rsidRDefault="00BE3D1F" w:rsidP="00BE3D1F">
            <w:pPr>
              <w:spacing w:after="0" w:line="240" w:lineRule="auto"/>
              <w:jc w:val="center"/>
              <w:rPr>
                <w:rFonts w:cs="Arial"/>
                <w:color w:val="000000"/>
                <w:sz w:val="22"/>
                <w:szCs w:val="22"/>
                <w:lang w:eastAsia="en-US"/>
              </w:rPr>
            </w:pPr>
            <w:r w:rsidRPr="00BE3D1F">
              <w:rPr>
                <w:rFonts w:cs="Arial"/>
                <w:color w:val="000000"/>
                <w:sz w:val="22"/>
                <w:szCs w:val="22"/>
                <w:lang w:eastAsia="en-US"/>
              </w:rPr>
              <w:t>0.6%</w:t>
            </w:r>
          </w:p>
        </w:tc>
      </w:tr>
      <w:tr w:rsidR="00BE3D1F" w:rsidRPr="00BE3D1F" w14:paraId="61F46022" w14:textId="77777777" w:rsidTr="00BE3D1F">
        <w:trPr>
          <w:trHeight w:val="310"/>
          <w:jc w:val="center"/>
        </w:trPr>
        <w:tc>
          <w:tcPr>
            <w:tcW w:w="3685" w:type="dxa"/>
            <w:tcBorders>
              <w:top w:val="nil"/>
              <w:left w:val="nil"/>
              <w:bottom w:val="nil"/>
              <w:right w:val="nil"/>
            </w:tcBorders>
            <w:shd w:val="clear" w:color="000000" w:fill="FFFFFF"/>
            <w:noWrap/>
            <w:vAlign w:val="bottom"/>
            <w:hideMark/>
          </w:tcPr>
          <w:p w14:paraId="5E373A43" w14:textId="77777777" w:rsidR="00BE3D1F" w:rsidRPr="00BE3D1F" w:rsidRDefault="00BE3D1F" w:rsidP="00BE3D1F">
            <w:pPr>
              <w:spacing w:after="0" w:line="240" w:lineRule="auto"/>
              <w:jc w:val="center"/>
              <w:rPr>
                <w:rFonts w:cs="Arial"/>
                <w:color w:val="000000"/>
                <w:sz w:val="22"/>
                <w:szCs w:val="22"/>
                <w:lang w:eastAsia="en-US"/>
              </w:rPr>
            </w:pPr>
            <w:r w:rsidRPr="00BE3D1F">
              <w:rPr>
                <w:rFonts w:cs="Arial"/>
                <w:color w:val="000000"/>
                <w:sz w:val="22"/>
                <w:szCs w:val="22"/>
                <w:lang w:eastAsia="en-US"/>
              </w:rPr>
              <w:t>Pesca</w:t>
            </w:r>
          </w:p>
        </w:tc>
        <w:tc>
          <w:tcPr>
            <w:tcW w:w="1741" w:type="dxa"/>
            <w:tcBorders>
              <w:top w:val="nil"/>
              <w:left w:val="single" w:sz="4" w:space="0" w:color="auto"/>
              <w:bottom w:val="nil"/>
              <w:right w:val="nil"/>
            </w:tcBorders>
            <w:shd w:val="clear" w:color="000000" w:fill="FFFFFF"/>
            <w:noWrap/>
            <w:vAlign w:val="bottom"/>
            <w:hideMark/>
          </w:tcPr>
          <w:p w14:paraId="07C31474" w14:textId="77777777" w:rsidR="00BE3D1F" w:rsidRPr="00BE3D1F" w:rsidRDefault="00BE3D1F" w:rsidP="00BE3D1F">
            <w:pPr>
              <w:spacing w:after="0" w:line="240" w:lineRule="auto"/>
              <w:jc w:val="center"/>
              <w:rPr>
                <w:rFonts w:cs="Arial"/>
                <w:color w:val="000000"/>
                <w:sz w:val="22"/>
                <w:szCs w:val="22"/>
                <w:lang w:eastAsia="en-US"/>
              </w:rPr>
            </w:pPr>
            <w:r w:rsidRPr="00BE3D1F">
              <w:rPr>
                <w:rFonts w:cs="Arial"/>
                <w:color w:val="000000"/>
                <w:sz w:val="22"/>
                <w:szCs w:val="22"/>
                <w:lang w:eastAsia="en-US"/>
              </w:rPr>
              <w:t>0.2%</w:t>
            </w:r>
          </w:p>
        </w:tc>
      </w:tr>
      <w:tr w:rsidR="00BE3D1F" w:rsidRPr="00BE3D1F" w14:paraId="0A1FAD55" w14:textId="77777777" w:rsidTr="00BE3D1F">
        <w:trPr>
          <w:trHeight w:val="310"/>
          <w:jc w:val="center"/>
        </w:trPr>
        <w:tc>
          <w:tcPr>
            <w:tcW w:w="3685" w:type="dxa"/>
            <w:tcBorders>
              <w:top w:val="nil"/>
              <w:left w:val="nil"/>
              <w:bottom w:val="nil"/>
              <w:right w:val="nil"/>
            </w:tcBorders>
            <w:shd w:val="clear" w:color="000000" w:fill="FFFFFF"/>
            <w:noWrap/>
            <w:vAlign w:val="bottom"/>
            <w:hideMark/>
          </w:tcPr>
          <w:p w14:paraId="7718E8D1" w14:textId="77777777" w:rsidR="00BE3D1F" w:rsidRPr="00BE3D1F" w:rsidRDefault="00BE3D1F" w:rsidP="00BE3D1F">
            <w:pPr>
              <w:spacing w:after="0" w:line="240" w:lineRule="auto"/>
              <w:jc w:val="center"/>
              <w:rPr>
                <w:rFonts w:cs="Arial"/>
                <w:sz w:val="22"/>
                <w:szCs w:val="22"/>
                <w:lang w:eastAsia="en-US"/>
              </w:rPr>
            </w:pPr>
            <w:r w:rsidRPr="00BE3D1F">
              <w:rPr>
                <w:rFonts w:cs="Arial"/>
                <w:sz w:val="22"/>
                <w:szCs w:val="22"/>
                <w:lang w:eastAsia="en-US"/>
              </w:rPr>
              <w:t>Químicos</w:t>
            </w:r>
          </w:p>
        </w:tc>
        <w:tc>
          <w:tcPr>
            <w:tcW w:w="1741" w:type="dxa"/>
            <w:tcBorders>
              <w:top w:val="nil"/>
              <w:left w:val="single" w:sz="4" w:space="0" w:color="auto"/>
              <w:bottom w:val="nil"/>
              <w:right w:val="nil"/>
            </w:tcBorders>
            <w:shd w:val="clear" w:color="000000" w:fill="FFFFFF"/>
            <w:noWrap/>
            <w:vAlign w:val="bottom"/>
            <w:hideMark/>
          </w:tcPr>
          <w:p w14:paraId="11A88C6B" w14:textId="77777777" w:rsidR="00BE3D1F" w:rsidRPr="00BE3D1F" w:rsidRDefault="00BE3D1F" w:rsidP="00BE3D1F">
            <w:pPr>
              <w:spacing w:after="0" w:line="240" w:lineRule="auto"/>
              <w:jc w:val="center"/>
              <w:rPr>
                <w:rFonts w:cs="Arial"/>
                <w:color w:val="000000"/>
                <w:sz w:val="22"/>
                <w:szCs w:val="22"/>
                <w:lang w:eastAsia="en-US"/>
              </w:rPr>
            </w:pPr>
            <w:r w:rsidRPr="00BE3D1F">
              <w:rPr>
                <w:rFonts w:cs="Arial"/>
                <w:color w:val="000000"/>
                <w:sz w:val="22"/>
                <w:szCs w:val="22"/>
                <w:lang w:eastAsia="en-US"/>
              </w:rPr>
              <w:t>4.7%</w:t>
            </w:r>
          </w:p>
        </w:tc>
      </w:tr>
      <w:tr w:rsidR="00BE3D1F" w:rsidRPr="00BE3D1F" w14:paraId="10A37631" w14:textId="77777777" w:rsidTr="00BE3D1F">
        <w:trPr>
          <w:trHeight w:val="310"/>
          <w:jc w:val="center"/>
        </w:trPr>
        <w:tc>
          <w:tcPr>
            <w:tcW w:w="3685" w:type="dxa"/>
            <w:tcBorders>
              <w:top w:val="nil"/>
              <w:left w:val="nil"/>
              <w:bottom w:val="nil"/>
              <w:right w:val="nil"/>
            </w:tcBorders>
            <w:shd w:val="clear" w:color="000000" w:fill="FFFFFF"/>
            <w:noWrap/>
            <w:vAlign w:val="bottom"/>
            <w:hideMark/>
          </w:tcPr>
          <w:p w14:paraId="7C493BCA" w14:textId="77777777" w:rsidR="00BE3D1F" w:rsidRPr="00BE3D1F" w:rsidRDefault="00BE3D1F" w:rsidP="00BE3D1F">
            <w:pPr>
              <w:spacing w:after="0" w:line="240" w:lineRule="auto"/>
              <w:jc w:val="center"/>
              <w:rPr>
                <w:rFonts w:cs="Arial"/>
                <w:sz w:val="22"/>
                <w:szCs w:val="22"/>
                <w:lang w:eastAsia="en-US"/>
              </w:rPr>
            </w:pPr>
            <w:r w:rsidRPr="00BE3D1F">
              <w:rPr>
                <w:rFonts w:cs="Arial"/>
                <w:sz w:val="22"/>
                <w:szCs w:val="22"/>
                <w:lang w:eastAsia="en-US"/>
              </w:rPr>
              <w:t>Refinados del petróleo</w:t>
            </w:r>
          </w:p>
        </w:tc>
        <w:tc>
          <w:tcPr>
            <w:tcW w:w="1741" w:type="dxa"/>
            <w:tcBorders>
              <w:top w:val="nil"/>
              <w:left w:val="single" w:sz="4" w:space="0" w:color="auto"/>
              <w:bottom w:val="nil"/>
              <w:right w:val="nil"/>
            </w:tcBorders>
            <w:shd w:val="clear" w:color="000000" w:fill="FFFFFF"/>
            <w:noWrap/>
            <w:vAlign w:val="bottom"/>
            <w:hideMark/>
          </w:tcPr>
          <w:p w14:paraId="2087B124" w14:textId="77777777" w:rsidR="00BE3D1F" w:rsidRPr="00BE3D1F" w:rsidRDefault="00BE3D1F" w:rsidP="00BE3D1F">
            <w:pPr>
              <w:spacing w:after="0" w:line="240" w:lineRule="auto"/>
              <w:jc w:val="center"/>
              <w:rPr>
                <w:rFonts w:cs="Arial"/>
                <w:color w:val="000000"/>
                <w:sz w:val="22"/>
                <w:szCs w:val="22"/>
                <w:lang w:eastAsia="en-US"/>
              </w:rPr>
            </w:pPr>
            <w:r w:rsidRPr="00BE3D1F">
              <w:rPr>
                <w:rFonts w:cs="Arial"/>
                <w:color w:val="000000"/>
                <w:sz w:val="22"/>
                <w:szCs w:val="22"/>
                <w:lang w:eastAsia="en-US"/>
              </w:rPr>
              <w:t>0.6%</w:t>
            </w:r>
          </w:p>
        </w:tc>
      </w:tr>
      <w:tr w:rsidR="00BE3D1F" w:rsidRPr="00BE3D1F" w14:paraId="08ECB464" w14:textId="77777777" w:rsidTr="00BE3D1F">
        <w:trPr>
          <w:trHeight w:val="310"/>
          <w:jc w:val="center"/>
        </w:trPr>
        <w:tc>
          <w:tcPr>
            <w:tcW w:w="3685" w:type="dxa"/>
            <w:tcBorders>
              <w:top w:val="nil"/>
              <w:left w:val="nil"/>
              <w:bottom w:val="nil"/>
              <w:right w:val="nil"/>
            </w:tcBorders>
            <w:shd w:val="clear" w:color="000000" w:fill="FFFFFF"/>
            <w:noWrap/>
            <w:vAlign w:val="bottom"/>
            <w:hideMark/>
          </w:tcPr>
          <w:p w14:paraId="69F9ED8C" w14:textId="77777777" w:rsidR="00BE3D1F" w:rsidRPr="00BE3D1F" w:rsidRDefault="00BE3D1F" w:rsidP="00BE3D1F">
            <w:pPr>
              <w:spacing w:after="0" w:line="240" w:lineRule="auto"/>
              <w:jc w:val="center"/>
              <w:rPr>
                <w:rFonts w:cs="Arial"/>
                <w:sz w:val="22"/>
                <w:szCs w:val="22"/>
                <w:lang w:eastAsia="en-US"/>
              </w:rPr>
            </w:pPr>
            <w:r w:rsidRPr="00BE3D1F">
              <w:rPr>
                <w:rFonts w:cs="Arial"/>
                <w:sz w:val="22"/>
                <w:szCs w:val="22"/>
                <w:lang w:eastAsia="en-US"/>
              </w:rPr>
              <w:t>Servicios profesionales</w:t>
            </w:r>
          </w:p>
        </w:tc>
        <w:tc>
          <w:tcPr>
            <w:tcW w:w="1741" w:type="dxa"/>
            <w:tcBorders>
              <w:top w:val="nil"/>
              <w:left w:val="single" w:sz="4" w:space="0" w:color="auto"/>
              <w:bottom w:val="nil"/>
              <w:right w:val="nil"/>
            </w:tcBorders>
            <w:shd w:val="clear" w:color="000000" w:fill="FFFFFF"/>
            <w:noWrap/>
            <w:vAlign w:val="bottom"/>
            <w:hideMark/>
          </w:tcPr>
          <w:p w14:paraId="341AF318" w14:textId="77777777" w:rsidR="00BE3D1F" w:rsidRPr="00BE3D1F" w:rsidRDefault="00BE3D1F" w:rsidP="00BE3D1F">
            <w:pPr>
              <w:spacing w:after="0" w:line="240" w:lineRule="auto"/>
              <w:jc w:val="center"/>
              <w:rPr>
                <w:rFonts w:cs="Arial"/>
                <w:color w:val="000000"/>
                <w:sz w:val="22"/>
                <w:szCs w:val="22"/>
                <w:lang w:eastAsia="en-US"/>
              </w:rPr>
            </w:pPr>
            <w:r w:rsidRPr="00BE3D1F">
              <w:rPr>
                <w:rFonts w:cs="Arial"/>
                <w:color w:val="000000"/>
                <w:sz w:val="22"/>
                <w:szCs w:val="22"/>
                <w:lang w:eastAsia="en-US"/>
              </w:rPr>
              <w:t>0.4%</w:t>
            </w:r>
          </w:p>
        </w:tc>
      </w:tr>
      <w:tr w:rsidR="00BE3D1F" w:rsidRPr="00BE3D1F" w14:paraId="350FF567" w14:textId="77777777" w:rsidTr="00BE3D1F">
        <w:trPr>
          <w:trHeight w:val="310"/>
          <w:jc w:val="center"/>
        </w:trPr>
        <w:tc>
          <w:tcPr>
            <w:tcW w:w="3685" w:type="dxa"/>
            <w:tcBorders>
              <w:top w:val="nil"/>
              <w:left w:val="nil"/>
              <w:bottom w:val="nil"/>
              <w:right w:val="nil"/>
            </w:tcBorders>
            <w:shd w:val="clear" w:color="000000" w:fill="FFFFFF"/>
            <w:noWrap/>
            <w:vAlign w:val="bottom"/>
            <w:hideMark/>
          </w:tcPr>
          <w:p w14:paraId="7BD11D8B" w14:textId="77777777" w:rsidR="00BE3D1F" w:rsidRPr="00BE3D1F" w:rsidRDefault="00BE3D1F" w:rsidP="00BE3D1F">
            <w:pPr>
              <w:spacing w:after="0" w:line="240" w:lineRule="auto"/>
              <w:jc w:val="center"/>
              <w:rPr>
                <w:rFonts w:cs="Arial"/>
                <w:color w:val="000000"/>
                <w:sz w:val="22"/>
                <w:szCs w:val="22"/>
                <w:lang w:eastAsia="en-US"/>
              </w:rPr>
            </w:pPr>
            <w:r w:rsidRPr="00BE3D1F">
              <w:rPr>
                <w:rFonts w:cs="Arial"/>
                <w:color w:val="000000"/>
                <w:sz w:val="22"/>
                <w:szCs w:val="22"/>
                <w:lang w:eastAsia="en-US"/>
              </w:rPr>
              <w:t>Silvicultura</w:t>
            </w:r>
          </w:p>
        </w:tc>
        <w:tc>
          <w:tcPr>
            <w:tcW w:w="1741" w:type="dxa"/>
            <w:tcBorders>
              <w:top w:val="nil"/>
              <w:left w:val="single" w:sz="4" w:space="0" w:color="auto"/>
              <w:bottom w:val="nil"/>
              <w:right w:val="nil"/>
            </w:tcBorders>
            <w:shd w:val="clear" w:color="000000" w:fill="FFFFFF"/>
            <w:noWrap/>
            <w:vAlign w:val="bottom"/>
            <w:hideMark/>
          </w:tcPr>
          <w:p w14:paraId="206746B3" w14:textId="77777777" w:rsidR="00BE3D1F" w:rsidRPr="00BE3D1F" w:rsidRDefault="00BE3D1F" w:rsidP="00BE3D1F">
            <w:pPr>
              <w:spacing w:after="0" w:line="240" w:lineRule="auto"/>
              <w:jc w:val="center"/>
              <w:rPr>
                <w:rFonts w:cs="Arial"/>
                <w:color w:val="000000"/>
                <w:sz w:val="22"/>
                <w:szCs w:val="22"/>
                <w:lang w:eastAsia="en-US"/>
              </w:rPr>
            </w:pPr>
            <w:r w:rsidRPr="00BE3D1F">
              <w:rPr>
                <w:rFonts w:cs="Arial"/>
                <w:color w:val="000000"/>
                <w:sz w:val="22"/>
                <w:szCs w:val="22"/>
                <w:lang w:eastAsia="en-US"/>
              </w:rPr>
              <w:t>1.1%</w:t>
            </w:r>
          </w:p>
        </w:tc>
      </w:tr>
      <w:tr w:rsidR="00BE3D1F" w:rsidRPr="00BE3D1F" w14:paraId="10688C8E" w14:textId="77777777" w:rsidTr="00BE3D1F">
        <w:trPr>
          <w:trHeight w:val="310"/>
          <w:jc w:val="center"/>
        </w:trPr>
        <w:tc>
          <w:tcPr>
            <w:tcW w:w="3685" w:type="dxa"/>
            <w:tcBorders>
              <w:top w:val="nil"/>
              <w:left w:val="nil"/>
              <w:bottom w:val="nil"/>
              <w:right w:val="nil"/>
            </w:tcBorders>
            <w:shd w:val="clear" w:color="000000" w:fill="FFFFFF"/>
            <w:noWrap/>
            <w:vAlign w:val="bottom"/>
            <w:hideMark/>
          </w:tcPr>
          <w:p w14:paraId="404648FC" w14:textId="77777777" w:rsidR="00BE3D1F" w:rsidRPr="00BE3D1F" w:rsidRDefault="00BE3D1F" w:rsidP="00BE3D1F">
            <w:pPr>
              <w:spacing w:after="0" w:line="240" w:lineRule="auto"/>
              <w:jc w:val="center"/>
              <w:rPr>
                <w:rFonts w:cs="Arial"/>
                <w:sz w:val="22"/>
                <w:szCs w:val="22"/>
                <w:lang w:eastAsia="en-US"/>
              </w:rPr>
            </w:pPr>
            <w:r w:rsidRPr="00BE3D1F">
              <w:rPr>
                <w:rFonts w:cs="Arial"/>
                <w:sz w:val="22"/>
                <w:szCs w:val="22"/>
                <w:lang w:eastAsia="en-US"/>
              </w:rPr>
              <w:t>Textiles y cuero</w:t>
            </w:r>
          </w:p>
        </w:tc>
        <w:tc>
          <w:tcPr>
            <w:tcW w:w="1741" w:type="dxa"/>
            <w:tcBorders>
              <w:top w:val="nil"/>
              <w:left w:val="single" w:sz="4" w:space="0" w:color="auto"/>
              <w:bottom w:val="nil"/>
              <w:right w:val="nil"/>
            </w:tcBorders>
            <w:shd w:val="clear" w:color="000000" w:fill="FFFFFF"/>
            <w:noWrap/>
            <w:vAlign w:val="bottom"/>
            <w:hideMark/>
          </w:tcPr>
          <w:p w14:paraId="636AB9D8" w14:textId="77777777" w:rsidR="00BE3D1F" w:rsidRPr="00BE3D1F" w:rsidRDefault="00BE3D1F" w:rsidP="00BE3D1F">
            <w:pPr>
              <w:spacing w:after="0" w:line="240" w:lineRule="auto"/>
              <w:jc w:val="center"/>
              <w:rPr>
                <w:rFonts w:cs="Arial"/>
                <w:color w:val="000000"/>
                <w:sz w:val="22"/>
                <w:szCs w:val="22"/>
                <w:lang w:eastAsia="en-US"/>
              </w:rPr>
            </w:pPr>
            <w:r w:rsidRPr="00BE3D1F">
              <w:rPr>
                <w:rFonts w:cs="Arial"/>
                <w:color w:val="000000"/>
                <w:sz w:val="22"/>
                <w:szCs w:val="22"/>
                <w:lang w:eastAsia="en-US"/>
              </w:rPr>
              <w:t>9.9%</w:t>
            </w:r>
          </w:p>
        </w:tc>
      </w:tr>
      <w:tr w:rsidR="00BE3D1F" w:rsidRPr="00BE3D1F" w14:paraId="6908BAB2" w14:textId="77777777" w:rsidTr="00BE3D1F">
        <w:trPr>
          <w:trHeight w:val="320"/>
          <w:jc w:val="center"/>
        </w:trPr>
        <w:tc>
          <w:tcPr>
            <w:tcW w:w="3685" w:type="dxa"/>
            <w:tcBorders>
              <w:top w:val="nil"/>
              <w:left w:val="nil"/>
              <w:bottom w:val="nil"/>
              <w:right w:val="nil"/>
            </w:tcBorders>
            <w:shd w:val="clear" w:color="000000" w:fill="FFFFFF"/>
            <w:noWrap/>
            <w:vAlign w:val="bottom"/>
            <w:hideMark/>
          </w:tcPr>
          <w:p w14:paraId="15E4EB72" w14:textId="77777777" w:rsidR="00BE3D1F" w:rsidRPr="00BE3D1F" w:rsidRDefault="00BE3D1F" w:rsidP="00BE3D1F">
            <w:pPr>
              <w:spacing w:after="0" w:line="240" w:lineRule="auto"/>
              <w:jc w:val="center"/>
              <w:rPr>
                <w:rFonts w:cs="Arial"/>
                <w:sz w:val="22"/>
                <w:szCs w:val="22"/>
                <w:lang w:eastAsia="en-US"/>
              </w:rPr>
            </w:pPr>
            <w:r w:rsidRPr="00BE3D1F">
              <w:rPr>
                <w:rFonts w:cs="Arial"/>
                <w:sz w:val="22"/>
                <w:szCs w:val="22"/>
                <w:lang w:eastAsia="en-US"/>
              </w:rPr>
              <w:t>Transporte</w:t>
            </w:r>
          </w:p>
        </w:tc>
        <w:tc>
          <w:tcPr>
            <w:tcW w:w="1741" w:type="dxa"/>
            <w:tcBorders>
              <w:top w:val="nil"/>
              <w:left w:val="single" w:sz="4" w:space="0" w:color="auto"/>
              <w:bottom w:val="nil"/>
              <w:right w:val="nil"/>
            </w:tcBorders>
            <w:shd w:val="clear" w:color="000000" w:fill="FFFFFF"/>
            <w:noWrap/>
            <w:vAlign w:val="bottom"/>
            <w:hideMark/>
          </w:tcPr>
          <w:p w14:paraId="0A292F50" w14:textId="77777777" w:rsidR="00BE3D1F" w:rsidRPr="00BE3D1F" w:rsidRDefault="00BE3D1F" w:rsidP="00BE3D1F">
            <w:pPr>
              <w:spacing w:after="0" w:line="240" w:lineRule="auto"/>
              <w:jc w:val="center"/>
              <w:rPr>
                <w:rFonts w:cs="Arial"/>
                <w:color w:val="000000"/>
                <w:sz w:val="22"/>
                <w:szCs w:val="22"/>
                <w:lang w:eastAsia="en-US"/>
              </w:rPr>
            </w:pPr>
            <w:r w:rsidRPr="00BE3D1F">
              <w:rPr>
                <w:rFonts w:cs="Arial"/>
                <w:color w:val="000000"/>
                <w:sz w:val="22"/>
                <w:szCs w:val="22"/>
                <w:lang w:eastAsia="en-US"/>
              </w:rPr>
              <w:t>0.7%</w:t>
            </w:r>
          </w:p>
        </w:tc>
      </w:tr>
      <w:tr w:rsidR="00BE3D1F" w:rsidRPr="00BE3D1F" w14:paraId="59ADE55E" w14:textId="77777777" w:rsidTr="00BE3D1F">
        <w:trPr>
          <w:trHeight w:val="320"/>
          <w:jc w:val="center"/>
        </w:trPr>
        <w:tc>
          <w:tcPr>
            <w:tcW w:w="3685" w:type="dxa"/>
            <w:tcBorders>
              <w:top w:val="nil"/>
              <w:left w:val="nil"/>
              <w:bottom w:val="single" w:sz="4" w:space="0" w:color="auto"/>
              <w:right w:val="nil"/>
            </w:tcBorders>
            <w:shd w:val="clear" w:color="000000" w:fill="FFFFFF"/>
            <w:noWrap/>
            <w:vAlign w:val="bottom"/>
            <w:hideMark/>
          </w:tcPr>
          <w:p w14:paraId="0EEF2612" w14:textId="77777777" w:rsidR="00BE3D1F" w:rsidRPr="00BE3D1F" w:rsidRDefault="00BE3D1F" w:rsidP="00BE3D1F">
            <w:pPr>
              <w:spacing w:after="0" w:line="240" w:lineRule="auto"/>
              <w:jc w:val="center"/>
              <w:rPr>
                <w:rFonts w:cs="Arial"/>
                <w:sz w:val="22"/>
                <w:szCs w:val="22"/>
                <w:lang w:eastAsia="en-US"/>
              </w:rPr>
            </w:pPr>
            <w:r w:rsidRPr="00BE3D1F">
              <w:rPr>
                <w:rFonts w:cs="Arial"/>
                <w:sz w:val="22"/>
                <w:szCs w:val="22"/>
                <w:lang w:eastAsia="en-US"/>
              </w:rPr>
              <w:t>Vehículos</w:t>
            </w:r>
          </w:p>
        </w:tc>
        <w:tc>
          <w:tcPr>
            <w:tcW w:w="1741" w:type="dxa"/>
            <w:tcBorders>
              <w:top w:val="nil"/>
              <w:left w:val="single" w:sz="4" w:space="0" w:color="auto"/>
              <w:bottom w:val="single" w:sz="4" w:space="0" w:color="auto"/>
              <w:right w:val="nil"/>
            </w:tcBorders>
            <w:shd w:val="clear" w:color="000000" w:fill="FFFFFF"/>
            <w:noWrap/>
            <w:vAlign w:val="bottom"/>
            <w:hideMark/>
          </w:tcPr>
          <w:p w14:paraId="07942722" w14:textId="77777777" w:rsidR="00BE3D1F" w:rsidRPr="00BE3D1F" w:rsidRDefault="00BE3D1F" w:rsidP="00BE3D1F">
            <w:pPr>
              <w:spacing w:after="0" w:line="240" w:lineRule="auto"/>
              <w:jc w:val="center"/>
              <w:rPr>
                <w:rFonts w:cs="Arial"/>
                <w:color w:val="000000"/>
                <w:sz w:val="22"/>
                <w:szCs w:val="22"/>
                <w:lang w:eastAsia="en-US"/>
              </w:rPr>
            </w:pPr>
            <w:r w:rsidRPr="00BE3D1F">
              <w:rPr>
                <w:rFonts w:cs="Arial"/>
                <w:color w:val="000000"/>
                <w:sz w:val="22"/>
                <w:szCs w:val="22"/>
                <w:lang w:eastAsia="en-US"/>
              </w:rPr>
              <w:t>11.8%</w:t>
            </w:r>
          </w:p>
        </w:tc>
      </w:tr>
    </w:tbl>
    <w:p w14:paraId="75B0E0D1" w14:textId="77777777" w:rsidR="00BE3D1F" w:rsidRPr="00A948DC" w:rsidRDefault="00BE3D1F" w:rsidP="00BE3D1F">
      <w:pPr>
        <w:pStyle w:val="Caption"/>
        <w:rPr>
          <w:rFonts w:cs="Arial"/>
          <w:b w:val="0"/>
          <w:sz w:val="18"/>
          <w:szCs w:val="20"/>
        </w:rPr>
      </w:pPr>
      <w:r w:rsidRPr="00A948DC">
        <w:rPr>
          <w:rFonts w:cs="Arial"/>
          <w:b w:val="0"/>
          <w:sz w:val="18"/>
          <w:szCs w:val="20"/>
        </w:rPr>
        <w:t>Fuente: elaboración propia con datos de MCS.</w:t>
      </w:r>
    </w:p>
    <w:p w14:paraId="3884B56B" w14:textId="074F264C" w:rsidR="00734504" w:rsidRDefault="00772215" w:rsidP="00C139E7">
      <w:pPr>
        <w:pStyle w:val="NormalWeb"/>
        <w:jc w:val="both"/>
        <w:rPr>
          <w:rFonts w:eastAsiaTheme="minorHAnsi" w:cs="Arial"/>
          <w:lang w:val="es-CR"/>
        </w:rPr>
      </w:pPr>
      <w:r w:rsidRPr="001C02EB">
        <w:rPr>
          <w:rFonts w:eastAsiaTheme="minorHAnsi" w:cs="Arial"/>
          <w:lang w:val="es-CR"/>
        </w:rPr>
        <w:t xml:space="preserve">Para el caso particular del IGV, </w:t>
      </w:r>
      <w:r w:rsidR="00734504">
        <w:rPr>
          <w:rFonts w:eastAsiaTheme="minorHAnsi" w:cs="Arial"/>
          <w:lang w:val="es-CR"/>
        </w:rPr>
        <w:t>también se puede mostrar e</w:t>
      </w:r>
      <w:r w:rsidR="0028180E">
        <w:rPr>
          <w:rFonts w:eastAsiaTheme="minorHAnsi" w:cs="Arial"/>
          <w:lang w:val="es-CR"/>
        </w:rPr>
        <w:t>l peso de los bienes en el</w:t>
      </w:r>
      <w:r w:rsidRPr="001C02EB">
        <w:rPr>
          <w:rFonts w:eastAsiaTheme="minorHAnsi" w:cs="Arial"/>
          <w:lang w:val="es-CR"/>
        </w:rPr>
        <w:t xml:space="preserve"> pago de</w:t>
      </w:r>
      <w:r w:rsidR="0028180E">
        <w:rPr>
          <w:rFonts w:eastAsiaTheme="minorHAnsi" w:cs="Arial"/>
          <w:lang w:val="es-CR"/>
        </w:rPr>
        <w:t>l</w:t>
      </w:r>
      <w:r w:rsidRPr="001C02EB">
        <w:rPr>
          <w:rFonts w:eastAsiaTheme="minorHAnsi" w:cs="Arial"/>
          <w:lang w:val="es-CR"/>
        </w:rPr>
        <w:t xml:space="preserve"> impuesto, los cual se muestra en la</w:t>
      </w:r>
      <w:r w:rsidR="00EC4033">
        <w:rPr>
          <w:rFonts w:eastAsiaTheme="minorHAnsi" w:cs="Arial"/>
          <w:lang w:val="es-CR"/>
        </w:rPr>
        <w:t xml:space="preserve"> </w:t>
      </w:r>
      <w:r w:rsidR="00EC4033">
        <w:rPr>
          <w:rFonts w:eastAsiaTheme="minorHAnsi" w:cs="Arial"/>
          <w:lang w:val="es-CR"/>
        </w:rPr>
        <w:fldChar w:fldCharType="begin"/>
      </w:r>
      <w:r w:rsidR="00EC4033" w:rsidRPr="00313A59">
        <w:rPr>
          <w:rFonts w:eastAsiaTheme="minorHAnsi" w:cs="Arial"/>
          <w:lang w:val="es-CR"/>
        </w:rPr>
        <w:instrText xml:space="preserve"> REF _Ref525025388 \h \* lower </w:instrText>
      </w:r>
      <w:r w:rsidR="00EC4033">
        <w:rPr>
          <w:rFonts w:eastAsiaTheme="minorHAnsi" w:cs="Arial"/>
          <w:lang w:val="es-CR"/>
        </w:rPr>
      </w:r>
      <w:r w:rsidR="00EC4033">
        <w:rPr>
          <w:rFonts w:eastAsiaTheme="minorHAnsi" w:cs="Arial"/>
          <w:lang w:val="es-CR"/>
        </w:rPr>
        <w:fldChar w:fldCharType="separate"/>
      </w:r>
      <w:r w:rsidR="00A95E32" w:rsidRPr="0013634F">
        <w:rPr>
          <w:lang w:val="es-CR"/>
        </w:rPr>
        <w:t xml:space="preserve">figura </w:t>
      </w:r>
      <w:r w:rsidR="00A95E32" w:rsidRPr="0013634F">
        <w:rPr>
          <w:noProof/>
          <w:lang w:val="es-CR"/>
        </w:rPr>
        <w:t>12</w:t>
      </w:r>
      <w:r w:rsidR="00EC4033">
        <w:rPr>
          <w:rFonts w:eastAsiaTheme="minorHAnsi" w:cs="Arial"/>
          <w:lang w:val="es-CR"/>
        </w:rPr>
        <w:fldChar w:fldCharType="end"/>
      </w:r>
      <w:r w:rsidRPr="001C02EB">
        <w:rPr>
          <w:rFonts w:eastAsiaTheme="minorHAnsi" w:cs="Arial"/>
          <w:lang w:val="es-CR"/>
        </w:rPr>
        <w:t xml:space="preserve">. Es necesario aclarar que se excluyen los bienes y servicios: banano, café, agua, construcción, administración pública, educación, salud y domésticos, porque no muestran ningún pago del IGV, además, se excluyen: la silvicultura, pesca y productos de café, debido a su porcentaje (0.02%, 0.03% y 0.02%). Los servicios de hoteles y restaurantes son los que más aportan al IGV con un 14%, después sigue la maquinaría y alimentos con un 9%, las telecomunicaciones y químicos </w:t>
      </w:r>
      <w:r w:rsidR="002E195E">
        <w:rPr>
          <w:rFonts w:eastAsiaTheme="minorHAnsi" w:cs="Arial"/>
          <w:lang w:val="es-CR"/>
        </w:rPr>
        <w:t xml:space="preserve">con </w:t>
      </w:r>
      <w:r w:rsidRPr="001C02EB">
        <w:rPr>
          <w:rFonts w:eastAsiaTheme="minorHAnsi" w:cs="Arial"/>
          <w:lang w:val="es-CR"/>
        </w:rPr>
        <w:t>8%.</w:t>
      </w:r>
      <w:r w:rsidR="00734504">
        <w:rPr>
          <w:rFonts w:eastAsiaTheme="minorHAnsi" w:cs="Arial"/>
          <w:lang w:val="es-CR"/>
        </w:rPr>
        <w:t xml:space="preserve"> </w:t>
      </w:r>
    </w:p>
    <w:p w14:paraId="1DEBF896" w14:textId="650A6884" w:rsidR="003C3885" w:rsidRDefault="00734504" w:rsidP="00C139E7">
      <w:pPr>
        <w:pStyle w:val="NormalWeb"/>
        <w:jc w:val="both"/>
        <w:rPr>
          <w:rFonts w:eastAsiaTheme="minorHAnsi" w:cs="Arial"/>
          <w:lang w:val="es-CR"/>
        </w:rPr>
      </w:pPr>
      <w:r>
        <w:rPr>
          <w:rFonts w:eastAsiaTheme="minorHAnsi" w:cs="Arial"/>
          <w:lang w:val="es-CR"/>
        </w:rPr>
        <w:t>A pesar de que los valores de recaudación para hoteles y restaurantes tienen congruencia con la tasa efectiva, no pasa lo mismo para la mayoría de los bienes, como es el caso de las bebidas y tabaco, donde su recaudación es del 5.7%</w:t>
      </w:r>
      <w:r w:rsidR="00FC255B">
        <w:rPr>
          <w:rFonts w:eastAsiaTheme="minorHAnsi" w:cs="Arial"/>
          <w:lang w:val="es-CR"/>
        </w:rPr>
        <w:t xml:space="preserve"> respecto al total recaudado</w:t>
      </w:r>
      <w:r>
        <w:rPr>
          <w:rFonts w:eastAsiaTheme="minorHAnsi" w:cs="Arial"/>
          <w:lang w:val="es-CR"/>
        </w:rPr>
        <w:t>, de manera similar sucede con la comunicación</w:t>
      </w:r>
      <w:r w:rsidR="00C162B1">
        <w:rPr>
          <w:rFonts w:eastAsiaTheme="minorHAnsi" w:cs="Arial"/>
          <w:lang w:val="es-CR"/>
        </w:rPr>
        <w:t>, vehículos y productos no metálicos</w:t>
      </w:r>
      <w:r>
        <w:rPr>
          <w:rFonts w:eastAsiaTheme="minorHAnsi" w:cs="Arial"/>
          <w:lang w:val="es-CR"/>
        </w:rPr>
        <w:t xml:space="preserve">. </w:t>
      </w:r>
      <w:r w:rsidR="00C162B1">
        <w:rPr>
          <w:rFonts w:eastAsiaTheme="minorHAnsi" w:cs="Arial"/>
          <w:lang w:val="es-CR"/>
        </w:rPr>
        <w:t>También, existe el caso contrario, donde las tasa efectiva es baja y la recaudación es bastante alta, como sucede con los productos químicos y los alimentos, es se explica por la amplia cantidad de bienes que se encuentran en estas categorías.</w:t>
      </w:r>
    </w:p>
    <w:p w14:paraId="58B4C431" w14:textId="29D76AE3" w:rsidR="00D42CB7" w:rsidRDefault="00D42CB7" w:rsidP="00C139E7">
      <w:pPr>
        <w:pStyle w:val="NormalWeb"/>
        <w:jc w:val="both"/>
        <w:rPr>
          <w:rFonts w:eastAsiaTheme="minorHAnsi" w:cs="Arial"/>
          <w:lang w:val="es-CR"/>
        </w:rPr>
      </w:pPr>
    </w:p>
    <w:p w14:paraId="482C4D32" w14:textId="4DD7C948" w:rsidR="00D42CB7" w:rsidRDefault="00D42CB7" w:rsidP="00C139E7">
      <w:pPr>
        <w:pStyle w:val="NormalWeb"/>
        <w:jc w:val="both"/>
        <w:rPr>
          <w:rFonts w:eastAsiaTheme="minorHAnsi" w:cs="Arial"/>
          <w:lang w:val="es-CR"/>
        </w:rPr>
      </w:pPr>
    </w:p>
    <w:p w14:paraId="6A51C012" w14:textId="48E0FD88" w:rsidR="00D42CB7" w:rsidRDefault="00D42CB7" w:rsidP="00C139E7">
      <w:pPr>
        <w:pStyle w:val="NormalWeb"/>
        <w:jc w:val="both"/>
        <w:rPr>
          <w:rFonts w:eastAsiaTheme="minorHAnsi" w:cs="Arial"/>
          <w:lang w:val="es-CR"/>
        </w:rPr>
      </w:pPr>
    </w:p>
    <w:p w14:paraId="7A6B2C56" w14:textId="652CCEA2" w:rsidR="00D42CB7" w:rsidRDefault="00D42CB7" w:rsidP="00C139E7">
      <w:pPr>
        <w:pStyle w:val="NormalWeb"/>
        <w:jc w:val="both"/>
        <w:rPr>
          <w:rFonts w:eastAsiaTheme="minorHAnsi" w:cs="Arial"/>
          <w:lang w:val="es-CR"/>
        </w:rPr>
      </w:pPr>
    </w:p>
    <w:p w14:paraId="5C2F4536" w14:textId="0285EBF8" w:rsidR="00D42CB7" w:rsidRDefault="00D42CB7" w:rsidP="00D42CB7">
      <w:pPr>
        <w:jc w:val="left"/>
        <w:rPr>
          <w:rFonts w:eastAsiaTheme="minorHAnsi" w:cs="Arial"/>
        </w:rPr>
      </w:pPr>
      <w:r>
        <w:rPr>
          <w:rFonts w:eastAsiaTheme="minorHAnsi" w:cs="Arial"/>
        </w:rPr>
        <w:br w:type="page"/>
      </w:r>
    </w:p>
    <w:p w14:paraId="253CE574" w14:textId="4AD53673" w:rsidR="003C3885" w:rsidRPr="00691220" w:rsidRDefault="00EC4033" w:rsidP="00EC4033">
      <w:pPr>
        <w:pStyle w:val="Caption"/>
        <w:rPr>
          <w:rFonts w:cs="Arial"/>
          <w:iCs w:val="0"/>
          <w:szCs w:val="22"/>
        </w:rPr>
      </w:pPr>
      <w:bookmarkStart w:id="171" w:name="_Ref525025388"/>
      <w:bookmarkStart w:id="172" w:name="_Toc2853729"/>
      <w:r>
        <w:lastRenderedPageBreak/>
        <w:t xml:space="preserve">Figura </w:t>
      </w:r>
      <w:r w:rsidR="00F700CF">
        <w:rPr>
          <w:noProof/>
        </w:rPr>
        <w:fldChar w:fldCharType="begin"/>
      </w:r>
      <w:r w:rsidR="00F700CF">
        <w:rPr>
          <w:noProof/>
        </w:rPr>
        <w:instrText xml:space="preserve"> SEQ Figura \* ARABIC </w:instrText>
      </w:r>
      <w:r w:rsidR="00F700CF">
        <w:rPr>
          <w:noProof/>
        </w:rPr>
        <w:fldChar w:fldCharType="separate"/>
      </w:r>
      <w:r w:rsidR="00A95E32">
        <w:rPr>
          <w:noProof/>
        </w:rPr>
        <w:t>12</w:t>
      </w:r>
      <w:r w:rsidR="00F700CF">
        <w:rPr>
          <w:noProof/>
        </w:rPr>
        <w:fldChar w:fldCharType="end"/>
      </w:r>
      <w:bookmarkEnd w:id="171"/>
      <w:r>
        <w:t xml:space="preserve"> </w:t>
      </w:r>
      <w:r>
        <w:br/>
      </w:r>
      <w:r w:rsidR="007B2624">
        <w:t xml:space="preserve">Distribución de </w:t>
      </w:r>
      <w:r w:rsidR="00FC255B">
        <w:t>i</w:t>
      </w:r>
      <w:r w:rsidRPr="00315BD0">
        <w:t xml:space="preserve">ngresos por concepto del </w:t>
      </w:r>
      <w:r w:rsidR="004F77F7">
        <w:t>IGV</w:t>
      </w:r>
      <w:r w:rsidR="00FC255B">
        <w:t>,</w:t>
      </w:r>
      <w:r w:rsidR="004F77F7">
        <w:t xml:space="preserve"> </w:t>
      </w:r>
      <w:r w:rsidR="00EA7499">
        <w:t>por producto</w:t>
      </w:r>
      <w:r w:rsidR="00974E78">
        <w:t>, año 2012</w:t>
      </w:r>
      <w:bookmarkEnd w:id="172"/>
      <w:r w:rsidRPr="00D15062">
        <w:rPr>
          <w:rFonts w:eastAsiaTheme="minorHAnsi"/>
          <w:b w:val="0"/>
          <w:noProof/>
        </w:rPr>
        <w:t xml:space="preserve"> </w:t>
      </w:r>
    </w:p>
    <w:p w14:paraId="75990311" w14:textId="47FD9D87" w:rsidR="00D42CB7" w:rsidRDefault="00D42CB7" w:rsidP="00A10D35">
      <w:pPr>
        <w:pStyle w:val="NormalWeb"/>
        <w:rPr>
          <w:rFonts w:eastAsiaTheme="minorHAnsi" w:cs="Arial"/>
          <w:sz w:val="18"/>
          <w:szCs w:val="20"/>
          <w:lang w:val="es-CR"/>
        </w:rPr>
      </w:pPr>
      <w:r>
        <w:rPr>
          <w:noProof/>
        </w:rPr>
        <mc:AlternateContent>
          <mc:Choice Requires="cx1">
            <w:drawing>
              <wp:inline distT="0" distB="0" distL="0" distR="0" wp14:anchorId="67913003" wp14:editId="654AB32E">
                <wp:extent cx="5731510" cy="3986530"/>
                <wp:effectExtent l="0" t="0" r="2540" b="13970"/>
                <wp:docPr id="185" name="Chart 185">
                  <a:extLst xmlns:a="http://schemas.openxmlformats.org/drawingml/2006/main">
                    <a:ext uri="{FF2B5EF4-FFF2-40B4-BE49-F238E27FC236}">
                      <a16:creationId xmlns:a16="http://schemas.microsoft.com/office/drawing/2014/main" id="{1F80A98E-8791-4705-AF27-8552A017A3C7}"/>
                    </a:ext>
                  </a:extLst>
                </wp:docPr>
                <wp:cNvGraphicFramePr/>
                <a:graphic xmlns:a="http://schemas.openxmlformats.org/drawingml/2006/main">
                  <a:graphicData uri="http://schemas.microsoft.com/office/drawing/2014/chartex">
                    <cx:chart xmlns:cx="http://schemas.microsoft.com/office/drawing/2014/chartex" xmlns:r="http://schemas.openxmlformats.org/officeDocument/2006/relationships" r:id="rId960"/>
                  </a:graphicData>
                </a:graphic>
              </wp:inline>
            </w:drawing>
          </mc:Choice>
          <mc:Fallback>
            <w:drawing>
              <wp:inline distT="0" distB="0" distL="0" distR="0" wp14:anchorId="67913003" wp14:editId="654AB32E">
                <wp:extent cx="5731510" cy="3986530"/>
                <wp:effectExtent l="0" t="0" r="2540" b="13970"/>
                <wp:docPr id="185" name="Chart 185">
                  <a:extLst xmlns:a="http://schemas.openxmlformats.org/drawingml/2006/main">
                    <a:ext uri="{FF2B5EF4-FFF2-40B4-BE49-F238E27FC236}">
                      <a16:creationId xmlns:a16="http://schemas.microsoft.com/office/drawing/2014/main" id="{1F80A98E-8791-4705-AF27-8552A017A3C7}"/>
                    </a:ext>
                  </a:extLst>
                </wp:docPr>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185" name="Chart 185">
                          <a:extLst>
                            <a:ext uri="{FF2B5EF4-FFF2-40B4-BE49-F238E27FC236}">
                              <a16:creationId xmlns:a16="http://schemas.microsoft.com/office/drawing/2014/main" id="{1F80A98E-8791-4705-AF27-8552A017A3C7}"/>
                            </a:ext>
                          </a:extLst>
                        </pic:cNvPr>
                        <pic:cNvPicPr>
                          <a:picLocks noGrp="1" noRot="1" noChangeAspect="1" noMove="1" noResize="1" noEditPoints="1" noAdjustHandles="1" noChangeArrowheads="1" noChangeShapeType="1"/>
                        </pic:cNvPicPr>
                      </pic:nvPicPr>
                      <pic:blipFill>
                        <a:blip r:embed="rId961"/>
                        <a:stretch>
                          <a:fillRect/>
                        </a:stretch>
                      </pic:blipFill>
                      <pic:spPr>
                        <a:xfrm>
                          <a:off x="0" y="0"/>
                          <a:ext cx="5731510" cy="3986530"/>
                        </a:xfrm>
                        <a:prstGeom prst="rect">
                          <a:avLst/>
                        </a:prstGeom>
                      </pic:spPr>
                    </pic:pic>
                  </a:graphicData>
                </a:graphic>
              </wp:inline>
            </w:drawing>
          </mc:Fallback>
        </mc:AlternateContent>
      </w:r>
    </w:p>
    <w:p w14:paraId="1CF6747C" w14:textId="5CE91A0B" w:rsidR="00B13328" w:rsidRPr="00A10D35" w:rsidRDefault="00A16BB1" w:rsidP="00A10D35">
      <w:pPr>
        <w:pStyle w:val="NormalWeb"/>
        <w:rPr>
          <w:rFonts w:eastAsiaTheme="minorHAnsi" w:cs="Arial"/>
          <w:sz w:val="18"/>
          <w:szCs w:val="20"/>
          <w:lang w:val="es-CR"/>
        </w:rPr>
      </w:pPr>
      <w:r w:rsidRPr="009161F1">
        <w:rPr>
          <w:rFonts w:eastAsiaTheme="minorHAnsi" w:cs="Arial"/>
          <w:sz w:val="18"/>
          <w:szCs w:val="20"/>
          <w:lang w:val="es-CR"/>
        </w:rPr>
        <w:t>Fuente: elaboración propia con datos de la MCS.</w:t>
      </w:r>
    </w:p>
    <w:p w14:paraId="190C41C1" w14:textId="750A1054" w:rsidR="006429BF" w:rsidRDefault="00B13328" w:rsidP="00B766F0">
      <w:pPr>
        <w:pStyle w:val="NormalWeb"/>
        <w:jc w:val="both"/>
        <w:rPr>
          <w:rFonts w:eastAsiaTheme="minorHAnsi" w:cs="Arial"/>
          <w:szCs w:val="20"/>
          <w:lang w:val="es-CR"/>
        </w:rPr>
      </w:pPr>
      <w:r>
        <w:rPr>
          <w:rFonts w:eastAsiaTheme="minorHAnsi" w:cs="Arial"/>
          <w:szCs w:val="20"/>
          <w:lang w:val="es-CR"/>
        </w:rPr>
        <w:t>El pago de impuestos de los hogares se muestra en la</w:t>
      </w:r>
      <w:r w:rsidR="0092000A">
        <w:rPr>
          <w:rFonts w:eastAsiaTheme="minorHAnsi" w:cs="Arial"/>
          <w:szCs w:val="20"/>
          <w:lang w:val="es-CR"/>
        </w:rPr>
        <w:t xml:space="preserve"> </w:t>
      </w:r>
      <w:r w:rsidR="0092000A">
        <w:rPr>
          <w:rFonts w:eastAsiaTheme="minorHAnsi" w:cs="Arial"/>
          <w:szCs w:val="20"/>
          <w:lang w:val="es-CR"/>
        </w:rPr>
        <w:fldChar w:fldCharType="begin"/>
      </w:r>
      <w:r w:rsidR="0092000A" w:rsidRPr="00313A59">
        <w:rPr>
          <w:rFonts w:eastAsiaTheme="minorHAnsi" w:cs="Arial"/>
          <w:szCs w:val="20"/>
          <w:lang w:val="es-CR"/>
        </w:rPr>
        <w:instrText xml:space="preserve"> REF _Ref526101390 \h \* lower </w:instrText>
      </w:r>
      <w:r w:rsidR="0092000A">
        <w:rPr>
          <w:rFonts w:eastAsiaTheme="minorHAnsi" w:cs="Arial"/>
          <w:szCs w:val="20"/>
          <w:lang w:val="es-CR"/>
        </w:rPr>
      </w:r>
      <w:r w:rsidR="0092000A">
        <w:rPr>
          <w:rFonts w:eastAsiaTheme="minorHAnsi" w:cs="Arial"/>
          <w:szCs w:val="20"/>
          <w:lang w:val="es-CR"/>
        </w:rPr>
        <w:fldChar w:fldCharType="separate"/>
      </w:r>
      <w:r w:rsidR="00A95E32" w:rsidRPr="0013634F">
        <w:rPr>
          <w:lang w:val="es-CR"/>
        </w:rPr>
        <w:t xml:space="preserve">figura </w:t>
      </w:r>
      <w:r w:rsidR="00A95E32" w:rsidRPr="0013634F">
        <w:rPr>
          <w:noProof/>
          <w:lang w:val="es-CR"/>
        </w:rPr>
        <w:t>13</w:t>
      </w:r>
      <w:r w:rsidR="0092000A">
        <w:rPr>
          <w:rFonts w:eastAsiaTheme="minorHAnsi" w:cs="Arial"/>
          <w:szCs w:val="20"/>
          <w:lang w:val="es-CR"/>
        </w:rPr>
        <w:fldChar w:fldCharType="end"/>
      </w:r>
      <w:r w:rsidR="00B766F0">
        <w:rPr>
          <w:rFonts w:eastAsiaTheme="minorHAnsi" w:cs="Arial"/>
          <w:szCs w:val="20"/>
          <w:lang w:val="es-CR"/>
        </w:rPr>
        <w:t xml:space="preserve">, donde se denota que el sistema tributario tiene un </w:t>
      </w:r>
      <w:r w:rsidR="00BA7260">
        <w:rPr>
          <w:rFonts w:eastAsiaTheme="minorHAnsi" w:cs="Arial"/>
          <w:szCs w:val="20"/>
          <w:lang w:val="es-CR"/>
        </w:rPr>
        <w:t xml:space="preserve">comportamiento regresivo, esto </w:t>
      </w:r>
      <w:r w:rsidR="0064095D">
        <w:rPr>
          <w:rFonts w:eastAsiaTheme="minorHAnsi" w:cs="Arial"/>
          <w:szCs w:val="20"/>
          <w:lang w:val="es-CR"/>
        </w:rPr>
        <w:t>se debe al</w:t>
      </w:r>
      <w:r w:rsidR="00BA7260">
        <w:rPr>
          <w:rFonts w:eastAsiaTheme="minorHAnsi" w:cs="Arial"/>
          <w:szCs w:val="20"/>
          <w:lang w:val="es-CR"/>
        </w:rPr>
        <w:t xml:space="preserve"> patrón base que se obtiene en el impuesto sobre las ventas, el cual </w:t>
      </w:r>
      <w:r w:rsidR="004F1987">
        <w:rPr>
          <w:rFonts w:eastAsiaTheme="minorHAnsi" w:cs="Arial"/>
          <w:szCs w:val="20"/>
          <w:lang w:val="es-CR"/>
        </w:rPr>
        <w:t>está</w:t>
      </w:r>
      <w:r w:rsidR="00BA7260">
        <w:rPr>
          <w:rFonts w:eastAsiaTheme="minorHAnsi" w:cs="Arial"/>
          <w:szCs w:val="20"/>
          <w:lang w:val="es-CR"/>
        </w:rPr>
        <w:t xml:space="preserve"> representado de color </w:t>
      </w:r>
      <w:r w:rsidR="00060FF1">
        <w:rPr>
          <w:rFonts w:eastAsiaTheme="minorHAnsi" w:cs="Arial"/>
          <w:szCs w:val="20"/>
          <w:lang w:val="es-CR"/>
        </w:rPr>
        <w:t>verde y el impuesto selectivo en azul, siendo esto explicado por el patrón de consumo de los hogares y el peso relativo de este respecto a su ingreso</w:t>
      </w:r>
      <w:r w:rsidR="00DB0816">
        <w:rPr>
          <w:rFonts w:eastAsiaTheme="minorHAnsi" w:cs="Arial"/>
          <w:szCs w:val="20"/>
          <w:lang w:val="es-CR"/>
        </w:rPr>
        <w:t>.</w:t>
      </w:r>
      <w:r w:rsidR="0064095D">
        <w:rPr>
          <w:rFonts w:eastAsiaTheme="minorHAnsi" w:cs="Arial"/>
          <w:szCs w:val="20"/>
          <w:lang w:val="es-CR"/>
        </w:rPr>
        <w:t xml:space="preserve"> </w:t>
      </w:r>
      <w:r w:rsidR="00DB0816">
        <w:rPr>
          <w:rFonts w:eastAsiaTheme="minorHAnsi" w:cs="Arial"/>
          <w:szCs w:val="20"/>
          <w:lang w:val="es-CR"/>
        </w:rPr>
        <w:t>E</w:t>
      </w:r>
      <w:r w:rsidR="0064095D">
        <w:rPr>
          <w:rFonts w:eastAsiaTheme="minorHAnsi" w:cs="Arial"/>
          <w:szCs w:val="20"/>
          <w:lang w:val="es-CR"/>
        </w:rPr>
        <w:t xml:space="preserve">l impuesto sobre la renta </w:t>
      </w:r>
      <w:r w:rsidR="00123561">
        <w:rPr>
          <w:rFonts w:eastAsiaTheme="minorHAnsi" w:cs="Arial"/>
          <w:szCs w:val="20"/>
          <w:lang w:val="es-CR"/>
        </w:rPr>
        <w:t xml:space="preserve">(color naranja) ayuda a la progresividad del sistema logrando que el </w:t>
      </w:r>
      <w:r w:rsidR="00A10D35">
        <w:rPr>
          <w:rFonts w:eastAsiaTheme="minorHAnsi" w:cs="Arial"/>
          <w:szCs w:val="20"/>
          <w:lang w:val="es-CR"/>
        </w:rPr>
        <w:t>últimos 4 deciles soporten una presión mayor y cambiando de ligeramente el patrón.</w:t>
      </w:r>
    </w:p>
    <w:p w14:paraId="6D3AA4A5" w14:textId="3772D503" w:rsidR="006429BF" w:rsidRDefault="006429BF" w:rsidP="004B0A64">
      <w:pPr>
        <w:pStyle w:val="Caption"/>
      </w:pPr>
    </w:p>
    <w:p w14:paraId="4B62A2B0" w14:textId="22082889" w:rsidR="00767CE2" w:rsidRDefault="00767CE2" w:rsidP="00767CE2"/>
    <w:p w14:paraId="2E07C725" w14:textId="7DC8E996" w:rsidR="00767CE2" w:rsidRDefault="00767CE2" w:rsidP="00767CE2"/>
    <w:p w14:paraId="1FB625B1" w14:textId="77777777" w:rsidR="00D42CB7" w:rsidRDefault="00D42CB7" w:rsidP="00767CE2"/>
    <w:p w14:paraId="1C47AD32" w14:textId="40949661" w:rsidR="00767CE2" w:rsidRDefault="00767CE2" w:rsidP="00767CE2"/>
    <w:p w14:paraId="0F0FD71B" w14:textId="35E38DD0" w:rsidR="0092000A" w:rsidRPr="0092000A" w:rsidRDefault="0092000A" w:rsidP="0092000A">
      <w:pPr>
        <w:pStyle w:val="Caption"/>
        <w:rPr>
          <w:rFonts w:eastAsiaTheme="minorHAnsi"/>
        </w:rPr>
      </w:pPr>
      <w:bookmarkStart w:id="173" w:name="_Ref526101390"/>
      <w:bookmarkStart w:id="174" w:name="_Toc2853730"/>
      <w:r>
        <w:lastRenderedPageBreak/>
        <w:t xml:space="preserve">Figura </w:t>
      </w:r>
      <w:r w:rsidR="000720E7">
        <w:rPr>
          <w:noProof/>
        </w:rPr>
        <w:fldChar w:fldCharType="begin"/>
      </w:r>
      <w:r w:rsidR="000720E7">
        <w:rPr>
          <w:noProof/>
        </w:rPr>
        <w:instrText xml:space="preserve"> SEQ Figura \* ARABIC </w:instrText>
      </w:r>
      <w:r w:rsidR="000720E7">
        <w:rPr>
          <w:noProof/>
        </w:rPr>
        <w:fldChar w:fldCharType="separate"/>
      </w:r>
      <w:r w:rsidR="00A95E32">
        <w:rPr>
          <w:noProof/>
        </w:rPr>
        <w:t>13</w:t>
      </w:r>
      <w:r w:rsidR="000720E7">
        <w:rPr>
          <w:noProof/>
        </w:rPr>
        <w:fldChar w:fldCharType="end"/>
      </w:r>
      <w:bookmarkEnd w:id="173"/>
      <w:r>
        <w:t xml:space="preserve"> </w:t>
      </w:r>
      <w:r>
        <w:br/>
      </w:r>
      <w:r w:rsidRPr="00BB5DFB">
        <w:t xml:space="preserve">Presión del sistema tributario </w:t>
      </w:r>
      <w:r w:rsidR="003E2BBD">
        <w:t>según decil de los</w:t>
      </w:r>
      <w:r w:rsidRPr="00BB5DFB">
        <w:t xml:space="preserve"> hogares</w:t>
      </w:r>
      <w:r w:rsidR="003E2BBD">
        <w:t>, año 2012</w:t>
      </w:r>
      <w:bookmarkEnd w:id="174"/>
    </w:p>
    <w:p w14:paraId="1C403B9F" w14:textId="6CD4B72E" w:rsidR="00D66DB9" w:rsidRDefault="00FC255B" w:rsidP="00B766F0">
      <w:pPr>
        <w:pStyle w:val="NormalWeb"/>
        <w:jc w:val="both"/>
        <w:rPr>
          <w:rFonts w:eastAsiaTheme="minorHAnsi" w:cs="Arial"/>
          <w:szCs w:val="20"/>
          <w:lang w:val="es-CR"/>
        </w:rPr>
      </w:pPr>
      <w:r>
        <w:rPr>
          <w:noProof/>
        </w:rPr>
        <w:drawing>
          <wp:inline distT="0" distB="0" distL="0" distR="0" wp14:anchorId="37846130" wp14:editId="327202C4">
            <wp:extent cx="5731510" cy="2834005"/>
            <wp:effectExtent l="0" t="0" r="2540" b="4445"/>
            <wp:docPr id="11" name="Chart 11">
              <a:extLst xmlns:a="http://schemas.openxmlformats.org/drawingml/2006/main">
                <a:ext uri="{FF2B5EF4-FFF2-40B4-BE49-F238E27FC236}">
                  <a16:creationId xmlns:a16="http://schemas.microsoft.com/office/drawing/2014/main" id="{6FDC1E16-5616-421C-90F6-D2F541E1E76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62"/>
              </a:graphicData>
            </a:graphic>
          </wp:inline>
        </w:drawing>
      </w:r>
    </w:p>
    <w:p w14:paraId="7CCC6D2F" w14:textId="427299C1" w:rsidR="004B0A64" w:rsidRDefault="004B0A64" w:rsidP="004B0A64">
      <w:pPr>
        <w:pStyle w:val="NormalWeb"/>
        <w:rPr>
          <w:rFonts w:eastAsiaTheme="minorHAnsi" w:cs="Arial"/>
          <w:sz w:val="18"/>
          <w:szCs w:val="20"/>
          <w:lang w:val="es-CR"/>
        </w:rPr>
      </w:pPr>
      <w:r w:rsidRPr="009161F1">
        <w:rPr>
          <w:rFonts w:eastAsiaTheme="minorHAnsi" w:cs="Arial"/>
          <w:sz w:val="18"/>
          <w:szCs w:val="20"/>
          <w:lang w:val="es-CR"/>
        </w:rPr>
        <w:t>Fuente: elaboración propia con datos de la MCS.</w:t>
      </w:r>
    </w:p>
    <w:p w14:paraId="418148F8" w14:textId="17D9335A" w:rsidR="00210988" w:rsidRDefault="00210988">
      <w:pPr>
        <w:jc w:val="left"/>
        <w:rPr>
          <w:rFonts w:eastAsiaTheme="minorHAnsi" w:cs="Arial"/>
          <w:sz w:val="18"/>
          <w:szCs w:val="20"/>
        </w:rPr>
      </w:pPr>
      <w:r>
        <w:rPr>
          <w:rFonts w:eastAsiaTheme="minorHAnsi" w:cs="Arial"/>
          <w:sz w:val="18"/>
          <w:szCs w:val="20"/>
        </w:rPr>
        <w:br w:type="page"/>
      </w:r>
    </w:p>
    <w:p w14:paraId="421AE8D7" w14:textId="50AC8BB3" w:rsidR="009E296E" w:rsidRDefault="008E3164" w:rsidP="009E296E">
      <w:pPr>
        <w:pStyle w:val="Heading2"/>
      </w:pPr>
      <w:bookmarkStart w:id="175" w:name="_Toc2853766"/>
      <w:r>
        <w:lastRenderedPageBreak/>
        <w:t xml:space="preserve">4.2 Escenarios </w:t>
      </w:r>
      <w:r w:rsidR="008D0719">
        <w:t>C</w:t>
      </w:r>
      <w:r>
        <w:t>ontrafactuales</w:t>
      </w:r>
      <w:bookmarkEnd w:id="175"/>
      <w:r>
        <w:t xml:space="preserve"> </w:t>
      </w:r>
    </w:p>
    <w:p w14:paraId="50350B0F" w14:textId="3DC89676" w:rsidR="00BC0062" w:rsidRDefault="00ED1747" w:rsidP="00210988">
      <w:pPr>
        <w:spacing w:line="240" w:lineRule="auto"/>
      </w:pPr>
      <w:r>
        <w:t>Ante la situación base</w:t>
      </w:r>
      <w:r w:rsidR="009E296E">
        <w:t xml:space="preserve"> del modelo, se proponen </w:t>
      </w:r>
      <w:r w:rsidR="00B27D0D">
        <w:t>5</w:t>
      </w:r>
      <w:r w:rsidR="009E296E">
        <w:t xml:space="preserve"> simulaciones las cuales se resumen en la</w:t>
      </w:r>
      <w:r w:rsidR="007907D5">
        <w:t xml:space="preserve"> </w:t>
      </w:r>
      <w:r w:rsidR="007907D5">
        <w:fldChar w:fldCharType="begin"/>
      </w:r>
      <w:r w:rsidR="007907D5">
        <w:instrText xml:space="preserve"> REF _Ref1928463 \h </w:instrText>
      </w:r>
      <w:r w:rsidR="007907D5" w:rsidRPr="007907D5">
        <w:instrText>\</w:instrText>
      </w:r>
      <w:r w:rsidR="007907D5">
        <w:instrText xml:space="preserve">* lower </w:instrText>
      </w:r>
      <w:r w:rsidR="007907D5">
        <w:fldChar w:fldCharType="separate"/>
      </w:r>
      <w:r w:rsidR="007907D5">
        <w:t xml:space="preserve">tabla </w:t>
      </w:r>
      <w:r w:rsidR="007907D5">
        <w:rPr>
          <w:noProof/>
        </w:rPr>
        <w:t>22</w:t>
      </w:r>
      <w:r w:rsidR="007907D5">
        <w:fldChar w:fldCharType="end"/>
      </w:r>
      <w:r w:rsidR="009E296E">
        <w:t>. El propósito de esta</w:t>
      </w:r>
      <w:r w:rsidR="007907D5">
        <w:t>s</w:t>
      </w:r>
      <w:r w:rsidR="009E296E">
        <w:t xml:space="preserve"> simulaciones es tener alternativas en recaudación</w:t>
      </w:r>
      <w:r w:rsidR="00125853">
        <w:t xml:space="preserve"> e incidencia</w:t>
      </w:r>
      <w:r w:rsidR="00E917A0">
        <w:t xml:space="preserve"> mediante cambios en las tasas efectivas</w:t>
      </w:r>
      <w:r w:rsidR="00125853">
        <w:t>, además</w:t>
      </w:r>
      <w:r w:rsidR="00BE59CE">
        <w:t xml:space="preserve"> de</w:t>
      </w:r>
      <w:r w:rsidR="009E296E">
        <w:t xml:space="preserve"> ver el comportamiento de la economía como conjunto. La primera simulación corresponde a una generalización de la alícuota en 7% para el impuesto sobre las ventas, la segunda simulación es el traslado a un impuesto al valor agregado, </w:t>
      </w:r>
      <w:r w:rsidR="00BE59CE">
        <w:t>pero</w:t>
      </w:r>
      <w:r w:rsidR="009E296E">
        <w:t xml:space="preserve"> con una tasa </w:t>
      </w:r>
      <w:r w:rsidR="001C5FC7">
        <w:t>8</w:t>
      </w:r>
      <w:r w:rsidR="009E296E">
        <w:t>%. Para el tercer escenario se mantiene un impuesto al valor agregado con una alícuota del 10%</w:t>
      </w:r>
      <w:r w:rsidR="00BC0062">
        <w:t xml:space="preserve"> para todos los productos.</w:t>
      </w:r>
      <w:r w:rsidR="009E296E">
        <w:t xml:space="preserve"> </w:t>
      </w:r>
    </w:p>
    <w:p w14:paraId="0D6396BA" w14:textId="42C74310" w:rsidR="00210988" w:rsidRPr="00210988" w:rsidRDefault="00BC0062" w:rsidP="004E5E0B">
      <w:pPr>
        <w:spacing w:line="240" w:lineRule="auto"/>
      </w:pPr>
      <w:r>
        <w:t>P</w:t>
      </w:r>
      <w:r w:rsidR="009E296E">
        <w:t xml:space="preserve">ara la simulación cuatro se mantiene una tasa de </w:t>
      </w:r>
      <w:r w:rsidR="006427AB">
        <w:t>10</w:t>
      </w:r>
      <w:r w:rsidR="009E296E">
        <w:t>%, pero se da una tasa reducida para del 2% en agricultura, café</w:t>
      </w:r>
      <w:r w:rsidR="0051631B">
        <w:t xml:space="preserve"> y una de 8% en otros servicios</w:t>
      </w:r>
      <w:r w:rsidR="007907D5">
        <w:t xml:space="preserve"> debido a la relevancia que tienen estos productos en los primeros deciles de ingreso en la población</w:t>
      </w:r>
      <w:r w:rsidR="009E296E">
        <w:t>.</w:t>
      </w:r>
      <w:r w:rsidR="00210988">
        <w:t xml:space="preserve"> </w:t>
      </w:r>
      <w:r w:rsidR="00D92676">
        <w:t>C</w:t>
      </w:r>
      <w:r w:rsidR="00210988">
        <w:t xml:space="preserve">omo alternativa se propone en el escenario </w:t>
      </w:r>
      <w:r w:rsidR="00A44225">
        <w:t xml:space="preserve">5 </w:t>
      </w:r>
      <w:r w:rsidR="00210988">
        <w:t xml:space="preserve">eliminar el impuesto de ventas y realizar una </w:t>
      </w:r>
      <w:r w:rsidR="004E5E0B">
        <w:t xml:space="preserve">compensación en recaudación mediante el impuesto sobre la renta, esto con el objetivo de analizar la incidencia </w:t>
      </w:r>
      <w:r w:rsidR="00A44225">
        <w:t xml:space="preserve">real </w:t>
      </w:r>
      <w:r w:rsidR="004E5E0B">
        <w:t>que tiene el impuesto de ventas</w:t>
      </w:r>
      <w:r w:rsidR="00A44225">
        <w:t>.</w:t>
      </w:r>
    </w:p>
    <w:p w14:paraId="3AC340F2" w14:textId="624187D0" w:rsidR="008F5095" w:rsidRPr="00C7288D" w:rsidRDefault="00210988" w:rsidP="00210988">
      <w:pPr>
        <w:pStyle w:val="Caption"/>
      </w:pPr>
      <w:bookmarkStart w:id="176" w:name="_Ref1928463"/>
      <w:bookmarkStart w:id="177" w:name="_Toc526175265"/>
      <w:bookmarkStart w:id="178" w:name="_Toc2853712"/>
      <w:r>
        <w:t xml:space="preserve">Tabla </w:t>
      </w:r>
      <w:r>
        <w:fldChar w:fldCharType="begin"/>
      </w:r>
      <w:r>
        <w:instrText xml:space="preserve"> SEQ Tabla \* ARABIC </w:instrText>
      </w:r>
      <w:r>
        <w:fldChar w:fldCharType="separate"/>
      </w:r>
      <w:r w:rsidR="00A95E32">
        <w:rPr>
          <w:noProof/>
        </w:rPr>
        <w:t>22</w:t>
      </w:r>
      <w:r>
        <w:fldChar w:fldCharType="end"/>
      </w:r>
      <w:bookmarkEnd w:id="176"/>
      <w:r>
        <w:t xml:space="preserve">. </w:t>
      </w:r>
      <w:r>
        <w:br/>
        <w:t>Simulaciones para el análisis de incidencia</w:t>
      </w:r>
      <w:r w:rsidR="00456402">
        <w:t xml:space="preserve"> usando tasas efectivas</w:t>
      </w:r>
      <w:r>
        <w:t>.</w:t>
      </w:r>
      <w:bookmarkEnd w:id="177"/>
      <w:bookmarkEnd w:id="178"/>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98"/>
        <w:gridCol w:w="2871"/>
        <w:gridCol w:w="3057"/>
      </w:tblGrid>
      <w:tr w:rsidR="0097106E" w14:paraId="413A1A01" w14:textId="77777777" w:rsidTr="0097106E">
        <w:trPr>
          <w:trHeight w:val="316"/>
          <w:jc w:val="center"/>
        </w:trPr>
        <w:tc>
          <w:tcPr>
            <w:tcW w:w="3098" w:type="dxa"/>
            <w:tcBorders>
              <w:bottom w:val="single" w:sz="4" w:space="0" w:color="auto"/>
              <w:right w:val="single" w:sz="4" w:space="0" w:color="auto"/>
            </w:tcBorders>
          </w:tcPr>
          <w:p w14:paraId="0B983640" w14:textId="039331C7" w:rsidR="0097106E" w:rsidRPr="00327ECC" w:rsidRDefault="0097106E" w:rsidP="004E5E0B">
            <w:pPr>
              <w:jc w:val="center"/>
              <w:rPr>
                <w:rFonts w:ascii="Arial" w:cs="Arial"/>
                <w:sz w:val="22"/>
                <w:szCs w:val="22"/>
              </w:rPr>
            </w:pPr>
            <w:r w:rsidRPr="00327ECC">
              <w:rPr>
                <w:rFonts w:ascii="Arial" w:cs="Arial"/>
                <w:sz w:val="22"/>
                <w:szCs w:val="22"/>
              </w:rPr>
              <w:t>Simulaciones</w:t>
            </w:r>
          </w:p>
        </w:tc>
        <w:tc>
          <w:tcPr>
            <w:tcW w:w="2871" w:type="dxa"/>
            <w:tcBorders>
              <w:bottom w:val="single" w:sz="4" w:space="0" w:color="auto"/>
              <w:right w:val="single" w:sz="4" w:space="0" w:color="auto"/>
            </w:tcBorders>
          </w:tcPr>
          <w:p w14:paraId="3B73B396" w14:textId="3370F3F1" w:rsidR="0097106E" w:rsidRPr="00327ECC" w:rsidRDefault="00327ECC" w:rsidP="004E5E0B">
            <w:pPr>
              <w:jc w:val="center"/>
              <w:rPr>
                <w:rFonts w:ascii="Arial" w:cs="Arial"/>
                <w:sz w:val="22"/>
                <w:szCs w:val="22"/>
              </w:rPr>
            </w:pPr>
            <w:r w:rsidRPr="00327ECC">
              <w:rPr>
                <w:rFonts w:ascii="Arial" w:cs="Arial"/>
                <w:sz w:val="22"/>
                <w:szCs w:val="22"/>
              </w:rPr>
              <w:t>Nombre</w:t>
            </w:r>
          </w:p>
        </w:tc>
        <w:tc>
          <w:tcPr>
            <w:tcW w:w="3057" w:type="dxa"/>
            <w:tcBorders>
              <w:left w:val="single" w:sz="4" w:space="0" w:color="auto"/>
              <w:bottom w:val="single" w:sz="4" w:space="0" w:color="auto"/>
            </w:tcBorders>
          </w:tcPr>
          <w:p w14:paraId="6965FF47" w14:textId="22C6B0A7" w:rsidR="0097106E" w:rsidRPr="00327ECC" w:rsidRDefault="0097106E" w:rsidP="004E5E0B">
            <w:pPr>
              <w:jc w:val="center"/>
              <w:rPr>
                <w:rFonts w:ascii="Arial" w:cs="Arial"/>
                <w:sz w:val="22"/>
                <w:szCs w:val="22"/>
              </w:rPr>
            </w:pPr>
            <w:r w:rsidRPr="00327ECC">
              <w:rPr>
                <w:rFonts w:ascii="Arial" w:cs="Arial"/>
                <w:sz w:val="22"/>
                <w:szCs w:val="22"/>
              </w:rPr>
              <w:t>Detalle</w:t>
            </w:r>
          </w:p>
        </w:tc>
      </w:tr>
      <w:tr w:rsidR="0097106E" w14:paraId="1BE5D0E7" w14:textId="77777777" w:rsidTr="0097106E">
        <w:trPr>
          <w:trHeight w:val="316"/>
          <w:jc w:val="center"/>
        </w:trPr>
        <w:tc>
          <w:tcPr>
            <w:tcW w:w="3098" w:type="dxa"/>
            <w:tcBorders>
              <w:top w:val="single" w:sz="4" w:space="0" w:color="auto"/>
              <w:right w:val="single" w:sz="4" w:space="0" w:color="auto"/>
            </w:tcBorders>
          </w:tcPr>
          <w:p w14:paraId="6D046443" w14:textId="32C657C0" w:rsidR="0097106E" w:rsidRPr="00327ECC" w:rsidRDefault="0097106E" w:rsidP="004E5E0B">
            <w:pPr>
              <w:jc w:val="center"/>
              <w:rPr>
                <w:rFonts w:ascii="Arial" w:cs="Arial"/>
                <w:sz w:val="22"/>
                <w:szCs w:val="22"/>
              </w:rPr>
            </w:pPr>
            <w:r w:rsidRPr="00327ECC">
              <w:rPr>
                <w:rFonts w:ascii="Arial" w:cs="Arial"/>
                <w:sz w:val="22"/>
                <w:szCs w:val="22"/>
              </w:rPr>
              <w:t>Escenario 1</w:t>
            </w:r>
          </w:p>
        </w:tc>
        <w:tc>
          <w:tcPr>
            <w:tcW w:w="2871" w:type="dxa"/>
            <w:tcBorders>
              <w:top w:val="single" w:sz="4" w:space="0" w:color="auto"/>
              <w:right w:val="single" w:sz="4" w:space="0" w:color="auto"/>
            </w:tcBorders>
          </w:tcPr>
          <w:p w14:paraId="45811A66" w14:textId="4333F4EB" w:rsidR="0097106E" w:rsidRPr="00327ECC" w:rsidRDefault="00327ECC" w:rsidP="004E5E0B">
            <w:pPr>
              <w:jc w:val="center"/>
              <w:rPr>
                <w:rFonts w:ascii="Arial" w:cs="Arial"/>
                <w:sz w:val="22"/>
                <w:szCs w:val="22"/>
              </w:rPr>
            </w:pPr>
            <w:r w:rsidRPr="00327ECC">
              <w:rPr>
                <w:rFonts w:ascii="Arial" w:cs="Arial"/>
                <w:sz w:val="22"/>
                <w:szCs w:val="22"/>
              </w:rPr>
              <w:t>Sim01</w:t>
            </w:r>
          </w:p>
        </w:tc>
        <w:tc>
          <w:tcPr>
            <w:tcW w:w="3057" w:type="dxa"/>
            <w:tcBorders>
              <w:top w:val="single" w:sz="4" w:space="0" w:color="auto"/>
              <w:left w:val="single" w:sz="4" w:space="0" w:color="auto"/>
            </w:tcBorders>
          </w:tcPr>
          <w:p w14:paraId="5C875E9E" w14:textId="746AEFDE" w:rsidR="0097106E" w:rsidRPr="00327ECC" w:rsidRDefault="0097106E" w:rsidP="004E5E0B">
            <w:pPr>
              <w:jc w:val="center"/>
              <w:rPr>
                <w:rFonts w:ascii="Arial" w:cs="Arial"/>
                <w:sz w:val="22"/>
                <w:szCs w:val="22"/>
              </w:rPr>
            </w:pPr>
            <w:r w:rsidRPr="00327ECC">
              <w:rPr>
                <w:rFonts w:ascii="Arial" w:cs="Arial"/>
                <w:sz w:val="22"/>
                <w:szCs w:val="22"/>
              </w:rPr>
              <w:t>IGV con tasa 7%</w:t>
            </w:r>
          </w:p>
        </w:tc>
      </w:tr>
      <w:tr w:rsidR="0097106E" w14:paraId="0F27F3FA" w14:textId="77777777" w:rsidTr="0097106E">
        <w:trPr>
          <w:trHeight w:val="306"/>
          <w:jc w:val="center"/>
        </w:trPr>
        <w:tc>
          <w:tcPr>
            <w:tcW w:w="3098" w:type="dxa"/>
            <w:tcBorders>
              <w:right w:val="single" w:sz="4" w:space="0" w:color="auto"/>
            </w:tcBorders>
          </w:tcPr>
          <w:p w14:paraId="5A8BFC84" w14:textId="79B7980D" w:rsidR="0097106E" w:rsidRPr="00327ECC" w:rsidRDefault="0097106E" w:rsidP="004E5E0B">
            <w:pPr>
              <w:jc w:val="center"/>
              <w:rPr>
                <w:rFonts w:ascii="Arial" w:cs="Arial"/>
                <w:sz w:val="22"/>
                <w:szCs w:val="22"/>
              </w:rPr>
            </w:pPr>
            <w:r w:rsidRPr="00327ECC">
              <w:rPr>
                <w:rFonts w:ascii="Arial" w:cs="Arial"/>
                <w:sz w:val="22"/>
                <w:szCs w:val="22"/>
              </w:rPr>
              <w:t>Escenario 2</w:t>
            </w:r>
          </w:p>
        </w:tc>
        <w:tc>
          <w:tcPr>
            <w:tcW w:w="2871" w:type="dxa"/>
            <w:tcBorders>
              <w:right w:val="single" w:sz="4" w:space="0" w:color="auto"/>
            </w:tcBorders>
          </w:tcPr>
          <w:p w14:paraId="0C3A686D" w14:textId="4ED3469D" w:rsidR="0097106E" w:rsidRPr="00327ECC" w:rsidRDefault="00327ECC" w:rsidP="004E5E0B">
            <w:pPr>
              <w:jc w:val="center"/>
              <w:rPr>
                <w:rFonts w:ascii="Arial" w:cs="Arial"/>
                <w:sz w:val="22"/>
                <w:szCs w:val="22"/>
              </w:rPr>
            </w:pPr>
            <w:r w:rsidRPr="00327ECC">
              <w:rPr>
                <w:rFonts w:ascii="Arial" w:cs="Arial"/>
                <w:sz w:val="22"/>
                <w:szCs w:val="22"/>
              </w:rPr>
              <w:t>Sim02</w:t>
            </w:r>
          </w:p>
        </w:tc>
        <w:tc>
          <w:tcPr>
            <w:tcW w:w="3057" w:type="dxa"/>
            <w:tcBorders>
              <w:left w:val="single" w:sz="4" w:space="0" w:color="auto"/>
            </w:tcBorders>
          </w:tcPr>
          <w:p w14:paraId="4763428C" w14:textId="4B6C13A4" w:rsidR="0097106E" w:rsidRPr="00327ECC" w:rsidRDefault="0097106E" w:rsidP="004E5E0B">
            <w:pPr>
              <w:jc w:val="center"/>
              <w:rPr>
                <w:rFonts w:ascii="Arial" w:cs="Arial"/>
                <w:sz w:val="22"/>
                <w:szCs w:val="22"/>
              </w:rPr>
            </w:pPr>
            <w:r w:rsidRPr="00327ECC">
              <w:rPr>
                <w:rFonts w:ascii="Arial" w:cs="Arial"/>
                <w:sz w:val="22"/>
                <w:szCs w:val="22"/>
              </w:rPr>
              <w:t>IVA con tasa 8%</w:t>
            </w:r>
          </w:p>
        </w:tc>
      </w:tr>
      <w:tr w:rsidR="0097106E" w14:paraId="75A25BDA" w14:textId="77777777" w:rsidTr="0097106E">
        <w:trPr>
          <w:trHeight w:val="316"/>
          <w:jc w:val="center"/>
        </w:trPr>
        <w:tc>
          <w:tcPr>
            <w:tcW w:w="3098" w:type="dxa"/>
            <w:tcBorders>
              <w:right w:val="single" w:sz="4" w:space="0" w:color="auto"/>
            </w:tcBorders>
          </w:tcPr>
          <w:p w14:paraId="0AC780BC" w14:textId="529BFAEC" w:rsidR="0097106E" w:rsidRPr="00327ECC" w:rsidRDefault="0097106E" w:rsidP="004E5E0B">
            <w:pPr>
              <w:jc w:val="center"/>
              <w:rPr>
                <w:rFonts w:ascii="Arial" w:cs="Arial"/>
                <w:sz w:val="22"/>
                <w:szCs w:val="22"/>
              </w:rPr>
            </w:pPr>
            <w:r w:rsidRPr="00327ECC">
              <w:rPr>
                <w:rFonts w:ascii="Arial" w:cs="Arial"/>
                <w:sz w:val="22"/>
                <w:szCs w:val="22"/>
              </w:rPr>
              <w:t>Escenario 3</w:t>
            </w:r>
          </w:p>
        </w:tc>
        <w:tc>
          <w:tcPr>
            <w:tcW w:w="2871" w:type="dxa"/>
            <w:tcBorders>
              <w:right w:val="single" w:sz="4" w:space="0" w:color="auto"/>
            </w:tcBorders>
          </w:tcPr>
          <w:p w14:paraId="488AE693" w14:textId="0C4F92E7" w:rsidR="0097106E" w:rsidRPr="00327ECC" w:rsidRDefault="00327ECC" w:rsidP="004E5E0B">
            <w:pPr>
              <w:jc w:val="center"/>
              <w:rPr>
                <w:rFonts w:ascii="Arial" w:cs="Arial"/>
                <w:sz w:val="22"/>
                <w:szCs w:val="22"/>
              </w:rPr>
            </w:pPr>
            <w:r w:rsidRPr="00327ECC">
              <w:rPr>
                <w:rFonts w:ascii="Arial" w:cs="Arial"/>
                <w:sz w:val="22"/>
                <w:szCs w:val="22"/>
              </w:rPr>
              <w:t>Sim03</w:t>
            </w:r>
          </w:p>
        </w:tc>
        <w:tc>
          <w:tcPr>
            <w:tcW w:w="3057" w:type="dxa"/>
            <w:tcBorders>
              <w:left w:val="single" w:sz="4" w:space="0" w:color="auto"/>
            </w:tcBorders>
          </w:tcPr>
          <w:p w14:paraId="22A267A4" w14:textId="2E0D1FD4" w:rsidR="0097106E" w:rsidRPr="00327ECC" w:rsidRDefault="0097106E" w:rsidP="004E5E0B">
            <w:pPr>
              <w:jc w:val="center"/>
              <w:rPr>
                <w:rFonts w:ascii="Arial" w:cs="Arial"/>
                <w:sz w:val="22"/>
                <w:szCs w:val="22"/>
              </w:rPr>
            </w:pPr>
            <w:r w:rsidRPr="00327ECC">
              <w:rPr>
                <w:rFonts w:ascii="Arial" w:cs="Arial"/>
                <w:sz w:val="22"/>
                <w:szCs w:val="22"/>
              </w:rPr>
              <w:t>IVA con tasa 10%</w:t>
            </w:r>
          </w:p>
        </w:tc>
      </w:tr>
      <w:tr w:rsidR="0097106E" w14:paraId="6F295C8F" w14:textId="77777777" w:rsidTr="0097106E">
        <w:trPr>
          <w:trHeight w:val="623"/>
          <w:jc w:val="center"/>
        </w:trPr>
        <w:tc>
          <w:tcPr>
            <w:tcW w:w="3098" w:type="dxa"/>
            <w:tcBorders>
              <w:right w:val="single" w:sz="4" w:space="0" w:color="auto"/>
            </w:tcBorders>
          </w:tcPr>
          <w:p w14:paraId="70AAAFC1" w14:textId="26F00704" w:rsidR="0097106E" w:rsidRPr="00327ECC" w:rsidRDefault="0097106E" w:rsidP="004E5E0B">
            <w:pPr>
              <w:jc w:val="center"/>
              <w:rPr>
                <w:rFonts w:ascii="Arial" w:cs="Arial"/>
                <w:sz w:val="22"/>
                <w:szCs w:val="22"/>
              </w:rPr>
            </w:pPr>
            <w:r w:rsidRPr="00327ECC">
              <w:rPr>
                <w:rFonts w:ascii="Arial" w:cs="Arial"/>
                <w:sz w:val="22"/>
                <w:szCs w:val="22"/>
              </w:rPr>
              <w:t>Escenario 4</w:t>
            </w:r>
          </w:p>
        </w:tc>
        <w:tc>
          <w:tcPr>
            <w:tcW w:w="2871" w:type="dxa"/>
            <w:tcBorders>
              <w:right w:val="single" w:sz="4" w:space="0" w:color="auto"/>
            </w:tcBorders>
          </w:tcPr>
          <w:p w14:paraId="0D0ACFBE" w14:textId="647479C8" w:rsidR="0097106E" w:rsidRPr="00327ECC" w:rsidRDefault="00327ECC" w:rsidP="004E5E0B">
            <w:pPr>
              <w:jc w:val="center"/>
              <w:rPr>
                <w:rFonts w:ascii="Arial" w:cs="Arial"/>
                <w:sz w:val="22"/>
                <w:szCs w:val="22"/>
              </w:rPr>
            </w:pPr>
            <w:r w:rsidRPr="00327ECC">
              <w:rPr>
                <w:rFonts w:ascii="Arial" w:cs="Arial"/>
                <w:sz w:val="22"/>
                <w:szCs w:val="22"/>
              </w:rPr>
              <w:t>Sim04</w:t>
            </w:r>
          </w:p>
        </w:tc>
        <w:tc>
          <w:tcPr>
            <w:tcW w:w="3057" w:type="dxa"/>
            <w:tcBorders>
              <w:left w:val="single" w:sz="4" w:space="0" w:color="auto"/>
            </w:tcBorders>
          </w:tcPr>
          <w:p w14:paraId="5F257F2A" w14:textId="7C9F79A6" w:rsidR="0097106E" w:rsidRPr="00327ECC" w:rsidRDefault="0097106E" w:rsidP="004E5E0B">
            <w:pPr>
              <w:jc w:val="center"/>
              <w:rPr>
                <w:rFonts w:ascii="Arial" w:cs="Arial"/>
                <w:sz w:val="22"/>
                <w:szCs w:val="22"/>
              </w:rPr>
            </w:pPr>
            <w:r w:rsidRPr="00327ECC">
              <w:rPr>
                <w:rFonts w:ascii="Arial" w:cs="Arial"/>
                <w:sz w:val="22"/>
                <w:szCs w:val="22"/>
              </w:rPr>
              <w:t>IVA con tasa 10% y algunos bienes y servicios en 4%.</w:t>
            </w:r>
          </w:p>
        </w:tc>
      </w:tr>
      <w:tr w:rsidR="0097106E" w14:paraId="2BBCC32A" w14:textId="77777777" w:rsidTr="0097106E">
        <w:trPr>
          <w:trHeight w:val="623"/>
          <w:jc w:val="center"/>
        </w:trPr>
        <w:tc>
          <w:tcPr>
            <w:tcW w:w="3098" w:type="dxa"/>
            <w:tcBorders>
              <w:bottom w:val="single" w:sz="4" w:space="0" w:color="auto"/>
              <w:right w:val="single" w:sz="4" w:space="0" w:color="auto"/>
            </w:tcBorders>
          </w:tcPr>
          <w:p w14:paraId="23522569" w14:textId="6A046A96" w:rsidR="0097106E" w:rsidRPr="00327ECC" w:rsidRDefault="0097106E" w:rsidP="004E5E0B">
            <w:pPr>
              <w:jc w:val="center"/>
              <w:rPr>
                <w:rFonts w:ascii="Arial" w:cs="Arial"/>
                <w:sz w:val="22"/>
                <w:szCs w:val="22"/>
              </w:rPr>
            </w:pPr>
            <w:r w:rsidRPr="00327ECC">
              <w:rPr>
                <w:rFonts w:ascii="Arial" w:cs="Arial"/>
                <w:sz w:val="22"/>
                <w:szCs w:val="22"/>
              </w:rPr>
              <w:t>Escenario 5</w:t>
            </w:r>
          </w:p>
        </w:tc>
        <w:tc>
          <w:tcPr>
            <w:tcW w:w="2871" w:type="dxa"/>
            <w:tcBorders>
              <w:bottom w:val="single" w:sz="4" w:space="0" w:color="auto"/>
              <w:right w:val="single" w:sz="4" w:space="0" w:color="auto"/>
            </w:tcBorders>
          </w:tcPr>
          <w:p w14:paraId="4B918491" w14:textId="092B3D5A" w:rsidR="0097106E" w:rsidRPr="00327ECC" w:rsidRDefault="00327ECC" w:rsidP="004E5E0B">
            <w:pPr>
              <w:jc w:val="center"/>
              <w:rPr>
                <w:rFonts w:ascii="Arial" w:cs="Arial"/>
                <w:sz w:val="22"/>
                <w:szCs w:val="22"/>
              </w:rPr>
            </w:pPr>
            <w:r w:rsidRPr="00327ECC">
              <w:rPr>
                <w:rFonts w:ascii="Arial" w:cs="Arial"/>
                <w:sz w:val="22"/>
                <w:szCs w:val="22"/>
              </w:rPr>
              <w:t>Sim05</w:t>
            </w:r>
          </w:p>
        </w:tc>
        <w:tc>
          <w:tcPr>
            <w:tcW w:w="3057" w:type="dxa"/>
            <w:tcBorders>
              <w:left w:val="single" w:sz="4" w:space="0" w:color="auto"/>
              <w:bottom w:val="single" w:sz="4" w:space="0" w:color="auto"/>
            </w:tcBorders>
          </w:tcPr>
          <w:p w14:paraId="2171F47A" w14:textId="3E68BE3F" w:rsidR="0097106E" w:rsidRPr="00327ECC" w:rsidRDefault="0097106E" w:rsidP="004E5E0B">
            <w:pPr>
              <w:jc w:val="center"/>
              <w:rPr>
                <w:rFonts w:ascii="Arial" w:cs="Arial"/>
                <w:sz w:val="22"/>
                <w:szCs w:val="22"/>
              </w:rPr>
            </w:pPr>
            <w:r w:rsidRPr="00327ECC">
              <w:rPr>
                <w:rFonts w:ascii="Arial" w:cs="Arial"/>
                <w:sz w:val="22"/>
                <w:szCs w:val="22"/>
              </w:rPr>
              <w:t xml:space="preserve">Sustitución del impuesto de ventas por </w:t>
            </w:r>
            <w:r w:rsidR="003F531E">
              <w:rPr>
                <w:rFonts w:ascii="Arial" w:cs="Arial"/>
                <w:sz w:val="22"/>
                <w:szCs w:val="22"/>
              </w:rPr>
              <w:t xml:space="preserve">un </w:t>
            </w:r>
            <w:r w:rsidRPr="00327ECC">
              <w:rPr>
                <w:rFonts w:ascii="Arial" w:cs="Arial"/>
                <w:sz w:val="22"/>
                <w:szCs w:val="22"/>
              </w:rPr>
              <w:t>aumento en impuesto de renta</w:t>
            </w:r>
          </w:p>
        </w:tc>
      </w:tr>
    </w:tbl>
    <w:p w14:paraId="5E67DCE4" w14:textId="48DB912D" w:rsidR="004E5E0B" w:rsidRDefault="004E5E0B" w:rsidP="004E5E0B">
      <w:pPr>
        <w:rPr>
          <w:rFonts w:eastAsiaTheme="minorHAnsi" w:cs="Arial"/>
          <w:sz w:val="18"/>
          <w:szCs w:val="20"/>
        </w:rPr>
      </w:pPr>
      <w:r w:rsidRPr="009161F1">
        <w:rPr>
          <w:rFonts w:eastAsiaTheme="minorHAnsi" w:cs="Arial"/>
          <w:sz w:val="18"/>
          <w:szCs w:val="20"/>
        </w:rPr>
        <w:t>Fuente: elaboración propia</w:t>
      </w:r>
      <w:r w:rsidR="00DD74A3">
        <w:rPr>
          <w:rFonts w:eastAsiaTheme="minorHAnsi" w:cs="Arial"/>
          <w:sz w:val="18"/>
          <w:szCs w:val="20"/>
        </w:rPr>
        <w:t>.</w:t>
      </w:r>
    </w:p>
    <w:p w14:paraId="2A5D3A19" w14:textId="17A706B3" w:rsidR="00AF2B4F" w:rsidRDefault="003E1F98" w:rsidP="006B6A57">
      <w:pPr>
        <w:spacing w:line="240" w:lineRule="auto"/>
        <w:rPr>
          <w:rFonts w:eastAsiaTheme="minorHAnsi" w:cs="Arial"/>
        </w:rPr>
      </w:pPr>
      <w:r>
        <w:rPr>
          <w:rFonts w:eastAsiaTheme="minorHAnsi" w:cs="Arial"/>
        </w:rPr>
        <w:t xml:space="preserve">La comparación de </w:t>
      </w:r>
      <w:r w:rsidR="006B6A57">
        <w:rPr>
          <w:rFonts w:eastAsiaTheme="minorHAnsi" w:cs="Arial"/>
        </w:rPr>
        <w:t xml:space="preserve">los primeros cuatros </w:t>
      </w:r>
      <w:r>
        <w:rPr>
          <w:rFonts w:eastAsiaTheme="minorHAnsi" w:cs="Arial"/>
        </w:rPr>
        <w:t>escenarios mediante la p</w:t>
      </w:r>
      <w:r w:rsidR="006B6A57">
        <w:rPr>
          <w:rFonts w:eastAsiaTheme="minorHAnsi" w:cs="Arial"/>
        </w:rPr>
        <w:t xml:space="preserve">resión tributaria se muestra en la </w:t>
      </w:r>
      <w:r w:rsidR="00732A22">
        <w:rPr>
          <w:rFonts w:eastAsiaTheme="minorHAnsi" w:cs="Arial"/>
        </w:rPr>
        <w:fldChar w:fldCharType="begin"/>
      </w:r>
      <w:r w:rsidR="00732A22">
        <w:rPr>
          <w:rFonts w:eastAsiaTheme="minorHAnsi" w:cs="Arial"/>
        </w:rPr>
        <w:instrText xml:space="preserve"> REF _Ref526516022 \h </w:instrText>
      </w:r>
      <w:r w:rsidR="00732A22" w:rsidRPr="00732A22">
        <w:rPr>
          <w:rFonts w:eastAsiaTheme="minorHAnsi" w:cs="Arial"/>
        </w:rPr>
        <w:instrText>\</w:instrText>
      </w:r>
      <w:r w:rsidR="00732A22">
        <w:rPr>
          <w:rFonts w:eastAsiaTheme="minorHAnsi" w:cs="Arial"/>
        </w:rPr>
        <w:instrText xml:space="preserve">* lower </w:instrText>
      </w:r>
      <w:r w:rsidR="00732A22">
        <w:rPr>
          <w:rFonts w:eastAsiaTheme="minorHAnsi" w:cs="Arial"/>
        </w:rPr>
      </w:r>
      <w:r w:rsidR="00732A22">
        <w:rPr>
          <w:rFonts w:eastAsiaTheme="minorHAnsi" w:cs="Arial"/>
        </w:rPr>
        <w:fldChar w:fldCharType="separate"/>
      </w:r>
      <w:r w:rsidR="00A95E32">
        <w:t xml:space="preserve">figura </w:t>
      </w:r>
      <w:r w:rsidR="00A95E32">
        <w:rPr>
          <w:noProof/>
        </w:rPr>
        <w:t>14</w:t>
      </w:r>
      <w:r w:rsidR="00732A22">
        <w:rPr>
          <w:rFonts w:eastAsiaTheme="minorHAnsi" w:cs="Arial"/>
        </w:rPr>
        <w:fldChar w:fldCharType="end"/>
      </w:r>
      <w:r w:rsidR="00732A22">
        <w:rPr>
          <w:rFonts w:eastAsiaTheme="minorHAnsi" w:cs="Arial"/>
        </w:rPr>
        <w:t xml:space="preserve">. </w:t>
      </w:r>
      <w:r w:rsidR="00E03238">
        <w:rPr>
          <w:rFonts w:eastAsiaTheme="minorHAnsi" w:cs="Arial"/>
        </w:rPr>
        <w:t xml:space="preserve">En todos los escenarios </w:t>
      </w:r>
      <w:r w:rsidR="00396587">
        <w:rPr>
          <w:rFonts w:eastAsiaTheme="minorHAnsi" w:cs="Arial"/>
        </w:rPr>
        <w:t xml:space="preserve">se muestra que </w:t>
      </w:r>
      <w:r w:rsidR="007907D5">
        <w:rPr>
          <w:rFonts w:eastAsiaTheme="minorHAnsi" w:cs="Arial"/>
        </w:rPr>
        <w:t>el comportamiento de ambos impuestos es</w:t>
      </w:r>
      <w:r w:rsidR="00396587">
        <w:rPr>
          <w:rFonts w:eastAsiaTheme="minorHAnsi" w:cs="Arial"/>
        </w:rPr>
        <w:t xml:space="preserve"> regresivo, esto evidencia </w:t>
      </w:r>
      <w:r w:rsidR="002D791F">
        <w:rPr>
          <w:rFonts w:eastAsiaTheme="minorHAnsi" w:cs="Arial"/>
        </w:rPr>
        <w:t>en</w:t>
      </w:r>
      <w:r w:rsidR="00396587">
        <w:rPr>
          <w:rFonts w:eastAsiaTheme="minorHAnsi" w:cs="Arial"/>
        </w:rPr>
        <w:t xml:space="preserve"> que los hogares de</w:t>
      </w:r>
      <w:r w:rsidR="003A72A6">
        <w:rPr>
          <w:rFonts w:eastAsiaTheme="minorHAnsi" w:cs="Arial"/>
        </w:rPr>
        <w:t xml:space="preserve"> </w:t>
      </w:r>
      <w:r w:rsidR="00396587">
        <w:rPr>
          <w:rFonts w:eastAsiaTheme="minorHAnsi" w:cs="Arial"/>
        </w:rPr>
        <w:t>l</w:t>
      </w:r>
      <w:r w:rsidR="003A72A6">
        <w:rPr>
          <w:rFonts w:eastAsiaTheme="minorHAnsi" w:cs="Arial"/>
        </w:rPr>
        <w:t>os</w:t>
      </w:r>
      <w:r w:rsidR="00396587">
        <w:rPr>
          <w:rFonts w:eastAsiaTheme="minorHAnsi" w:cs="Arial"/>
        </w:rPr>
        <w:t xml:space="preserve"> primer</w:t>
      </w:r>
      <w:r w:rsidR="003A72A6">
        <w:rPr>
          <w:rFonts w:eastAsiaTheme="minorHAnsi" w:cs="Arial"/>
        </w:rPr>
        <w:t>os</w:t>
      </w:r>
      <w:r w:rsidR="00396587">
        <w:rPr>
          <w:rFonts w:eastAsiaTheme="minorHAnsi" w:cs="Arial"/>
        </w:rPr>
        <w:t xml:space="preserve"> decil</w:t>
      </w:r>
      <w:r w:rsidR="003A72A6">
        <w:rPr>
          <w:rFonts w:eastAsiaTheme="minorHAnsi" w:cs="Arial"/>
        </w:rPr>
        <w:t>es</w:t>
      </w:r>
      <w:r w:rsidR="00396587">
        <w:rPr>
          <w:rFonts w:eastAsiaTheme="minorHAnsi" w:cs="Arial"/>
        </w:rPr>
        <w:t xml:space="preserve"> </w:t>
      </w:r>
      <w:r w:rsidR="003A72A6">
        <w:rPr>
          <w:rFonts w:eastAsiaTheme="minorHAnsi" w:cs="Arial"/>
        </w:rPr>
        <w:t xml:space="preserve">sufren de una presión mayor que los </w:t>
      </w:r>
      <w:r w:rsidR="00EE66C1">
        <w:rPr>
          <w:rFonts w:eastAsiaTheme="minorHAnsi" w:cs="Arial"/>
        </w:rPr>
        <w:t xml:space="preserve">últimos. </w:t>
      </w:r>
      <w:r w:rsidR="00C11661">
        <w:rPr>
          <w:rFonts w:eastAsiaTheme="minorHAnsi" w:cs="Arial"/>
        </w:rPr>
        <w:t>También, es notable que el escenario más regresivo e</w:t>
      </w:r>
      <w:r w:rsidR="00DD7A99">
        <w:rPr>
          <w:rFonts w:eastAsiaTheme="minorHAnsi" w:cs="Arial"/>
        </w:rPr>
        <w:t>s el</w:t>
      </w:r>
      <w:r w:rsidR="00C11661">
        <w:rPr>
          <w:rFonts w:eastAsiaTheme="minorHAnsi" w:cs="Arial"/>
        </w:rPr>
        <w:t xml:space="preserve"> 3, esto se debe a la generalización de</w:t>
      </w:r>
      <w:r w:rsidR="00D80825">
        <w:rPr>
          <w:rFonts w:eastAsiaTheme="minorHAnsi" w:cs="Arial"/>
        </w:rPr>
        <w:t xml:space="preserve"> la tasa efectiva del 10%, por tanto, </w:t>
      </w:r>
      <w:r w:rsidR="00614D90">
        <w:rPr>
          <w:rFonts w:eastAsiaTheme="minorHAnsi" w:cs="Arial"/>
        </w:rPr>
        <w:t xml:space="preserve">no hay oportunidad de </w:t>
      </w:r>
      <w:r w:rsidR="005C16A5">
        <w:rPr>
          <w:rFonts w:eastAsiaTheme="minorHAnsi" w:cs="Arial"/>
        </w:rPr>
        <w:t xml:space="preserve">que las </w:t>
      </w:r>
      <w:r w:rsidR="00614D90">
        <w:rPr>
          <w:rFonts w:eastAsiaTheme="minorHAnsi" w:cs="Arial"/>
        </w:rPr>
        <w:t xml:space="preserve">exoneraciones puedan disminuir </w:t>
      </w:r>
      <w:r w:rsidR="005C16A5">
        <w:rPr>
          <w:rFonts w:eastAsiaTheme="minorHAnsi" w:cs="Arial"/>
        </w:rPr>
        <w:t>la presión.</w:t>
      </w:r>
    </w:p>
    <w:p w14:paraId="6A59B572" w14:textId="50B4D9C8" w:rsidR="006B6A57" w:rsidRDefault="00D33CA0" w:rsidP="006B6A57">
      <w:pPr>
        <w:spacing w:line="240" w:lineRule="auto"/>
        <w:rPr>
          <w:rFonts w:eastAsiaTheme="minorHAnsi" w:cs="Arial"/>
        </w:rPr>
      </w:pPr>
      <w:r>
        <w:rPr>
          <w:rFonts w:eastAsiaTheme="minorHAnsi" w:cs="Arial"/>
        </w:rPr>
        <w:t xml:space="preserve">Cuando se introducen las exoneraciones </w:t>
      </w:r>
      <w:r w:rsidR="002B1B06">
        <w:rPr>
          <w:rFonts w:eastAsiaTheme="minorHAnsi" w:cs="Arial"/>
        </w:rPr>
        <w:t xml:space="preserve">en el escenario 4, la regresividad disminuye, porque </w:t>
      </w:r>
      <w:r w:rsidR="00865DF3">
        <w:rPr>
          <w:rFonts w:eastAsiaTheme="minorHAnsi" w:cs="Arial"/>
        </w:rPr>
        <w:t xml:space="preserve">los bienes son </w:t>
      </w:r>
      <w:r w:rsidR="003E2D24">
        <w:rPr>
          <w:rFonts w:eastAsiaTheme="minorHAnsi" w:cs="Arial"/>
        </w:rPr>
        <w:t xml:space="preserve">en </w:t>
      </w:r>
      <w:r w:rsidR="00962F37">
        <w:rPr>
          <w:rFonts w:eastAsiaTheme="minorHAnsi" w:cs="Arial"/>
        </w:rPr>
        <w:t>mayor proporción consumidos por</w:t>
      </w:r>
      <w:r w:rsidR="00865DF3">
        <w:rPr>
          <w:rFonts w:eastAsiaTheme="minorHAnsi" w:cs="Arial"/>
        </w:rPr>
        <w:t xml:space="preserve"> los primeros deciles</w:t>
      </w:r>
      <w:r w:rsidR="00962F37">
        <w:rPr>
          <w:rFonts w:eastAsiaTheme="minorHAnsi" w:cs="Arial"/>
        </w:rPr>
        <w:t>.</w:t>
      </w:r>
      <w:r w:rsidR="007C6C19">
        <w:rPr>
          <w:rFonts w:eastAsiaTheme="minorHAnsi" w:cs="Arial"/>
        </w:rPr>
        <w:t xml:space="preserve"> La presión es menor </w:t>
      </w:r>
      <w:r w:rsidR="008C3A0E">
        <w:rPr>
          <w:rFonts w:eastAsiaTheme="minorHAnsi" w:cs="Arial"/>
        </w:rPr>
        <w:t>e</w:t>
      </w:r>
      <w:r w:rsidR="00176DD4">
        <w:rPr>
          <w:rFonts w:eastAsiaTheme="minorHAnsi" w:cs="Arial"/>
        </w:rPr>
        <w:t>n el</w:t>
      </w:r>
      <w:r w:rsidR="008C3A0E">
        <w:rPr>
          <w:rFonts w:eastAsiaTheme="minorHAnsi" w:cs="Arial"/>
        </w:rPr>
        <w:t xml:space="preserve"> escenario </w:t>
      </w:r>
      <w:r w:rsidR="00176DD4">
        <w:rPr>
          <w:rFonts w:eastAsiaTheme="minorHAnsi" w:cs="Arial"/>
        </w:rPr>
        <w:t>3</w:t>
      </w:r>
      <w:r w:rsidR="008C3A0E">
        <w:rPr>
          <w:rFonts w:eastAsiaTheme="minorHAnsi" w:cs="Arial"/>
        </w:rPr>
        <w:t xml:space="preserve"> e inclusive menor que </w:t>
      </w:r>
      <w:r w:rsidR="00D26E69">
        <w:rPr>
          <w:rFonts w:eastAsiaTheme="minorHAnsi" w:cs="Arial"/>
        </w:rPr>
        <w:t>e</w:t>
      </w:r>
      <w:r w:rsidR="008C3A0E">
        <w:rPr>
          <w:rFonts w:eastAsiaTheme="minorHAnsi" w:cs="Arial"/>
        </w:rPr>
        <w:t xml:space="preserve">l escenario </w:t>
      </w:r>
      <w:r w:rsidR="00AE0A3E">
        <w:rPr>
          <w:rFonts w:eastAsiaTheme="minorHAnsi" w:cs="Arial"/>
        </w:rPr>
        <w:t>2</w:t>
      </w:r>
      <w:r w:rsidR="00D83452">
        <w:rPr>
          <w:rFonts w:eastAsiaTheme="minorHAnsi" w:cs="Arial"/>
        </w:rPr>
        <w:t xml:space="preserve">, el cual tiene </w:t>
      </w:r>
      <w:r w:rsidR="008C3A0E">
        <w:rPr>
          <w:rFonts w:eastAsiaTheme="minorHAnsi" w:cs="Arial"/>
        </w:rPr>
        <w:t>una tasa</w:t>
      </w:r>
      <w:r w:rsidR="00EF7AC0">
        <w:rPr>
          <w:rFonts w:eastAsiaTheme="minorHAnsi" w:cs="Arial"/>
        </w:rPr>
        <w:t xml:space="preserve"> del</w:t>
      </w:r>
      <w:r w:rsidR="008C3A0E">
        <w:rPr>
          <w:rFonts w:eastAsiaTheme="minorHAnsi" w:cs="Arial"/>
        </w:rPr>
        <w:t xml:space="preserve"> </w:t>
      </w:r>
      <w:r w:rsidR="00AE0A3E">
        <w:rPr>
          <w:rFonts w:eastAsiaTheme="minorHAnsi" w:cs="Arial"/>
        </w:rPr>
        <w:t>8% generalizada</w:t>
      </w:r>
      <w:r w:rsidR="003805B1">
        <w:rPr>
          <w:rFonts w:eastAsiaTheme="minorHAnsi" w:cs="Arial"/>
        </w:rPr>
        <w:t xml:space="preserve">, para los primeros deciles y </w:t>
      </w:r>
      <w:r w:rsidR="009C27B4">
        <w:rPr>
          <w:rFonts w:eastAsiaTheme="minorHAnsi" w:cs="Arial"/>
        </w:rPr>
        <w:t>la presión se iguala para los últimos deciles</w:t>
      </w:r>
      <w:r w:rsidR="00DA5038">
        <w:rPr>
          <w:rFonts w:eastAsiaTheme="minorHAnsi" w:cs="Arial"/>
        </w:rPr>
        <w:t>.</w:t>
      </w:r>
    </w:p>
    <w:p w14:paraId="4D5BF014" w14:textId="4454F8F2" w:rsidR="006B6A57" w:rsidRDefault="00F0266A" w:rsidP="00F0266A">
      <w:pPr>
        <w:jc w:val="left"/>
        <w:rPr>
          <w:rFonts w:eastAsiaTheme="minorHAnsi" w:cs="Arial"/>
        </w:rPr>
      </w:pPr>
      <w:r>
        <w:rPr>
          <w:rFonts w:eastAsiaTheme="minorHAnsi" w:cs="Arial"/>
        </w:rPr>
        <w:br w:type="page"/>
      </w:r>
    </w:p>
    <w:p w14:paraId="63921A59" w14:textId="2241D5D1" w:rsidR="006B6A57" w:rsidRDefault="006B6A57" w:rsidP="006B6A57">
      <w:pPr>
        <w:pStyle w:val="Caption"/>
      </w:pPr>
      <w:bookmarkStart w:id="179" w:name="_Ref526516022"/>
      <w:bookmarkStart w:id="180" w:name="_Toc2853731"/>
      <w:r>
        <w:lastRenderedPageBreak/>
        <w:t xml:space="preserve">Figura </w:t>
      </w:r>
      <w:r>
        <w:fldChar w:fldCharType="begin"/>
      </w:r>
      <w:r>
        <w:instrText xml:space="preserve"> SEQ Figura \* ARABIC </w:instrText>
      </w:r>
      <w:r>
        <w:fldChar w:fldCharType="separate"/>
      </w:r>
      <w:r w:rsidR="00A95E32">
        <w:rPr>
          <w:noProof/>
        </w:rPr>
        <w:t>14</w:t>
      </w:r>
      <w:r>
        <w:fldChar w:fldCharType="end"/>
      </w:r>
      <w:bookmarkEnd w:id="179"/>
      <w:r>
        <w:t xml:space="preserve"> </w:t>
      </w:r>
      <w:r>
        <w:br/>
        <w:t xml:space="preserve">Presión tributaria </w:t>
      </w:r>
      <w:r w:rsidR="007907D5">
        <w:t>según escenario de simulación</w:t>
      </w:r>
      <w:bookmarkEnd w:id="180"/>
    </w:p>
    <w:p w14:paraId="52B47E87" w14:textId="693EB189" w:rsidR="00FC255B" w:rsidRPr="00FC255B" w:rsidRDefault="00FC255B" w:rsidP="00FC255B">
      <w:pPr>
        <w:rPr>
          <w:rFonts w:eastAsiaTheme="minorHAnsi"/>
        </w:rPr>
      </w:pPr>
      <w:r>
        <w:rPr>
          <w:noProof/>
        </w:rPr>
        <w:drawing>
          <wp:inline distT="0" distB="0" distL="0" distR="0" wp14:anchorId="252DB474" wp14:editId="520FC819">
            <wp:extent cx="5731510" cy="3318510"/>
            <wp:effectExtent l="0" t="0" r="2540" b="0"/>
            <wp:docPr id="13" name="Chart 13">
              <a:extLst xmlns:a="http://schemas.openxmlformats.org/drawingml/2006/main">
                <a:ext uri="{FF2B5EF4-FFF2-40B4-BE49-F238E27FC236}">
                  <a16:creationId xmlns:a16="http://schemas.microsoft.com/office/drawing/2014/main" id="{07E7B0DF-6047-47B6-A1B8-376929F75F8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63"/>
              </a:graphicData>
            </a:graphic>
          </wp:inline>
        </w:drawing>
      </w:r>
    </w:p>
    <w:p w14:paraId="7DB93277" w14:textId="63D81964" w:rsidR="008D07A4" w:rsidRDefault="008D07A4" w:rsidP="00BD409C">
      <w:pPr>
        <w:rPr>
          <w:rFonts w:eastAsiaTheme="minorHAnsi" w:cs="Arial"/>
          <w:sz w:val="18"/>
          <w:szCs w:val="20"/>
        </w:rPr>
      </w:pPr>
      <w:r w:rsidRPr="009161F1">
        <w:rPr>
          <w:rFonts w:eastAsiaTheme="minorHAnsi" w:cs="Arial"/>
          <w:sz w:val="18"/>
          <w:szCs w:val="20"/>
        </w:rPr>
        <w:t>Fuente: elaboración propia</w:t>
      </w:r>
      <w:r>
        <w:rPr>
          <w:rFonts w:eastAsiaTheme="minorHAnsi" w:cs="Arial"/>
          <w:sz w:val="18"/>
          <w:szCs w:val="20"/>
        </w:rPr>
        <w:t>.</w:t>
      </w:r>
    </w:p>
    <w:p w14:paraId="1ADCE005" w14:textId="5931BD39" w:rsidR="00B9351D" w:rsidRPr="00F564AF" w:rsidRDefault="00D311D4" w:rsidP="00D311D4">
      <w:pPr>
        <w:spacing w:line="240" w:lineRule="auto"/>
        <w:rPr>
          <w:rFonts w:eastAsiaTheme="minorHAnsi" w:cs="Arial"/>
        </w:rPr>
      </w:pPr>
      <w:r>
        <w:rPr>
          <w:rFonts w:eastAsiaTheme="minorHAnsi" w:cs="Arial"/>
        </w:rPr>
        <w:t>Los resultados de incidencia se pueden co</w:t>
      </w:r>
      <w:r w:rsidR="00FE7058">
        <w:rPr>
          <w:rFonts w:eastAsiaTheme="minorHAnsi" w:cs="Arial"/>
        </w:rPr>
        <w:t xml:space="preserve">mplementar con los cambios de la </w:t>
      </w:r>
      <w:r w:rsidR="00EC047F">
        <w:rPr>
          <w:rFonts w:eastAsiaTheme="minorHAnsi" w:cs="Arial"/>
        </w:rPr>
        <w:t xml:space="preserve">variación equivalente, los cuales se muestran </w:t>
      </w:r>
      <w:r w:rsidR="0033165A">
        <w:rPr>
          <w:rFonts w:eastAsiaTheme="minorHAnsi" w:cs="Arial"/>
        </w:rPr>
        <w:t xml:space="preserve">en la </w:t>
      </w:r>
      <w:r w:rsidR="00331D1B">
        <w:rPr>
          <w:rFonts w:eastAsiaTheme="minorHAnsi" w:cs="Arial"/>
        </w:rPr>
        <w:fldChar w:fldCharType="begin"/>
      </w:r>
      <w:r w:rsidR="00331D1B">
        <w:rPr>
          <w:rFonts w:eastAsiaTheme="minorHAnsi" w:cs="Arial"/>
        </w:rPr>
        <w:instrText xml:space="preserve"> REF _Ref526792544 \h </w:instrText>
      </w:r>
      <w:r w:rsidR="00331D1B" w:rsidRPr="00331D1B">
        <w:rPr>
          <w:rFonts w:eastAsiaTheme="minorHAnsi" w:cs="Arial"/>
        </w:rPr>
        <w:instrText>\</w:instrText>
      </w:r>
      <w:r w:rsidR="00331D1B">
        <w:rPr>
          <w:rFonts w:eastAsiaTheme="minorHAnsi" w:cs="Arial"/>
        </w:rPr>
        <w:instrText xml:space="preserve">* lower </w:instrText>
      </w:r>
      <w:r w:rsidR="00331D1B">
        <w:rPr>
          <w:rFonts w:eastAsiaTheme="minorHAnsi" w:cs="Arial"/>
        </w:rPr>
      </w:r>
      <w:r w:rsidR="00331D1B">
        <w:rPr>
          <w:rFonts w:eastAsiaTheme="minorHAnsi" w:cs="Arial"/>
        </w:rPr>
        <w:fldChar w:fldCharType="separate"/>
      </w:r>
      <w:r w:rsidR="00A95E32">
        <w:t xml:space="preserve">tabla </w:t>
      </w:r>
      <w:r w:rsidR="00A95E32">
        <w:rPr>
          <w:noProof/>
        </w:rPr>
        <w:t>23</w:t>
      </w:r>
      <w:r w:rsidR="00331D1B">
        <w:rPr>
          <w:rFonts w:eastAsiaTheme="minorHAnsi" w:cs="Arial"/>
        </w:rPr>
        <w:fldChar w:fldCharType="end"/>
      </w:r>
      <w:r w:rsidR="00331D1B">
        <w:rPr>
          <w:rFonts w:eastAsiaTheme="minorHAnsi" w:cs="Arial"/>
        </w:rPr>
        <w:t xml:space="preserve">. </w:t>
      </w:r>
      <w:r w:rsidR="004D0AC2">
        <w:rPr>
          <w:rFonts w:eastAsiaTheme="minorHAnsi" w:cs="Arial"/>
        </w:rPr>
        <w:t xml:space="preserve">El escenario 4 </w:t>
      </w:r>
      <w:r w:rsidR="00815F95">
        <w:rPr>
          <w:rFonts w:eastAsiaTheme="minorHAnsi" w:cs="Arial"/>
        </w:rPr>
        <w:t xml:space="preserve">y </w:t>
      </w:r>
      <w:r w:rsidR="00F564AF">
        <w:rPr>
          <w:rFonts w:eastAsiaTheme="minorHAnsi" w:cs="Arial"/>
        </w:rPr>
        <w:t>2 son los que muestran una menor perdida de utilidad,</w:t>
      </w:r>
      <w:r w:rsidR="005A28E2">
        <w:rPr>
          <w:rFonts w:eastAsiaTheme="minorHAnsi" w:cs="Arial"/>
        </w:rPr>
        <w:t xml:space="preserve"> esto se deb</w:t>
      </w:r>
      <w:r w:rsidR="009227BF">
        <w:rPr>
          <w:rFonts w:eastAsiaTheme="minorHAnsi" w:cs="Arial"/>
        </w:rPr>
        <w:t>e</w:t>
      </w:r>
      <w:r w:rsidR="005A28E2">
        <w:rPr>
          <w:rFonts w:eastAsiaTheme="minorHAnsi" w:cs="Arial"/>
        </w:rPr>
        <w:t>, de igual manera que con la presión, a las exoneraciones introducidas a la simulación</w:t>
      </w:r>
      <w:r w:rsidR="00815F95">
        <w:rPr>
          <w:rFonts w:eastAsiaTheme="minorHAnsi" w:cs="Arial"/>
        </w:rPr>
        <w:t xml:space="preserve"> y a la sustitución del impuesto por uno directo</w:t>
      </w:r>
      <w:r w:rsidR="005A28E2">
        <w:rPr>
          <w:rFonts w:eastAsiaTheme="minorHAnsi" w:cs="Arial"/>
        </w:rPr>
        <w:t>.</w:t>
      </w:r>
      <w:r w:rsidR="00815F95">
        <w:rPr>
          <w:rFonts w:eastAsiaTheme="minorHAnsi" w:cs="Arial"/>
        </w:rPr>
        <w:t xml:space="preserve"> La simulación </w:t>
      </w:r>
      <w:r w:rsidR="00F564AF">
        <w:rPr>
          <w:rFonts w:eastAsiaTheme="minorHAnsi" w:cs="Arial"/>
        </w:rPr>
        <w:t>5 es la única que muestra una mejora en la utilidad de los primeros deciles y se debe que la estructura tributaria elimina los impuestos indirectos y los sustituye por impuesto directo, afectado al último decil.</w:t>
      </w:r>
    </w:p>
    <w:p w14:paraId="5DA7B122" w14:textId="3759DE24" w:rsidR="0033165A" w:rsidRDefault="0033165A" w:rsidP="0033165A">
      <w:pPr>
        <w:pStyle w:val="Caption"/>
      </w:pPr>
      <w:bookmarkStart w:id="181" w:name="_Ref526792544"/>
      <w:bookmarkStart w:id="182" w:name="_Toc2853713"/>
      <w:r>
        <w:t xml:space="preserve">Tabla </w:t>
      </w:r>
      <w:r>
        <w:fldChar w:fldCharType="begin"/>
      </w:r>
      <w:r>
        <w:instrText xml:space="preserve"> SEQ Tabla \* ARABIC </w:instrText>
      </w:r>
      <w:r>
        <w:fldChar w:fldCharType="separate"/>
      </w:r>
      <w:r w:rsidR="00A95E32">
        <w:rPr>
          <w:noProof/>
        </w:rPr>
        <w:t>23</w:t>
      </w:r>
      <w:r>
        <w:fldChar w:fldCharType="end"/>
      </w:r>
      <w:bookmarkEnd w:id="181"/>
      <w:r>
        <w:t xml:space="preserve"> </w:t>
      </w:r>
      <w:r>
        <w:br/>
      </w:r>
      <w:r w:rsidRPr="00F564AF">
        <w:t xml:space="preserve">Variación </w:t>
      </w:r>
      <w:r w:rsidR="009464BF" w:rsidRPr="00F564AF">
        <w:t>E</w:t>
      </w:r>
      <w:r w:rsidRPr="00F564AF">
        <w:t>quivalente por simulación</w:t>
      </w:r>
      <w:r w:rsidR="009464BF" w:rsidRPr="00F564AF">
        <w:t xml:space="preserve"> y por decil</w:t>
      </w:r>
      <w:bookmarkEnd w:id="182"/>
      <w:r w:rsidR="00131C02">
        <w:tab/>
      </w:r>
    </w:p>
    <w:tbl>
      <w:tblPr>
        <w:tblW w:w="7426" w:type="dxa"/>
        <w:jc w:val="center"/>
        <w:tblLook w:val="04A0" w:firstRow="1" w:lastRow="0" w:firstColumn="1" w:lastColumn="0" w:noHBand="0" w:noVBand="1"/>
      </w:tblPr>
      <w:tblGrid>
        <w:gridCol w:w="1331"/>
        <w:gridCol w:w="1219"/>
        <w:gridCol w:w="1219"/>
        <w:gridCol w:w="1219"/>
        <w:gridCol w:w="1219"/>
        <w:gridCol w:w="1219"/>
      </w:tblGrid>
      <w:tr w:rsidR="00815F95" w:rsidRPr="00815F95" w14:paraId="68849359" w14:textId="77777777" w:rsidTr="00131C02">
        <w:trPr>
          <w:trHeight w:val="391"/>
          <w:jc w:val="center"/>
        </w:trPr>
        <w:tc>
          <w:tcPr>
            <w:tcW w:w="1331" w:type="dxa"/>
            <w:tcBorders>
              <w:top w:val="nil"/>
              <w:left w:val="nil"/>
              <w:bottom w:val="single" w:sz="4" w:space="0" w:color="auto"/>
              <w:right w:val="nil"/>
            </w:tcBorders>
            <w:shd w:val="clear" w:color="000000" w:fill="FFFFFF"/>
            <w:noWrap/>
            <w:vAlign w:val="bottom"/>
            <w:hideMark/>
          </w:tcPr>
          <w:p w14:paraId="39E9502E" w14:textId="77777777" w:rsidR="00815F95" w:rsidRPr="00815F95" w:rsidRDefault="00815F95" w:rsidP="00815F95">
            <w:pPr>
              <w:spacing w:after="0" w:line="240" w:lineRule="auto"/>
              <w:jc w:val="center"/>
              <w:rPr>
                <w:rFonts w:cs="Arial"/>
                <w:color w:val="000000"/>
                <w:sz w:val="22"/>
                <w:szCs w:val="22"/>
                <w:lang w:val="en-US" w:eastAsia="en-US"/>
              </w:rPr>
            </w:pPr>
            <w:r w:rsidRPr="00815F95">
              <w:rPr>
                <w:rFonts w:cs="Arial"/>
                <w:color w:val="000000"/>
                <w:sz w:val="22"/>
                <w:szCs w:val="22"/>
                <w:lang w:eastAsia="en-US"/>
              </w:rPr>
              <w:t>Hogares</w:t>
            </w:r>
          </w:p>
        </w:tc>
        <w:tc>
          <w:tcPr>
            <w:tcW w:w="1219" w:type="dxa"/>
            <w:tcBorders>
              <w:top w:val="nil"/>
              <w:left w:val="single" w:sz="4" w:space="0" w:color="auto"/>
              <w:bottom w:val="single" w:sz="4" w:space="0" w:color="auto"/>
              <w:right w:val="nil"/>
            </w:tcBorders>
            <w:shd w:val="clear" w:color="000000" w:fill="FFFFFF"/>
            <w:noWrap/>
            <w:vAlign w:val="bottom"/>
            <w:hideMark/>
          </w:tcPr>
          <w:p w14:paraId="46B5D91D" w14:textId="77777777" w:rsidR="00815F95" w:rsidRPr="00815F95" w:rsidRDefault="00815F95" w:rsidP="00815F95">
            <w:pPr>
              <w:spacing w:after="0" w:line="240" w:lineRule="auto"/>
              <w:jc w:val="center"/>
              <w:rPr>
                <w:rFonts w:cs="Arial"/>
                <w:color w:val="000000"/>
                <w:sz w:val="22"/>
                <w:szCs w:val="22"/>
                <w:lang w:val="en-US" w:eastAsia="en-US"/>
              </w:rPr>
            </w:pPr>
            <w:r w:rsidRPr="00815F95">
              <w:rPr>
                <w:rFonts w:cs="Arial"/>
                <w:color w:val="000000"/>
                <w:sz w:val="22"/>
                <w:szCs w:val="22"/>
                <w:lang w:val="en-US" w:eastAsia="en-US"/>
              </w:rPr>
              <w:t>Sim01</w:t>
            </w:r>
          </w:p>
        </w:tc>
        <w:tc>
          <w:tcPr>
            <w:tcW w:w="1219" w:type="dxa"/>
            <w:tcBorders>
              <w:top w:val="nil"/>
              <w:left w:val="nil"/>
              <w:bottom w:val="single" w:sz="4" w:space="0" w:color="auto"/>
              <w:right w:val="nil"/>
            </w:tcBorders>
            <w:shd w:val="clear" w:color="000000" w:fill="FFFFFF"/>
            <w:noWrap/>
            <w:vAlign w:val="bottom"/>
            <w:hideMark/>
          </w:tcPr>
          <w:p w14:paraId="495716A9" w14:textId="77777777" w:rsidR="00815F95" w:rsidRPr="00815F95" w:rsidRDefault="00815F95" w:rsidP="00815F95">
            <w:pPr>
              <w:spacing w:after="0" w:line="240" w:lineRule="auto"/>
              <w:jc w:val="center"/>
              <w:rPr>
                <w:rFonts w:cs="Arial"/>
                <w:color w:val="000000"/>
                <w:sz w:val="22"/>
                <w:szCs w:val="22"/>
                <w:lang w:val="en-US" w:eastAsia="en-US"/>
              </w:rPr>
            </w:pPr>
            <w:r w:rsidRPr="00815F95">
              <w:rPr>
                <w:rFonts w:cs="Arial"/>
                <w:color w:val="000000"/>
                <w:sz w:val="22"/>
                <w:szCs w:val="22"/>
                <w:lang w:val="en-US" w:eastAsia="en-US"/>
              </w:rPr>
              <w:t>Sim02</w:t>
            </w:r>
          </w:p>
        </w:tc>
        <w:tc>
          <w:tcPr>
            <w:tcW w:w="1219" w:type="dxa"/>
            <w:tcBorders>
              <w:top w:val="nil"/>
              <w:left w:val="nil"/>
              <w:bottom w:val="single" w:sz="4" w:space="0" w:color="auto"/>
              <w:right w:val="nil"/>
            </w:tcBorders>
            <w:shd w:val="clear" w:color="000000" w:fill="FFFFFF"/>
            <w:noWrap/>
            <w:vAlign w:val="bottom"/>
            <w:hideMark/>
          </w:tcPr>
          <w:p w14:paraId="2D0D252A" w14:textId="77777777" w:rsidR="00815F95" w:rsidRPr="00815F95" w:rsidRDefault="00815F95" w:rsidP="00815F95">
            <w:pPr>
              <w:spacing w:after="0" w:line="240" w:lineRule="auto"/>
              <w:jc w:val="center"/>
              <w:rPr>
                <w:rFonts w:cs="Arial"/>
                <w:color w:val="000000"/>
                <w:sz w:val="22"/>
                <w:szCs w:val="22"/>
                <w:lang w:val="en-US" w:eastAsia="en-US"/>
              </w:rPr>
            </w:pPr>
            <w:r w:rsidRPr="00815F95">
              <w:rPr>
                <w:rFonts w:cs="Arial"/>
                <w:color w:val="000000"/>
                <w:sz w:val="22"/>
                <w:szCs w:val="22"/>
                <w:lang w:val="en-US" w:eastAsia="en-US"/>
              </w:rPr>
              <w:t>Sim03</w:t>
            </w:r>
          </w:p>
        </w:tc>
        <w:tc>
          <w:tcPr>
            <w:tcW w:w="1219" w:type="dxa"/>
            <w:tcBorders>
              <w:top w:val="nil"/>
              <w:left w:val="nil"/>
              <w:bottom w:val="single" w:sz="4" w:space="0" w:color="auto"/>
              <w:right w:val="nil"/>
            </w:tcBorders>
            <w:shd w:val="clear" w:color="000000" w:fill="FFFFFF"/>
            <w:noWrap/>
            <w:vAlign w:val="bottom"/>
            <w:hideMark/>
          </w:tcPr>
          <w:p w14:paraId="6C5798F1" w14:textId="77777777" w:rsidR="00815F95" w:rsidRPr="00815F95" w:rsidRDefault="00815F95" w:rsidP="00815F95">
            <w:pPr>
              <w:spacing w:after="0" w:line="240" w:lineRule="auto"/>
              <w:jc w:val="center"/>
              <w:rPr>
                <w:rFonts w:cs="Arial"/>
                <w:color w:val="000000"/>
                <w:sz w:val="22"/>
                <w:szCs w:val="22"/>
                <w:lang w:val="en-US" w:eastAsia="en-US"/>
              </w:rPr>
            </w:pPr>
            <w:r w:rsidRPr="00815F95">
              <w:rPr>
                <w:rFonts w:cs="Arial"/>
                <w:color w:val="000000"/>
                <w:sz w:val="22"/>
                <w:szCs w:val="22"/>
                <w:lang w:val="en-US" w:eastAsia="en-US"/>
              </w:rPr>
              <w:t>Sim04</w:t>
            </w:r>
          </w:p>
        </w:tc>
        <w:tc>
          <w:tcPr>
            <w:tcW w:w="1219" w:type="dxa"/>
            <w:tcBorders>
              <w:top w:val="nil"/>
              <w:left w:val="nil"/>
              <w:bottom w:val="single" w:sz="4" w:space="0" w:color="auto"/>
              <w:right w:val="nil"/>
            </w:tcBorders>
            <w:shd w:val="clear" w:color="000000" w:fill="FFFFFF"/>
            <w:noWrap/>
            <w:vAlign w:val="bottom"/>
            <w:hideMark/>
          </w:tcPr>
          <w:p w14:paraId="779349D6" w14:textId="77777777" w:rsidR="00815F95" w:rsidRPr="00815F95" w:rsidRDefault="00815F95" w:rsidP="00815F95">
            <w:pPr>
              <w:spacing w:after="0" w:line="240" w:lineRule="auto"/>
              <w:jc w:val="center"/>
              <w:rPr>
                <w:rFonts w:cs="Arial"/>
                <w:color w:val="000000"/>
                <w:sz w:val="22"/>
                <w:szCs w:val="22"/>
                <w:lang w:val="en-US" w:eastAsia="en-US"/>
              </w:rPr>
            </w:pPr>
            <w:r w:rsidRPr="00815F95">
              <w:rPr>
                <w:rFonts w:cs="Arial"/>
                <w:color w:val="000000"/>
                <w:sz w:val="22"/>
                <w:szCs w:val="22"/>
                <w:lang w:val="en-US" w:eastAsia="en-US"/>
              </w:rPr>
              <w:t>Sim05</w:t>
            </w:r>
          </w:p>
        </w:tc>
      </w:tr>
      <w:tr w:rsidR="00131C02" w:rsidRPr="00815F95" w14:paraId="7DD5E161" w14:textId="77777777" w:rsidTr="00131C02">
        <w:trPr>
          <w:trHeight w:val="378"/>
          <w:jc w:val="center"/>
        </w:trPr>
        <w:tc>
          <w:tcPr>
            <w:tcW w:w="1331" w:type="dxa"/>
            <w:tcBorders>
              <w:top w:val="nil"/>
              <w:left w:val="nil"/>
              <w:bottom w:val="nil"/>
              <w:right w:val="single" w:sz="4" w:space="0" w:color="auto"/>
            </w:tcBorders>
            <w:shd w:val="clear" w:color="000000" w:fill="FFFFFF"/>
            <w:noWrap/>
            <w:vAlign w:val="bottom"/>
            <w:hideMark/>
          </w:tcPr>
          <w:p w14:paraId="411599DE" w14:textId="77777777" w:rsidR="00131C02" w:rsidRPr="00815F95" w:rsidRDefault="00131C02" w:rsidP="00131C02">
            <w:pPr>
              <w:spacing w:after="0" w:line="240" w:lineRule="auto"/>
              <w:jc w:val="center"/>
              <w:rPr>
                <w:rFonts w:cs="Arial"/>
                <w:color w:val="000000"/>
                <w:sz w:val="22"/>
                <w:szCs w:val="22"/>
                <w:lang w:val="en-US" w:eastAsia="en-US"/>
              </w:rPr>
            </w:pPr>
            <w:r w:rsidRPr="00815F95">
              <w:rPr>
                <w:rFonts w:cs="Arial"/>
                <w:color w:val="000000"/>
                <w:sz w:val="22"/>
                <w:szCs w:val="22"/>
                <w:lang w:val="en-US" w:eastAsia="en-US"/>
              </w:rPr>
              <w:t>Decil 1</w:t>
            </w:r>
          </w:p>
        </w:tc>
        <w:tc>
          <w:tcPr>
            <w:tcW w:w="1219" w:type="dxa"/>
            <w:tcBorders>
              <w:top w:val="single" w:sz="4" w:space="0" w:color="auto"/>
              <w:left w:val="single" w:sz="4" w:space="0" w:color="auto"/>
              <w:bottom w:val="nil"/>
              <w:right w:val="nil"/>
            </w:tcBorders>
            <w:shd w:val="clear" w:color="auto" w:fill="auto"/>
            <w:noWrap/>
            <w:vAlign w:val="bottom"/>
            <w:hideMark/>
          </w:tcPr>
          <w:p w14:paraId="74BCBFFF" w14:textId="63FFFB46" w:rsidR="00131C02" w:rsidRPr="00131C02" w:rsidRDefault="00131C02" w:rsidP="00131C02">
            <w:pPr>
              <w:spacing w:after="0" w:line="240" w:lineRule="auto"/>
              <w:jc w:val="center"/>
              <w:rPr>
                <w:rFonts w:cs="Arial"/>
                <w:sz w:val="22"/>
                <w:szCs w:val="22"/>
                <w:lang w:val="en-US" w:eastAsia="en-US"/>
              </w:rPr>
            </w:pPr>
            <w:r w:rsidRPr="00131C02">
              <w:rPr>
                <w:rFonts w:eastAsia="Open Sans" w:cs="Arial"/>
                <w:kern w:val="24"/>
                <w:sz w:val="22"/>
                <w:szCs w:val="22"/>
              </w:rPr>
              <w:t>-2.43</w:t>
            </w:r>
          </w:p>
        </w:tc>
        <w:tc>
          <w:tcPr>
            <w:tcW w:w="1219" w:type="dxa"/>
            <w:tcBorders>
              <w:top w:val="single" w:sz="4" w:space="0" w:color="auto"/>
              <w:left w:val="nil"/>
              <w:bottom w:val="nil"/>
              <w:right w:val="nil"/>
            </w:tcBorders>
            <w:shd w:val="clear" w:color="auto" w:fill="auto"/>
            <w:noWrap/>
            <w:vAlign w:val="bottom"/>
            <w:hideMark/>
          </w:tcPr>
          <w:p w14:paraId="081E9E7D" w14:textId="3036C630" w:rsidR="00131C02" w:rsidRPr="00131C02" w:rsidRDefault="00131C02" w:rsidP="00131C02">
            <w:pPr>
              <w:spacing w:after="0" w:line="240" w:lineRule="auto"/>
              <w:jc w:val="center"/>
              <w:rPr>
                <w:rFonts w:cs="Arial"/>
                <w:sz w:val="22"/>
                <w:szCs w:val="22"/>
                <w:lang w:val="en-US" w:eastAsia="en-US"/>
              </w:rPr>
            </w:pPr>
            <w:r w:rsidRPr="00131C02">
              <w:rPr>
                <w:rFonts w:eastAsia="Open Sans" w:cs="Arial"/>
                <w:kern w:val="24"/>
                <w:sz w:val="22"/>
                <w:szCs w:val="22"/>
              </w:rPr>
              <w:t>-1.78</w:t>
            </w:r>
          </w:p>
        </w:tc>
        <w:tc>
          <w:tcPr>
            <w:tcW w:w="1219" w:type="dxa"/>
            <w:tcBorders>
              <w:top w:val="single" w:sz="4" w:space="0" w:color="auto"/>
              <w:left w:val="nil"/>
              <w:bottom w:val="nil"/>
              <w:right w:val="nil"/>
            </w:tcBorders>
            <w:shd w:val="clear" w:color="auto" w:fill="auto"/>
            <w:noWrap/>
            <w:vAlign w:val="bottom"/>
            <w:hideMark/>
          </w:tcPr>
          <w:p w14:paraId="19B2D6D6" w14:textId="6BD59CA4" w:rsidR="00131C02" w:rsidRPr="00131C02" w:rsidRDefault="00131C02" w:rsidP="00131C02">
            <w:pPr>
              <w:spacing w:after="0" w:line="240" w:lineRule="auto"/>
              <w:jc w:val="center"/>
              <w:rPr>
                <w:rFonts w:cs="Arial"/>
                <w:sz w:val="22"/>
                <w:szCs w:val="22"/>
                <w:lang w:val="en-US" w:eastAsia="en-US"/>
              </w:rPr>
            </w:pPr>
            <w:r w:rsidRPr="00131C02">
              <w:rPr>
                <w:rFonts w:eastAsia="Open Sans" w:cs="Arial"/>
                <w:kern w:val="24"/>
                <w:sz w:val="22"/>
                <w:szCs w:val="22"/>
              </w:rPr>
              <w:t>-2.64</w:t>
            </w:r>
          </w:p>
        </w:tc>
        <w:tc>
          <w:tcPr>
            <w:tcW w:w="1219" w:type="dxa"/>
            <w:tcBorders>
              <w:top w:val="single" w:sz="4" w:space="0" w:color="auto"/>
              <w:left w:val="nil"/>
              <w:bottom w:val="nil"/>
              <w:right w:val="nil"/>
            </w:tcBorders>
            <w:shd w:val="clear" w:color="auto" w:fill="auto"/>
            <w:noWrap/>
            <w:vAlign w:val="bottom"/>
            <w:hideMark/>
          </w:tcPr>
          <w:p w14:paraId="7CE896C5" w14:textId="4C9E0363" w:rsidR="00131C02" w:rsidRPr="00131C02" w:rsidRDefault="00131C02" w:rsidP="00131C02">
            <w:pPr>
              <w:spacing w:after="0" w:line="240" w:lineRule="auto"/>
              <w:jc w:val="center"/>
              <w:rPr>
                <w:rFonts w:cs="Arial"/>
                <w:sz w:val="22"/>
                <w:szCs w:val="22"/>
                <w:lang w:val="en-US" w:eastAsia="en-US"/>
              </w:rPr>
            </w:pPr>
            <w:r w:rsidRPr="00131C02">
              <w:rPr>
                <w:rFonts w:eastAsia="Open Sans" w:cs="Arial"/>
                <w:kern w:val="24"/>
                <w:sz w:val="22"/>
                <w:szCs w:val="22"/>
              </w:rPr>
              <w:t>-1.70</w:t>
            </w:r>
          </w:p>
        </w:tc>
        <w:tc>
          <w:tcPr>
            <w:tcW w:w="1219" w:type="dxa"/>
            <w:tcBorders>
              <w:top w:val="single" w:sz="4" w:space="0" w:color="auto"/>
              <w:left w:val="nil"/>
              <w:bottom w:val="nil"/>
              <w:right w:val="nil"/>
            </w:tcBorders>
            <w:shd w:val="clear" w:color="auto" w:fill="auto"/>
            <w:noWrap/>
            <w:vAlign w:val="bottom"/>
            <w:hideMark/>
          </w:tcPr>
          <w:p w14:paraId="01ED0B44" w14:textId="1FF9C1CD" w:rsidR="00131C02" w:rsidRPr="00131C02" w:rsidRDefault="00131C02" w:rsidP="00131C02">
            <w:pPr>
              <w:spacing w:after="0" w:line="240" w:lineRule="auto"/>
              <w:jc w:val="center"/>
              <w:rPr>
                <w:rFonts w:cs="Arial"/>
                <w:sz w:val="22"/>
                <w:szCs w:val="22"/>
                <w:lang w:val="en-US" w:eastAsia="en-US"/>
              </w:rPr>
            </w:pPr>
            <w:r w:rsidRPr="00131C02">
              <w:rPr>
                <w:rFonts w:eastAsia="Open Sans" w:cs="Arial"/>
                <w:kern w:val="24"/>
                <w:sz w:val="22"/>
                <w:szCs w:val="22"/>
              </w:rPr>
              <w:t>1.23</w:t>
            </w:r>
          </w:p>
        </w:tc>
      </w:tr>
      <w:tr w:rsidR="00131C02" w:rsidRPr="00815F95" w14:paraId="363273AC" w14:textId="77777777" w:rsidTr="00131C02">
        <w:trPr>
          <w:trHeight w:val="378"/>
          <w:jc w:val="center"/>
        </w:trPr>
        <w:tc>
          <w:tcPr>
            <w:tcW w:w="1331" w:type="dxa"/>
            <w:tcBorders>
              <w:top w:val="nil"/>
              <w:left w:val="nil"/>
              <w:bottom w:val="nil"/>
              <w:right w:val="single" w:sz="4" w:space="0" w:color="auto"/>
            </w:tcBorders>
            <w:shd w:val="clear" w:color="000000" w:fill="FFFFFF"/>
            <w:noWrap/>
            <w:vAlign w:val="bottom"/>
            <w:hideMark/>
          </w:tcPr>
          <w:p w14:paraId="1134307E" w14:textId="77777777" w:rsidR="00131C02" w:rsidRPr="00815F95" w:rsidRDefault="00131C02" w:rsidP="00131C02">
            <w:pPr>
              <w:spacing w:after="0" w:line="240" w:lineRule="auto"/>
              <w:jc w:val="center"/>
              <w:rPr>
                <w:rFonts w:cs="Arial"/>
                <w:color w:val="000000"/>
                <w:sz w:val="22"/>
                <w:szCs w:val="22"/>
                <w:lang w:val="en-US" w:eastAsia="en-US"/>
              </w:rPr>
            </w:pPr>
            <w:r w:rsidRPr="00815F95">
              <w:rPr>
                <w:rFonts w:cs="Arial"/>
                <w:color w:val="000000"/>
                <w:sz w:val="22"/>
                <w:szCs w:val="22"/>
                <w:lang w:val="en-US" w:eastAsia="en-US"/>
              </w:rPr>
              <w:t>Decil 2</w:t>
            </w:r>
          </w:p>
        </w:tc>
        <w:tc>
          <w:tcPr>
            <w:tcW w:w="1219" w:type="dxa"/>
            <w:tcBorders>
              <w:top w:val="nil"/>
              <w:left w:val="single" w:sz="4" w:space="0" w:color="auto"/>
              <w:bottom w:val="nil"/>
              <w:right w:val="nil"/>
            </w:tcBorders>
            <w:shd w:val="clear" w:color="auto" w:fill="auto"/>
            <w:noWrap/>
            <w:vAlign w:val="bottom"/>
            <w:hideMark/>
          </w:tcPr>
          <w:p w14:paraId="1A350BB2" w14:textId="6A3D9AA3" w:rsidR="00131C02" w:rsidRPr="00131C02" w:rsidRDefault="00131C02" w:rsidP="00131C02">
            <w:pPr>
              <w:spacing w:after="0" w:line="240" w:lineRule="auto"/>
              <w:jc w:val="center"/>
              <w:rPr>
                <w:rFonts w:cs="Arial"/>
                <w:sz w:val="22"/>
                <w:szCs w:val="22"/>
                <w:lang w:val="en-US" w:eastAsia="en-US"/>
              </w:rPr>
            </w:pPr>
            <w:r w:rsidRPr="00131C02">
              <w:rPr>
                <w:rFonts w:eastAsia="Open Sans" w:cs="Arial"/>
                <w:kern w:val="24"/>
                <w:sz w:val="22"/>
                <w:szCs w:val="22"/>
              </w:rPr>
              <w:t>-3.01</w:t>
            </w:r>
          </w:p>
        </w:tc>
        <w:tc>
          <w:tcPr>
            <w:tcW w:w="1219" w:type="dxa"/>
            <w:tcBorders>
              <w:top w:val="nil"/>
              <w:left w:val="nil"/>
              <w:bottom w:val="nil"/>
              <w:right w:val="nil"/>
            </w:tcBorders>
            <w:shd w:val="clear" w:color="auto" w:fill="auto"/>
            <w:noWrap/>
            <w:vAlign w:val="bottom"/>
            <w:hideMark/>
          </w:tcPr>
          <w:p w14:paraId="000E6ECE" w14:textId="4CA94EF2" w:rsidR="00131C02" w:rsidRPr="00131C02" w:rsidRDefault="00131C02" w:rsidP="00131C02">
            <w:pPr>
              <w:spacing w:after="0" w:line="240" w:lineRule="auto"/>
              <w:jc w:val="center"/>
              <w:rPr>
                <w:rFonts w:cs="Arial"/>
                <w:sz w:val="22"/>
                <w:szCs w:val="22"/>
                <w:lang w:val="en-US" w:eastAsia="en-US"/>
              </w:rPr>
            </w:pPr>
            <w:r w:rsidRPr="00131C02">
              <w:rPr>
                <w:rFonts w:eastAsia="Open Sans" w:cs="Arial"/>
                <w:kern w:val="24"/>
                <w:sz w:val="22"/>
                <w:szCs w:val="22"/>
              </w:rPr>
              <w:t>-1.47</w:t>
            </w:r>
          </w:p>
        </w:tc>
        <w:tc>
          <w:tcPr>
            <w:tcW w:w="1219" w:type="dxa"/>
            <w:tcBorders>
              <w:top w:val="nil"/>
              <w:left w:val="nil"/>
              <w:bottom w:val="nil"/>
              <w:right w:val="nil"/>
            </w:tcBorders>
            <w:shd w:val="clear" w:color="auto" w:fill="auto"/>
            <w:noWrap/>
            <w:vAlign w:val="bottom"/>
            <w:hideMark/>
          </w:tcPr>
          <w:p w14:paraId="44BD7EB9" w14:textId="27F6033C" w:rsidR="00131C02" w:rsidRPr="00131C02" w:rsidRDefault="00131C02" w:rsidP="00131C02">
            <w:pPr>
              <w:spacing w:after="0" w:line="240" w:lineRule="auto"/>
              <w:jc w:val="center"/>
              <w:rPr>
                <w:rFonts w:cs="Arial"/>
                <w:sz w:val="22"/>
                <w:szCs w:val="22"/>
                <w:lang w:val="en-US" w:eastAsia="en-US"/>
              </w:rPr>
            </w:pPr>
            <w:r w:rsidRPr="00131C02">
              <w:rPr>
                <w:rFonts w:eastAsia="Open Sans" w:cs="Arial"/>
                <w:kern w:val="24"/>
                <w:sz w:val="22"/>
                <w:szCs w:val="22"/>
              </w:rPr>
              <w:t>-2.33</w:t>
            </w:r>
          </w:p>
        </w:tc>
        <w:tc>
          <w:tcPr>
            <w:tcW w:w="1219" w:type="dxa"/>
            <w:tcBorders>
              <w:top w:val="nil"/>
              <w:left w:val="nil"/>
              <w:bottom w:val="nil"/>
              <w:right w:val="nil"/>
            </w:tcBorders>
            <w:shd w:val="clear" w:color="auto" w:fill="auto"/>
            <w:noWrap/>
            <w:vAlign w:val="bottom"/>
            <w:hideMark/>
          </w:tcPr>
          <w:p w14:paraId="34B3474A" w14:textId="6BA308CD" w:rsidR="00131C02" w:rsidRPr="00131C02" w:rsidRDefault="00131C02" w:rsidP="00131C02">
            <w:pPr>
              <w:spacing w:after="0" w:line="240" w:lineRule="auto"/>
              <w:jc w:val="center"/>
              <w:rPr>
                <w:rFonts w:cs="Arial"/>
                <w:sz w:val="22"/>
                <w:szCs w:val="22"/>
                <w:lang w:val="en-US" w:eastAsia="en-US"/>
              </w:rPr>
            </w:pPr>
            <w:r w:rsidRPr="00131C02">
              <w:rPr>
                <w:rFonts w:eastAsia="Open Sans" w:cs="Arial"/>
                <w:kern w:val="24"/>
                <w:sz w:val="22"/>
                <w:szCs w:val="22"/>
              </w:rPr>
              <w:t>-1.11</w:t>
            </w:r>
          </w:p>
        </w:tc>
        <w:tc>
          <w:tcPr>
            <w:tcW w:w="1219" w:type="dxa"/>
            <w:tcBorders>
              <w:top w:val="nil"/>
              <w:left w:val="nil"/>
              <w:bottom w:val="nil"/>
              <w:right w:val="nil"/>
            </w:tcBorders>
            <w:shd w:val="clear" w:color="auto" w:fill="auto"/>
            <w:noWrap/>
            <w:vAlign w:val="bottom"/>
            <w:hideMark/>
          </w:tcPr>
          <w:p w14:paraId="5CC2BF51" w14:textId="4C8FFDA2" w:rsidR="00131C02" w:rsidRPr="00131C02" w:rsidRDefault="00131C02" w:rsidP="00131C02">
            <w:pPr>
              <w:spacing w:after="0" w:line="240" w:lineRule="auto"/>
              <w:jc w:val="center"/>
              <w:rPr>
                <w:rFonts w:cs="Arial"/>
                <w:sz w:val="22"/>
                <w:szCs w:val="22"/>
                <w:lang w:val="en-US" w:eastAsia="en-US"/>
              </w:rPr>
            </w:pPr>
            <w:r w:rsidRPr="00131C02">
              <w:rPr>
                <w:rFonts w:eastAsia="Open Sans" w:cs="Arial"/>
                <w:kern w:val="24"/>
                <w:sz w:val="22"/>
                <w:szCs w:val="22"/>
              </w:rPr>
              <w:t>1.87</w:t>
            </w:r>
          </w:p>
        </w:tc>
      </w:tr>
      <w:tr w:rsidR="00131C02" w:rsidRPr="00815F95" w14:paraId="4EA30211" w14:textId="77777777" w:rsidTr="00131C02">
        <w:trPr>
          <w:trHeight w:val="378"/>
          <w:jc w:val="center"/>
        </w:trPr>
        <w:tc>
          <w:tcPr>
            <w:tcW w:w="1331" w:type="dxa"/>
            <w:tcBorders>
              <w:top w:val="nil"/>
              <w:left w:val="nil"/>
              <w:bottom w:val="nil"/>
              <w:right w:val="single" w:sz="4" w:space="0" w:color="auto"/>
            </w:tcBorders>
            <w:shd w:val="clear" w:color="000000" w:fill="FFFFFF"/>
            <w:noWrap/>
            <w:vAlign w:val="bottom"/>
            <w:hideMark/>
          </w:tcPr>
          <w:p w14:paraId="488C60E1" w14:textId="77777777" w:rsidR="00131C02" w:rsidRPr="00815F95" w:rsidRDefault="00131C02" w:rsidP="00131C02">
            <w:pPr>
              <w:spacing w:after="0" w:line="240" w:lineRule="auto"/>
              <w:jc w:val="center"/>
              <w:rPr>
                <w:rFonts w:cs="Arial"/>
                <w:color w:val="000000"/>
                <w:sz w:val="22"/>
                <w:szCs w:val="22"/>
                <w:lang w:val="en-US" w:eastAsia="en-US"/>
              </w:rPr>
            </w:pPr>
            <w:r w:rsidRPr="00815F95">
              <w:rPr>
                <w:rFonts w:cs="Arial"/>
                <w:color w:val="000000"/>
                <w:sz w:val="22"/>
                <w:szCs w:val="22"/>
                <w:lang w:val="en-US" w:eastAsia="en-US"/>
              </w:rPr>
              <w:t>Decil 3</w:t>
            </w:r>
          </w:p>
        </w:tc>
        <w:tc>
          <w:tcPr>
            <w:tcW w:w="1219" w:type="dxa"/>
            <w:tcBorders>
              <w:top w:val="nil"/>
              <w:left w:val="single" w:sz="4" w:space="0" w:color="auto"/>
              <w:bottom w:val="nil"/>
              <w:right w:val="nil"/>
            </w:tcBorders>
            <w:shd w:val="clear" w:color="auto" w:fill="auto"/>
            <w:noWrap/>
            <w:vAlign w:val="bottom"/>
            <w:hideMark/>
          </w:tcPr>
          <w:p w14:paraId="4C6D77F2" w14:textId="27F2C035" w:rsidR="00131C02" w:rsidRPr="00131C02" w:rsidRDefault="00131C02" w:rsidP="00131C02">
            <w:pPr>
              <w:spacing w:after="0" w:line="240" w:lineRule="auto"/>
              <w:jc w:val="center"/>
              <w:rPr>
                <w:rFonts w:cs="Arial"/>
                <w:sz w:val="22"/>
                <w:szCs w:val="22"/>
                <w:lang w:val="en-US" w:eastAsia="en-US"/>
              </w:rPr>
            </w:pPr>
            <w:r w:rsidRPr="00131C02">
              <w:rPr>
                <w:rFonts w:eastAsia="Open Sans" w:cs="Arial"/>
                <w:kern w:val="24"/>
                <w:sz w:val="22"/>
                <w:szCs w:val="22"/>
              </w:rPr>
              <w:t>-3.95</w:t>
            </w:r>
          </w:p>
        </w:tc>
        <w:tc>
          <w:tcPr>
            <w:tcW w:w="1219" w:type="dxa"/>
            <w:tcBorders>
              <w:top w:val="nil"/>
              <w:left w:val="nil"/>
              <w:bottom w:val="nil"/>
              <w:right w:val="nil"/>
            </w:tcBorders>
            <w:shd w:val="clear" w:color="auto" w:fill="auto"/>
            <w:noWrap/>
            <w:vAlign w:val="bottom"/>
            <w:hideMark/>
          </w:tcPr>
          <w:p w14:paraId="1E9F6172" w14:textId="5B38DEFD" w:rsidR="00131C02" w:rsidRPr="00131C02" w:rsidRDefault="00131C02" w:rsidP="00131C02">
            <w:pPr>
              <w:spacing w:after="0" w:line="240" w:lineRule="auto"/>
              <w:jc w:val="center"/>
              <w:rPr>
                <w:rFonts w:cs="Arial"/>
                <w:sz w:val="22"/>
                <w:szCs w:val="22"/>
                <w:lang w:val="en-US" w:eastAsia="en-US"/>
              </w:rPr>
            </w:pPr>
            <w:r w:rsidRPr="00131C02">
              <w:rPr>
                <w:rFonts w:eastAsia="Open Sans" w:cs="Arial"/>
                <w:kern w:val="24"/>
                <w:sz w:val="22"/>
                <w:szCs w:val="22"/>
              </w:rPr>
              <w:t>-1.82</w:t>
            </w:r>
          </w:p>
        </w:tc>
        <w:tc>
          <w:tcPr>
            <w:tcW w:w="1219" w:type="dxa"/>
            <w:tcBorders>
              <w:top w:val="nil"/>
              <w:left w:val="nil"/>
              <w:bottom w:val="nil"/>
              <w:right w:val="nil"/>
            </w:tcBorders>
            <w:shd w:val="clear" w:color="auto" w:fill="auto"/>
            <w:noWrap/>
            <w:vAlign w:val="bottom"/>
            <w:hideMark/>
          </w:tcPr>
          <w:p w14:paraId="636A26C8" w14:textId="42AE6135" w:rsidR="00131C02" w:rsidRPr="00131C02" w:rsidRDefault="00131C02" w:rsidP="00131C02">
            <w:pPr>
              <w:spacing w:after="0" w:line="240" w:lineRule="auto"/>
              <w:jc w:val="center"/>
              <w:rPr>
                <w:rFonts w:cs="Arial"/>
                <w:sz w:val="22"/>
                <w:szCs w:val="22"/>
                <w:lang w:val="en-US" w:eastAsia="en-US"/>
              </w:rPr>
            </w:pPr>
            <w:r w:rsidRPr="00131C02">
              <w:rPr>
                <w:rFonts w:eastAsia="Open Sans" w:cs="Arial"/>
                <w:kern w:val="24"/>
                <w:sz w:val="22"/>
                <w:szCs w:val="22"/>
              </w:rPr>
              <w:t>-2.87</w:t>
            </w:r>
          </w:p>
        </w:tc>
        <w:tc>
          <w:tcPr>
            <w:tcW w:w="1219" w:type="dxa"/>
            <w:tcBorders>
              <w:top w:val="nil"/>
              <w:left w:val="nil"/>
              <w:bottom w:val="nil"/>
              <w:right w:val="nil"/>
            </w:tcBorders>
            <w:shd w:val="clear" w:color="auto" w:fill="auto"/>
            <w:noWrap/>
            <w:vAlign w:val="bottom"/>
            <w:hideMark/>
          </w:tcPr>
          <w:p w14:paraId="7A5EB4B9" w14:textId="7F10B4D8" w:rsidR="00131C02" w:rsidRPr="00131C02" w:rsidRDefault="00131C02" w:rsidP="00131C02">
            <w:pPr>
              <w:spacing w:after="0" w:line="240" w:lineRule="auto"/>
              <w:jc w:val="center"/>
              <w:rPr>
                <w:rFonts w:cs="Arial"/>
                <w:sz w:val="22"/>
                <w:szCs w:val="22"/>
                <w:lang w:val="en-US" w:eastAsia="en-US"/>
              </w:rPr>
            </w:pPr>
            <w:r w:rsidRPr="00131C02">
              <w:rPr>
                <w:rFonts w:eastAsia="Open Sans" w:cs="Arial"/>
                <w:kern w:val="24"/>
                <w:sz w:val="22"/>
                <w:szCs w:val="22"/>
              </w:rPr>
              <w:t>-1.22</w:t>
            </w:r>
          </w:p>
        </w:tc>
        <w:tc>
          <w:tcPr>
            <w:tcW w:w="1219" w:type="dxa"/>
            <w:tcBorders>
              <w:top w:val="nil"/>
              <w:left w:val="nil"/>
              <w:bottom w:val="nil"/>
              <w:right w:val="nil"/>
            </w:tcBorders>
            <w:shd w:val="clear" w:color="auto" w:fill="auto"/>
            <w:noWrap/>
            <w:vAlign w:val="bottom"/>
            <w:hideMark/>
          </w:tcPr>
          <w:p w14:paraId="1E4816E5" w14:textId="1BC2305E" w:rsidR="00131C02" w:rsidRPr="00131C02" w:rsidRDefault="00131C02" w:rsidP="00131C02">
            <w:pPr>
              <w:spacing w:after="0" w:line="240" w:lineRule="auto"/>
              <w:jc w:val="center"/>
              <w:rPr>
                <w:rFonts w:cs="Arial"/>
                <w:sz w:val="22"/>
                <w:szCs w:val="22"/>
                <w:lang w:val="en-US" w:eastAsia="en-US"/>
              </w:rPr>
            </w:pPr>
            <w:r w:rsidRPr="00131C02">
              <w:rPr>
                <w:rFonts w:eastAsia="Open Sans" w:cs="Arial"/>
                <w:kern w:val="24"/>
                <w:sz w:val="22"/>
                <w:szCs w:val="22"/>
              </w:rPr>
              <w:t>2.59</w:t>
            </w:r>
          </w:p>
        </w:tc>
      </w:tr>
      <w:tr w:rsidR="00131C02" w:rsidRPr="00815F95" w14:paraId="7B24C30C" w14:textId="77777777" w:rsidTr="00131C02">
        <w:trPr>
          <w:trHeight w:val="378"/>
          <w:jc w:val="center"/>
        </w:trPr>
        <w:tc>
          <w:tcPr>
            <w:tcW w:w="1331" w:type="dxa"/>
            <w:tcBorders>
              <w:top w:val="nil"/>
              <w:left w:val="nil"/>
              <w:bottom w:val="nil"/>
              <w:right w:val="single" w:sz="4" w:space="0" w:color="auto"/>
            </w:tcBorders>
            <w:shd w:val="clear" w:color="000000" w:fill="FFFFFF"/>
            <w:noWrap/>
            <w:vAlign w:val="bottom"/>
            <w:hideMark/>
          </w:tcPr>
          <w:p w14:paraId="5E932CD3" w14:textId="77777777" w:rsidR="00131C02" w:rsidRPr="00815F95" w:rsidRDefault="00131C02" w:rsidP="00131C02">
            <w:pPr>
              <w:spacing w:after="0" w:line="240" w:lineRule="auto"/>
              <w:jc w:val="center"/>
              <w:rPr>
                <w:rFonts w:cs="Arial"/>
                <w:color w:val="000000"/>
                <w:sz w:val="22"/>
                <w:szCs w:val="22"/>
                <w:lang w:val="en-US" w:eastAsia="en-US"/>
              </w:rPr>
            </w:pPr>
            <w:r w:rsidRPr="00815F95">
              <w:rPr>
                <w:rFonts w:cs="Arial"/>
                <w:color w:val="000000"/>
                <w:sz w:val="22"/>
                <w:szCs w:val="22"/>
                <w:lang w:val="en-US" w:eastAsia="en-US"/>
              </w:rPr>
              <w:t>Decil 4</w:t>
            </w:r>
          </w:p>
        </w:tc>
        <w:tc>
          <w:tcPr>
            <w:tcW w:w="1219" w:type="dxa"/>
            <w:tcBorders>
              <w:top w:val="nil"/>
              <w:left w:val="single" w:sz="4" w:space="0" w:color="auto"/>
              <w:bottom w:val="nil"/>
              <w:right w:val="nil"/>
            </w:tcBorders>
            <w:shd w:val="clear" w:color="auto" w:fill="auto"/>
            <w:noWrap/>
            <w:vAlign w:val="bottom"/>
            <w:hideMark/>
          </w:tcPr>
          <w:p w14:paraId="4F2B9502" w14:textId="6ADEEFC8" w:rsidR="00131C02" w:rsidRPr="00131C02" w:rsidRDefault="00131C02" w:rsidP="00131C02">
            <w:pPr>
              <w:spacing w:after="0" w:line="240" w:lineRule="auto"/>
              <w:jc w:val="center"/>
              <w:rPr>
                <w:rFonts w:cs="Arial"/>
                <w:sz w:val="22"/>
                <w:szCs w:val="22"/>
                <w:lang w:val="en-US" w:eastAsia="en-US"/>
              </w:rPr>
            </w:pPr>
            <w:r w:rsidRPr="00131C02">
              <w:rPr>
                <w:rFonts w:eastAsia="Open Sans" w:cs="Arial"/>
                <w:kern w:val="24"/>
                <w:sz w:val="22"/>
                <w:szCs w:val="22"/>
              </w:rPr>
              <w:t>-5.15</w:t>
            </w:r>
          </w:p>
        </w:tc>
        <w:tc>
          <w:tcPr>
            <w:tcW w:w="1219" w:type="dxa"/>
            <w:tcBorders>
              <w:top w:val="nil"/>
              <w:left w:val="nil"/>
              <w:bottom w:val="nil"/>
              <w:right w:val="nil"/>
            </w:tcBorders>
            <w:shd w:val="clear" w:color="auto" w:fill="auto"/>
            <w:noWrap/>
            <w:vAlign w:val="bottom"/>
            <w:hideMark/>
          </w:tcPr>
          <w:p w14:paraId="56005F51" w14:textId="26EC1893" w:rsidR="00131C02" w:rsidRPr="00131C02" w:rsidRDefault="00131C02" w:rsidP="00131C02">
            <w:pPr>
              <w:spacing w:after="0" w:line="240" w:lineRule="auto"/>
              <w:jc w:val="center"/>
              <w:rPr>
                <w:rFonts w:cs="Arial"/>
                <w:sz w:val="22"/>
                <w:szCs w:val="22"/>
                <w:lang w:val="en-US" w:eastAsia="en-US"/>
              </w:rPr>
            </w:pPr>
            <w:r w:rsidRPr="00131C02">
              <w:rPr>
                <w:rFonts w:eastAsia="Open Sans" w:cs="Arial"/>
                <w:kern w:val="24"/>
                <w:sz w:val="22"/>
                <w:szCs w:val="22"/>
              </w:rPr>
              <w:t>-2.26</w:t>
            </w:r>
          </w:p>
        </w:tc>
        <w:tc>
          <w:tcPr>
            <w:tcW w:w="1219" w:type="dxa"/>
            <w:tcBorders>
              <w:top w:val="nil"/>
              <w:left w:val="nil"/>
              <w:bottom w:val="nil"/>
              <w:right w:val="nil"/>
            </w:tcBorders>
            <w:shd w:val="clear" w:color="auto" w:fill="auto"/>
            <w:noWrap/>
            <w:vAlign w:val="bottom"/>
            <w:hideMark/>
          </w:tcPr>
          <w:p w14:paraId="67558E59" w14:textId="6855DBAB" w:rsidR="00131C02" w:rsidRPr="00131C02" w:rsidRDefault="00131C02" w:rsidP="00131C02">
            <w:pPr>
              <w:spacing w:after="0" w:line="240" w:lineRule="auto"/>
              <w:jc w:val="center"/>
              <w:rPr>
                <w:rFonts w:cs="Arial"/>
                <w:sz w:val="22"/>
                <w:szCs w:val="22"/>
                <w:lang w:val="en-US" w:eastAsia="en-US"/>
              </w:rPr>
            </w:pPr>
            <w:r w:rsidRPr="00131C02">
              <w:rPr>
                <w:rFonts w:eastAsia="Open Sans" w:cs="Arial"/>
                <w:kern w:val="24"/>
                <w:sz w:val="22"/>
                <w:szCs w:val="22"/>
              </w:rPr>
              <w:t>-3.60</w:t>
            </w:r>
          </w:p>
        </w:tc>
        <w:tc>
          <w:tcPr>
            <w:tcW w:w="1219" w:type="dxa"/>
            <w:tcBorders>
              <w:top w:val="nil"/>
              <w:left w:val="nil"/>
              <w:bottom w:val="nil"/>
              <w:right w:val="nil"/>
            </w:tcBorders>
            <w:shd w:val="clear" w:color="auto" w:fill="auto"/>
            <w:noWrap/>
            <w:vAlign w:val="bottom"/>
            <w:hideMark/>
          </w:tcPr>
          <w:p w14:paraId="5842EA0F" w14:textId="65304963" w:rsidR="00131C02" w:rsidRPr="00131C02" w:rsidRDefault="00131C02" w:rsidP="00131C02">
            <w:pPr>
              <w:spacing w:after="0" w:line="240" w:lineRule="auto"/>
              <w:jc w:val="center"/>
              <w:rPr>
                <w:rFonts w:cs="Arial"/>
                <w:sz w:val="22"/>
                <w:szCs w:val="22"/>
                <w:lang w:val="en-US" w:eastAsia="en-US"/>
              </w:rPr>
            </w:pPr>
            <w:r w:rsidRPr="00131C02">
              <w:rPr>
                <w:rFonts w:eastAsia="Open Sans" w:cs="Arial"/>
                <w:kern w:val="24"/>
                <w:sz w:val="22"/>
                <w:szCs w:val="22"/>
              </w:rPr>
              <w:t>-1.58</w:t>
            </w:r>
          </w:p>
        </w:tc>
        <w:tc>
          <w:tcPr>
            <w:tcW w:w="1219" w:type="dxa"/>
            <w:tcBorders>
              <w:top w:val="nil"/>
              <w:left w:val="nil"/>
              <w:bottom w:val="nil"/>
              <w:right w:val="nil"/>
            </w:tcBorders>
            <w:shd w:val="clear" w:color="auto" w:fill="auto"/>
            <w:noWrap/>
            <w:vAlign w:val="bottom"/>
            <w:hideMark/>
          </w:tcPr>
          <w:p w14:paraId="1A1A39B6" w14:textId="20672FFC" w:rsidR="00131C02" w:rsidRPr="00131C02" w:rsidRDefault="00131C02" w:rsidP="00131C02">
            <w:pPr>
              <w:spacing w:after="0" w:line="240" w:lineRule="auto"/>
              <w:jc w:val="center"/>
              <w:rPr>
                <w:rFonts w:cs="Arial"/>
                <w:sz w:val="22"/>
                <w:szCs w:val="22"/>
                <w:lang w:val="en-US" w:eastAsia="en-US"/>
              </w:rPr>
            </w:pPr>
            <w:r w:rsidRPr="00131C02">
              <w:rPr>
                <w:rFonts w:eastAsia="Open Sans" w:cs="Arial"/>
                <w:kern w:val="24"/>
                <w:sz w:val="22"/>
                <w:szCs w:val="22"/>
              </w:rPr>
              <w:t>3.53</w:t>
            </w:r>
          </w:p>
        </w:tc>
      </w:tr>
      <w:tr w:rsidR="00131C02" w:rsidRPr="00815F95" w14:paraId="32D01D16" w14:textId="77777777" w:rsidTr="00131C02">
        <w:trPr>
          <w:trHeight w:val="378"/>
          <w:jc w:val="center"/>
        </w:trPr>
        <w:tc>
          <w:tcPr>
            <w:tcW w:w="1331" w:type="dxa"/>
            <w:tcBorders>
              <w:top w:val="nil"/>
              <w:left w:val="nil"/>
              <w:bottom w:val="nil"/>
              <w:right w:val="single" w:sz="4" w:space="0" w:color="auto"/>
            </w:tcBorders>
            <w:shd w:val="clear" w:color="000000" w:fill="FFFFFF"/>
            <w:noWrap/>
            <w:vAlign w:val="bottom"/>
            <w:hideMark/>
          </w:tcPr>
          <w:p w14:paraId="4C5B8B96" w14:textId="77777777" w:rsidR="00131C02" w:rsidRPr="00815F95" w:rsidRDefault="00131C02" w:rsidP="00131C02">
            <w:pPr>
              <w:spacing w:after="0" w:line="240" w:lineRule="auto"/>
              <w:jc w:val="center"/>
              <w:rPr>
                <w:rFonts w:cs="Arial"/>
                <w:color w:val="000000"/>
                <w:sz w:val="22"/>
                <w:szCs w:val="22"/>
                <w:lang w:val="en-US" w:eastAsia="en-US"/>
              </w:rPr>
            </w:pPr>
            <w:r w:rsidRPr="00815F95">
              <w:rPr>
                <w:rFonts w:cs="Arial"/>
                <w:color w:val="000000"/>
                <w:sz w:val="22"/>
                <w:szCs w:val="22"/>
                <w:lang w:val="en-US" w:eastAsia="en-US"/>
              </w:rPr>
              <w:t>Decil 5</w:t>
            </w:r>
          </w:p>
        </w:tc>
        <w:tc>
          <w:tcPr>
            <w:tcW w:w="1219" w:type="dxa"/>
            <w:tcBorders>
              <w:top w:val="nil"/>
              <w:left w:val="single" w:sz="4" w:space="0" w:color="auto"/>
              <w:bottom w:val="nil"/>
              <w:right w:val="nil"/>
            </w:tcBorders>
            <w:shd w:val="clear" w:color="auto" w:fill="auto"/>
            <w:noWrap/>
            <w:vAlign w:val="bottom"/>
            <w:hideMark/>
          </w:tcPr>
          <w:p w14:paraId="6F06C671" w14:textId="2B142AB9" w:rsidR="00131C02" w:rsidRPr="00131C02" w:rsidRDefault="00131C02" w:rsidP="00131C02">
            <w:pPr>
              <w:spacing w:after="0" w:line="240" w:lineRule="auto"/>
              <w:jc w:val="center"/>
              <w:rPr>
                <w:rFonts w:cs="Arial"/>
                <w:sz w:val="22"/>
                <w:szCs w:val="22"/>
                <w:lang w:val="en-US" w:eastAsia="en-US"/>
              </w:rPr>
            </w:pPr>
            <w:r w:rsidRPr="00131C02">
              <w:rPr>
                <w:rFonts w:eastAsia="Open Sans" w:cs="Arial"/>
                <w:kern w:val="24"/>
                <w:sz w:val="22"/>
                <w:szCs w:val="22"/>
              </w:rPr>
              <w:t>-5.59</w:t>
            </w:r>
          </w:p>
        </w:tc>
        <w:tc>
          <w:tcPr>
            <w:tcW w:w="1219" w:type="dxa"/>
            <w:tcBorders>
              <w:top w:val="nil"/>
              <w:left w:val="nil"/>
              <w:bottom w:val="nil"/>
              <w:right w:val="nil"/>
            </w:tcBorders>
            <w:shd w:val="clear" w:color="auto" w:fill="auto"/>
            <w:noWrap/>
            <w:vAlign w:val="bottom"/>
            <w:hideMark/>
          </w:tcPr>
          <w:p w14:paraId="71F7CBCB" w14:textId="071F4572" w:rsidR="00131C02" w:rsidRPr="00131C02" w:rsidRDefault="00131C02" w:rsidP="00131C02">
            <w:pPr>
              <w:spacing w:after="0" w:line="240" w:lineRule="auto"/>
              <w:jc w:val="center"/>
              <w:rPr>
                <w:rFonts w:cs="Arial"/>
                <w:sz w:val="22"/>
                <w:szCs w:val="22"/>
                <w:lang w:val="en-US" w:eastAsia="en-US"/>
              </w:rPr>
            </w:pPr>
            <w:r w:rsidRPr="00131C02">
              <w:rPr>
                <w:rFonts w:eastAsia="Open Sans" w:cs="Arial"/>
                <w:kern w:val="24"/>
                <w:sz w:val="22"/>
                <w:szCs w:val="22"/>
              </w:rPr>
              <w:t>-2.31</w:t>
            </w:r>
          </w:p>
        </w:tc>
        <w:tc>
          <w:tcPr>
            <w:tcW w:w="1219" w:type="dxa"/>
            <w:tcBorders>
              <w:top w:val="nil"/>
              <w:left w:val="nil"/>
              <w:bottom w:val="nil"/>
              <w:right w:val="nil"/>
            </w:tcBorders>
            <w:shd w:val="clear" w:color="auto" w:fill="auto"/>
            <w:noWrap/>
            <w:vAlign w:val="bottom"/>
            <w:hideMark/>
          </w:tcPr>
          <w:p w14:paraId="4A521691" w14:textId="0890B89E" w:rsidR="00131C02" w:rsidRPr="00131C02" w:rsidRDefault="00131C02" w:rsidP="00131C02">
            <w:pPr>
              <w:spacing w:after="0" w:line="240" w:lineRule="auto"/>
              <w:jc w:val="center"/>
              <w:rPr>
                <w:rFonts w:cs="Arial"/>
                <w:sz w:val="22"/>
                <w:szCs w:val="22"/>
                <w:lang w:val="en-US" w:eastAsia="en-US"/>
              </w:rPr>
            </w:pPr>
            <w:r w:rsidRPr="00131C02">
              <w:rPr>
                <w:rFonts w:eastAsia="Open Sans" w:cs="Arial"/>
                <w:kern w:val="24"/>
                <w:sz w:val="22"/>
                <w:szCs w:val="22"/>
              </w:rPr>
              <w:t>-3.75</w:t>
            </w:r>
          </w:p>
        </w:tc>
        <w:tc>
          <w:tcPr>
            <w:tcW w:w="1219" w:type="dxa"/>
            <w:tcBorders>
              <w:top w:val="nil"/>
              <w:left w:val="nil"/>
              <w:bottom w:val="nil"/>
              <w:right w:val="nil"/>
            </w:tcBorders>
            <w:shd w:val="clear" w:color="auto" w:fill="auto"/>
            <w:noWrap/>
            <w:vAlign w:val="bottom"/>
            <w:hideMark/>
          </w:tcPr>
          <w:p w14:paraId="4A38A133" w14:textId="368561E7" w:rsidR="00131C02" w:rsidRPr="00131C02" w:rsidRDefault="00131C02" w:rsidP="00131C02">
            <w:pPr>
              <w:spacing w:after="0" w:line="240" w:lineRule="auto"/>
              <w:jc w:val="center"/>
              <w:rPr>
                <w:rFonts w:cs="Arial"/>
                <w:sz w:val="22"/>
                <w:szCs w:val="22"/>
                <w:lang w:val="en-US" w:eastAsia="en-US"/>
              </w:rPr>
            </w:pPr>
            <w:r w:rsidRPr="00131C02">
              <w:rPr>
                <w:rFonts w:eastAsia="Open Sans" w:cs="Arial"/>
                <w:kern w:val="24"/>
                <w:sz w:val="22"/>
                <w:szCs w:val="22"/>
              </w:rPr>
              <w:t>-1.60</w:t>
            </w:r>
          </w:p>
        </w:tc>
        <w:tc>
          <w:tcPr>
            <w:tcW w:w="1219" w:type="dxa"/>
            <w:tcBorders>
              <w:top w:val="nil"/>
              <w:left w:val="nil"/>
              <w:bottom w:val="nil"/>
              <w:right w:val="nil"/>
            </w:tcBorders>
            <w:shd w:val="clear" w:color="auto" w:fill="auto"/>
            <w:noWrap/>
            <w:vAlign w:val="bottom"/>
            <w:hideMark/>
          </w:tcPr>
          <w:p w14:paraId="798D0A46" w14:textId="2B93BD3B" w:rsidR="00131C02" w:rsidRPr="00131C02" w:rsidRDefault="00131C02" w:rsidP="00131C02">
            <w:pPr>
              <w:spacing w:after="0" w:line="240" w:lineRule="auto"/>
              <w:jc w:val="center"/>
              <w:rPr>
                <w:rFonts w:cs="Arial"/>
                <w:sz w:val="22"/>
                <w:szCs w:val="22"/>
                <w:lang w:val="en-US" w:eastAsia="en-US"/>
              </w:rPr>
            </w:pPr>
            <w:r w:rsidRPr="00131C02">
              <w:rPr>
                <w:rFonts w:eastAsia="Open Sans" w:cs="Arial"/>
                <w:kern w:val="24"/>
                <w:sz w:val="22"/>
                <w:szCs w:val="22"/>
              </w:rPr>
              <w:t>4.07</w:t>
            </w:r>
          </w:p>
        </w:tc>
      </w:tr>
      <w:tr w:rsidR="00131C02" w:rsidRPr="00815F95" w14:paraId="24025A7D" w14:textId="77777777" w:rsidTr="00131C02">
        <w:trPr>
          <w:trHeight w:val="378"/>
          <w:jc w:val="center"/>
        </w:trPr>
        <w:tc>
          <w:tcPr>
            <w:tcW w:w="1331" w:type="dxa"/>
            <w:tcBorders>
              <w:top w:val="nil"/>
              <w:left w:val="nil"/>
              <w:bottom w:val="nil"/>
              <w:right w:val="single" w:sz="4" w:space="0" w:color="auto"/>
            </w:tcBorders>
            <w:shd w:val="clear" w:color="000000" w:fill="FFFFFF"/>
            <w:noWrap/>
            <w:vAlign w:val="bottom"/>
            <w:hideMark/>
          </w:tcPr>
          <w:p w14:paraId="74F89FFE" w14:textId="77777777" w:rsidR="00131C02" w:rsidRPr="00815F95" w:rsidRDefault="00131C02" w:rsidP="00131C02">
            <w:pPr>
              <w:spacing w:after="0" w:line="240" w:lineRule="auto"/>
              <w:jc w:val="center"/>
              <w:rPr>
                <w:rFonts w:cs="Arial"/>
                <w:color w:val="000000"/>
                <w:sz w:val="22"/>
                <w:szCs w:val="22"/>
                <w:lang w:val="en-US" w:eastAsia="en-US"/>
              </w:rPr>
            </w:pPr>
            <w:r w:rsidRPr="00815F95">
              <w:rPr>
                <w:rFonts w:cs="Arial"/>
                <w:color w:val="000000"/>
                <w:sz w:val="22"/>
                <w:szCs w:val="22"/>
                <w:lang w:val="en-US" w:eastAsia="en-US"/>
              </w:rPr>
              <w:t>Decil 6</w:t>
            </w:r>
          </w:p>
        </w:tc>
        <w:tc>
          <w:tcPr>
            <w:tcW w:w="1219" w:type="dxa"/>
            <w:tcBorders>
              <w:top w:val="nil"/>
              <w:left w:val="single" w:sz="4" w:space="0" w:color="auto"/>
              <w:bottom w:val="nil"/>
              <w:right w:val="nil"/>
            </w:tcBorders>
            <w:shd w:val="clear" w:color="auto" w:fill="auto"/>
            <w:noWrap/>
            <w:vAlign w:val="bottom"/>
            <w:hideMark/>
          </w:tcPr>
          <w:p w14:paraId="011ECCA9" w14:textId="73E44256" w:rsidR="00131C02" w:rsidRPr="00131C02" w:rsidRDefault="00131C02" w:rsidP="00131C02">
            <w:pPr>
              <w:spacing w:after="0" w:line="240" w:lineRule="auto"/>
              <w:jc w:val="center"/>
              <w:rPr>
                <w:rFonts w:cs="Arial"/>
                <w:sz w:val="22"/>
                <w:szCs w:val="22"/>
                <w:lang w:val="en-US" w:eastAsia="en-US"/>
              </w:rPr>
            </w:pPr>
            <w:r w:rsidRPr="00131C02">
              <w:rPr>
                <w:rFonts w:eastAsia="Open Sans" w:cs="Arial"/>
                <w:kern w:val="24"/>
                <w:sz w:val="22"/>
                <w:szCs w:val="22"/>
              </w:rPr>
              <w:t>-6.90</w:t>
            </w:r>
          </w:p>
        </w:tc>
        <w:tc>
          <w:tcPr>
            <w:tcW w:w="1219" w:type="dxa"/>
            <w:tcBorders>
              <w:top w:val="nil"/>
              <w:left w:val="nil"/>
              <w:bottom w:val="nil"/>
              <w:right w:val="nil"/>
            </w:tcBorders>
            <w:shd w:val="clear" w:color="auto" w:fill="auto"/>
            <w:noWrap/>
            <w:vAlign w:val="bottom"/>
            <w:hideMark/>
          </w:tcPr>
          <w:p w14:paraId="159E2CC4" w14:textId="09D62ADC" w:rsidR="00131C02" w:rsidRPr="00131C02" w:rsidRDefault="00131C02" w:rsidP="00131C02">
            <w:pPr>
              <w:spacing w:after="0" w:line="240" w:lineRule="auto"/>
              <w:jc w:val="center"/>
              <w:rPr>
                <w:rFonts w:cs="Arial"/>
                <w:sz w:val="22"/>
                <w:szCs w:val="22"/>
                <w:lang w:val="en-US" w:eastAsia="en-US"/>
              </w:rPr>
            </w:pPr>
            <w:r w:rsidRPr="00131C02">
              <w:rPr>
                <w:rFonts w:eastAsia="Open Sans" w:cs="Arial"/>
                <w:kern w:val="24"/>
                <w:sz w:val="22"/>
                <w:szCs w:val="22"/>
              </w:rPr>
              <w:t>-2.73</w:t>
            </w:r>
          </w:p>
        </w:tc>
        <w:tc>
          <w:tcPr>
            <w:tcW w:w="1219" w:type="dxa"/>
            <w:tcBorders>
              <w:top w:val="nil"/>
              <w:left w:val="nil"/>
              <w:bottom w:val="nil"/>
              <w:right w:val="nil"/>
            </w:tcBorders>
            <w:shd w:val="clear" w:color="auto" w:fill="auto"/>
            <w:noWrap/>
            <w:vAlign w:val="bottom"/>
            <w:hideMark/>
          </w:tcPr>
          <w:p w14:paraId="7028059C" w14:textId="6F88C4DA" w:rsidR="00131C02" w:rsidRPr="00131C02" w:rsidRDefault="00131C02" w:rsidP="00131C02">
            <w:pPr>
              <w:spacing w:after="0" w:line="240" w:lineRule="auto"/>
              <w:jc w:val="center"/>
              <w:rPr>
                <w:rFonts w:cs="Arial"/>
                <w:sz w:val="22"/>
                <w:szCs w:val="22"/>
                <w:lang w:val="en-US" w:eastAsia="en-US"/>
              </w:rPr>
            </w:pPr>
            <w:r w:rsidRPr="00131C02">
              <w:rPr>
                <w:rFonts w:eastAsia="Open Sans" w:cs="Arial"/>
                <w:kern w:val="24"/>
                <w:sz w:val="22"/>
                <w:szCs w:val="22"/>
              </w:rPr>
              <w:t>-4.54</w:t>
            </w:r>
          </w:p>
        </w:tc>
        <w:tc>
          <w:tcPr>
            <w:tcW w:w="1219" w:type="dxa"/>
            <w:tcBorders>
              <w:top w:val="nil"/>
              <w:left w:val="nil"/>
              <w:bottom w:val="nil"/>
              <w:right w:val="nil"/>
            </w:tcBorders>
            <w:shd w:val="clear" w:color="auto" w:fill="auto"/>
            <w:noWrap/>
            <w:vAlign w:val="bottom"/>
            <w:hideMark/>
          </w:tcPr>
          <w:p w14:paraId="4A6C3608" w14:textId="071475DC" w:rsidR="00131C02" w:rsidRPr="00131C02" w:rsidRDefault="00131C02" w:rsidP="00131C02">
            <w:pPr>
              <w:spacing w:after="0" w:line="240" w:lineRule="auto"/>
              <w:jc w:val="center"/>
              <w:rPr>
                <w:rFonts w:cs="Arial"/>
                <w:sz w:val="22"/>
                <w:szCs w:val="22"/>
                <w:lang w:val="en-US" w:eastAsia="en-US"/>
              </w:rPr>
            </w:pPr>
            <w:r w:rsidRPr="00131C02">
              <w:rPr>
                <w:rFonts w:eastAsia="Open Sans" w:cs="Arial"/>
                <w:kern w:val="24"/>
                <w:sz w:val="22"/>
                <w:szCs w:val="22"/>
              </w:rPr>
              <w:t>-2.00</w:t>
            </w:r>
          </w:p>
        </w:tc>
        <w:tc>
          <w:tcPr>
            <w:tcW w:w="1219" w:type="dxa"/>
            <w:tcBorders>
              <w:top w:val="nil"/>
              <w:left w:val="nil"/>
              <w:bottom w:val="nil"/>
              <w:right w:val="nil"/>
            </w:tcBorders>
            <w:shd w:val="clear" w:color="auto" w:fill="auto"/>
            <w:noWrap/>
            <w:vAlign w:val="bottom"/>
            <w:hideMark/>
          </w:tcPr>
          <w:p w14:paraId="3461B8FC" w14:textId="37664CA4" w:rsidR="00131C02" w:rsidRPr="00131C02" w:rsidRDefault="00131C02" w:rsidP="00131C02">
            <w:pPr>
              <w:spacing w:after="0" w:line="240" w:lineRule="auto"/>
              <w:jc w:val="center"/>
              <w:rPr>
                <w:rFonts w:cs="Arial"/>
                <w:sz w:val="22"/>
                <w:szCs w:val="22"/>
                <w:lang w:val="en-US" w:eastAsia="en-US"/>
              </w:rPr>
            </w:pPr>
            <w:r w:rsidRPr="00131C02">
              <w:rPr>
                <w:rFonts w:eastAsia="Open Sans" w:cs="Arial"/>
                <w:kern w:val="24"/>
                <w:sz w:val="22"/>
                <w:szCs w:val="22"/>
              </w:rPr>
              <w:t>5.71</w:t>
            </w:r>
          </w:p>
        </w:tc>
      </w:tr>
      <w:tr w:rsidR="00131C02" w:rsidRPr="00815F95" w14:paraId="59E1DC22" w14:textId="77777777" w:rsidTr="00131C02">
        <w:trPr>
          <w:trHeight w:val="378"/>
          <w:jc w:val="center"/>
        </w:trPr>
        <w:tc>
          <w:tcPr>
            <w:tcW w:w="1331" w:type="dxa"/>
            <w:tcBorders>
              <w:top w:val="nil"/>
              <w:left w:val="nil"/>
              <w:bottom w:val="nil"/>
              <w:right w:val="single" w:sz="4" w:space="0" w:color="auto"/>
            </w:tcBorders>
            <w:shd w:val="clear" w:color="000000" w:fill="FFFFFF"/>
            <w:noWrap/>
            <w:vAlign w:val="bottom"/>
            <w:hideMark/>
          </w:tcPr>
          <w:p w14:paraId="09563711" w14:textId="77777777" w:rsidR="00131C02" w:rsidRPr="00815F95" w:rsidRDefault="00131C02" w:rsidP="00131C02">
            <w:pPr>
              <w:spacing w:after="0" w:line="240" w:lineRule="auto"/>
              <w:jc w:val="center"/>
              <w:rPr>
                <w:rFonts w:cs="Arial"/>
                <w:color w:val="000000"/>
                <w:sz w:val="22"/>
                <w:szCs w:val="22"/>
                <w:lang w:val="en-US" w:eastAsia="en-US"/>
              </w:rPr>
            </w:pPr>
            <w:r w:rsidRPr="00815F95">
              <w:rPr>
                <w:rFonts w:cs="Arial"/>
                <w:color w:val="000000"/>
                <w:sz w:val="22"/>
                <w:szCs w:val="22"/>
                <w:lang w:val="en-US" w:eastAsia="en-US"/>
              </w:rPr>
              <w:t>Decil 7</w:t>
            </w:r>
          </w:p>
        </w:tc>
        <w:tc>
          <w:tcPr>
            <w:tcW w:w="1219" w:type="dxa"/>
            <w:tcBorders>
              <w:top w:val="nil"/>
              <w:left w:val="single" w:sz="4" w:space="0" w:color="auto"/>
              <w:bottom w:val="nil"/>
              <w:right w:val="nil"/>
            </w:tcBorders>
            <w:shd w:val="clear" w:color="auto" w:fill="auto"/>
            <w:noWrap/>
            <w:vAlign w:val="bottom"/>
            <w:hideMark/>
          </w:tcPr>
          <w:p w14:paraId="4B8B4FDB" w14:textId="3D123969" w:rsidR="00131C02" w:rsidRPr="00131C02" w:rsidRDefault="00131C02" w:rsidP="00131C02">
            <w:pPr>
              <w:spacing w:after="0" w:line="240" w:lineRule="auto"/>
              <w:jc w:val="center"/>
              <w:rPr>
                <w:rFonts w:cs="Arial"/>
                <w:sz w:val="22"/>
                <w:szCs w:val="22"/>
                <w:lang w:val="en-US" w:eastAsia="en-US"/>
              </w:rPr>
            </w:pPr>
            <w:r w:rsidRPr="00131C02">
              <w:rPr>
                <w:rFonts w:eastAsia="Open Sans" w:cs="Arial"/>
                <w:kern w:val="24"/>
                <w:sz w:val="22"/>
                <w:szCs w:val="22"/>
              </w:rPr>
              <w:t>-8.79</w:t>
            </w:r>
          </w:p>
        </w:tc>
        <w:tc>
          <w:tcPr>
            <w:tcW w:w="1219" w:type="dxa"/>
            <w:tcBorders>
              <w:top w:val="nil"/>
              <w:left w:val="nil"/>
              <w:bottom w:val="nil"/>
              <w:right w:val="nil"/>
            </w:tcBorders>
            <w:shd w:val="clear" w:color="auto" w:fill="auto"/>
            <w:noWrap/>
            <w:vAlign w:val="bottom"/>
            <w:hideMark/>
          </w:tcPr>
          <w:p w14:paraId="3A8365BE" w14:textId="1E0E5A24" w:rsidR="00131C02" w:rsidRPr="00131C02" w:rsidRDefault="00131C02" w:rsidP="00131C02">
            <w:pPr>
              <w:spacing w:after="0" w:line="240" w:lineRule="auto"/>
              <w:jc w:val="center"/>
              <w:rPr>
                <w:rFonts w:cs="Arial"/>
                <w:sz w:val="22"/>
                <w:szCs w:val="22"/>
                <w:lang w:val="en-US" w:eastAsia="en-US"/>
              </w:rPr>
            </w:pPr>
            <w:r w:rsidRPr="00131C02">
              <w:rPr>
                <w:rFonts w:eastAsia="Open Sans" w:cs="Arial"/>
                <w:kern w:val="24"/>
                <w:sz w:val="22"/>
                <w:szCs w:val="22"/>
              </w:rPr>
              <w:t>-3.42</w:t>
            </w:r>
          </w:p>
        </w:tc>
        <w:tc>
          <w:tcPr>
            <w:tcW w:w="1219" w:type="dxa"/>
            <w:tcBorders>
              <w:top w:val="nil"/>
              <w:left w:val="nil"/>
              <w:bottom w:val="nil"/>
              <w:right w:val="nil"/>
            </w:tcBorders>
            <w:shd w:val="clear" w:color="auto" w:fill="auto"/>
            <w:noWrap/>
            <w:vAlign w:val="bottom"/>
            <w:hideMark/>
          </w:tcPr>
          <w:p w14:paraId="5DE2F40D" w14:textId="77EFFBC6" w:rsidR="00131C02" w:rsidRPr="00131C02" w:rsidRDefault="00131C02" w:rsidP="00131C02">
            <w:pPr>
              <w:spacing w:after="0" w:line="240" w:lineRule="auto"/>
              <w:jc w:val="center"/>
              <w:rPr>
                <w:rFonts w:cs="Arial"/>
                <w:sz w:val="22"/>
                <w:szCs w:val="22"/>
                <w:lang w:val="en-US" w:eastAsia="en-US"/>
              </w:rPr>
            </w:pPr>
            <w:r w:rsidRPr="00131C02">
              <w:rPr>
                <w:rFonts w:eastAsia="Open Sans" w:cs="Arial"/>
                <w:kern w:val="24"/>
                <w:sz w:val="22"/>
                <w:szCs w:val="22"/>
              </w:rPr>
              <w:t>-5.74</w:t>
            </w:r>
          </w:p>
        </w:tc>
        <w:tc>
          <w:tcPr>
            <w:tcW w:w="1219" w:type="dxa"/>
            <w:tcBorders>
              <w:top w:val="nil"/>
              <w:left w:val="nil"/>
              <w:bottom w:val="nil"/>
              <w:right w:val="nil"/>
            </w:tcBorders>
            <w:shd w:val="clear" w:color="auto" w:fill="auto"/>
            <w:noWrap/>
            <w:vAlign w:val="bottom"/>
            <w:hideMark/>
          </w:tcPr>
          <w:p w14:paraId="66B9823E" w14:textId="687CDFA3" w:rsidR="00131C02" w:rsidRPr="00131C02" w:rsidRDefault="00131C02" w:rsidP="00131C02">
            <w:pPr>
              <w:spacing w:after="0" w:line="240" w:lineRule="auto"/>
              <w:jc w:val="center"/>
              <w:rPr>
                <w:rFonts w:cs="Arial"/>
                <w:sz w:val="22"/>
                <w:szCs w:val="22"/>
                <w:lang w:val="en-US" w:eastAsia="en-US"/>
              </w:rPr>
            </w:pPr>
            <w:r w:rsidRPr="00131C02">
              <w:rPr>
                <w:rFonts w:eastAsia="Open Sans" w:cs="Arial"/>
                <w:kern w:val="24"/>
                <w:sz w:val="22"/>
                <w:szCs w:val="22"/>
              </w:rPr>
              <w:t>-2.69</w:t>
            </w:r>
          </w:p>
        </w:tc>
        <w:tc>
          <w:tcPr>
            <w:tcW w:w="1219" w:type="dxa"/>
            <w:tcBorders>
              <w:top w:val="nil"/>
              <w:left w:val="nil"/>
              <w:bottom w:val="nil"/>
              <w:right w:val="nil"/>
            </w:tcBorders>
            <w:shd w:val="clear" w:color="auto" w:fill="auto"/>
            <w:noWrap/>
            <w:vAlign w:val="bottom"/>
            <w:hideMark/>
          </w:tcPr>
          <w:p w14:paraId="75C67776" w14:textId="1CDD20BC" w:rsidR="00131C02" w:rsidRPr="00131C02" w:rsidRDefault="00131C02" w:rsidP="00131C02">
            <w:pPr>
              <w:spacing w:after="0" w:line="240" w:lineRule="auto"/>
              <w:jc w:val="center"/>
              <w:rPr>
                <w:rFonts w:cs="Arial"/>
                <w:sz w:val="22"/>
                <w:szCs w:val="22"/>
                <w:lang w:val="en-US" w:eastAsia="en-US"/>
              </w:rPr>
            </w:pPr>
            <w:r w:rsidRPr="00131C02">
              <w:rPr>
                <w:rFonts w:eastAsia="Open Sans" w:cs="Arial"/>
                <w:kern w:val="24"/>
                <w:sz w:val="22"/>
                <w:szCs w:val="22"/>
              </w:rPr>
              <w:t>6.91</w:t>
            </w:r>
          </w:p>
        </w:tc>
      </w:tr>
      <w:tr w:rsidR="00131C02" w:rsidRPr="00815F95" w14:paraId="4D650B57" w14:textId="77777777" w:rsidTr="00131C02">
        <w:trPr>
          <w:trHeight w:val="378"/>
          <w:jc w:val="center"/>
        </w:trPr>
        <w:tc>
          <w:tcPr>
            <w:tcW w:w="1331" w:type="dxa"/>
            <w:tcBorders>
              <w:top w:val="nil"/>
              <w:left w:val="nil"/>
              <w:bottom w:val="nil"/>
              <w:right w:val="single" w:sz="4" w:space="0" w:color="auto"/>
            </w:tcBorders>
            <w:shd w:val="clear" w:color="000000" w:fill="FFFFFF"/>
            <w:noWrap/>
            <w:vAlign w:val="bottom"/>
            <w:hideMark/>
          </w:tcPr>
          <w:p w14:paraId="48C6DE57" w14:textId="77777777" w:rsidR="00131C02" w:rsidRPr="00815F95" w:rsidRDefault="00131C02" w:rsidP="00131C02">
            <w:pPr>
              <w:spacing w:after="0" w:line="240" w:lineRule="auto"/>
              <w:jc w:val="center"/>
              <w:rPr>
                <w:rFonts w:cs="Arial"/>
                <w:color w:val="000000"/>
                <w:sz w:val="22"/>
                <w:szCs w:val="22"/>
                <w:lang w:val="en-US" w:eastAsia="en-US"/>
              </w:rPr>
            </w:pPr>
            <w:r w:rsidRPr="00815F95">
              <w:rPr>
                <w:rFonts w:cs="Arial"/>
                <w:color w:val="000000"/>
                <w:sz w:val="22"/>
                <w:szCs w:val="22"/>
                <w:lang w:val="en-US" w:eastAsia="en-US"/>
              </w:rPr>
              <w:t>Decil 8</w:t>
            </w:r>
          </w:p>
        </w:tc>
        <w:tc>
          <w:tcPr>
            <w:tcW w:w="1219" w:type="dxa"/>
            <w:tcBorders>
              <w:top w:val="nil"/>
              <w:left w:val="single" w:sz="4" w:space="0" w:color="auto"/>
              <w:bottom w:val="nil"/>
              <w:right w:val="nil"/>
            </w:tcBorders>
            <w:shd w:val="clear" w:color="auto" w:fill="auto"/>
            <w:noWrap/>
            <w:vAlign w:val="bottom"/>
            <w:hideMark/>
          </w:tcPr>
          <w:p w14:paraId="104C8F38" w14:textId="5458C0BB" w:rsidR="00131C02" w:rsidRPr="00131C02" w:rsidRDefault="00131C02" w:rsidP="00131C02">
            <w:pPr>
              <w:spacing w:after="0" w:line="240" w:lineRule="auto"/>
              <w:jc w:val="center"/>
              <w:rPr>
                <w:rFonts w:cs="Arial"/>
                <w:sz w:val="22"/>
                <w:szCs w:val="22"/>
                <w:lang w:val="en-US" w:eastAsia="en-US"/>
              </w:rPr>
            </w:pPr>
            <w:r w:rsidRPr="00131C02">
              <w:rPr>
                <w:rFonts w:eastAsia="Open Sans" w:cs="Arial"/>
                <w:kern w:val="24"/>
                <w:sz w:val="22"/>
                <w:szCs w:val="22"/>
              </w:rPr>
              <w:t>-11.33</w:t>
            </w:r>
          </w:p>
        </w:tc>
        <w:tc>
          <w:tcPr>
            <w:tcW w:w="1219" w:type="dxa"/>
            <w:tcBorders>
              <w:top w:val="nil"/>
              <w:left w:val="nil"/>
              <w:bottom w:val="nil"/>
              <w:right w:val="nil"/>
            </w:tcBorders>
            <w:shd w:val="clear" w:color="auto" w:fill="auto"/>
            <w:noWrap/>
            <w:vAlign w:val="bottom"/>
            <w:hideMark/>
          </w:tcPr>
          <w:p w14:paraId="641F0220" w14:textId="0A191A45" w:rsidR="00131C02" w:rsidRPr="00131C02" w:rsidRDefault="00131C02" w:rsidP="00131C02">
            <w:pPr>
              <w:spacing w:after="0" w:line="240" w:lineRule="auto"/>
              <w:jc w:val="center"/>
              <w:rPr>
                <w:rFonts w:cs="Arial"/>
                <w:sz w:val="22"/>
                <w:szCs w:val="22"/>
                <w:lang w:val="en-US" w:eastAsia="en-US"/>
              </w:rPr>
            </w:pPr>
            <w:r w:rsidRPr="00131C02">
              <w:rPr>
                <w:rFonts w:eastAsia="Open Sans" w:cs="Arial"/>
                <w:kern w:val="24"/>
                <w:sz w:val="22"/>
                <w:szCs w:val="22"/>
              </w:rPr>
              <w:t>-4.34</w:t>
            </w:r>
          </w:p>
        </w:tc>
        <w:tc>
          <w:tcPr>
            <w:tcW w:w="1219" w:type="dxa"/>
            <w:tcBorders>
              <w:top w:val="nil"/>
              <w:left w:val="nil"/>
              <w:bottom w:val="nil"/>
              <w:right w:val="nil"/>
            </w:tcBorders>
            <w:shd w:val="clear" w:color="auto" w:fill="auto"/>
            <w:noWrap/>
            <w:vAlign w:val="bottom"/>
            <w:hideMark/>
          </w:tcPr>
          <w:p w14:paraId="14A17AF7" w14:textId="38514446" w:rsidR="00131C02" w:rsidRPr="00131C02" w:rsidRDefault="00131C02" w:rsidP="00131C02">
            <w:pPr>
              <w:spacing w:after="0" w:line="240" w:lineRule="auto"/>
              <w:jc w:val="center"/>
              <w:rPr>
                <w:rFonts w:cs="Arial"/>
                <w:sz w:val="22"/>
                <w:szCs w:val="22"/>
                <w:lang w:val="en-US" w:eastAsia="en-US"/>
              </w:rPr>
            </w:pPr>
            <w:r w:rsidRPr="00131C02">
              <w:rPr>
                <w:rFonts w:eastAsia="Open Sans" w:cs="Arial"/>
                <w:kern w:val="24"/>
                <w:sz w:val="22"/>
                <w:szCs w:val="22"/>
              </w:rPr>
              <w:t>-7.44</w:t>
            </w:r>
          </w:p>
        </w:tc>
        <w:tc>
          <w:tcPr>
            <w:tcW w:w="1219" w:type="dxa"/>
            <w:tcBorders>
              <w:top w:val="nil"/>
              <w:left w:val="nil"/>
              <w:bottom w:val="nil"/>
              <w:right w:val="nil"/>
            </w:tcBorders>
            <w:shd w:val="clear" w:color="auto" w:fill="auto"/>
            <w:noWrap/>
            <w:vAlign w:val="bottom"/>
            <w:hideMark/>
          </w:tcPr>
          <w:p w14:paraId="11F71A71" w14:textId="5CA67390" w:rsidR="00131C02" w:rsidRPr="00131C02" w:rsidRDefault="00131C02" w:rsidP="00131C02">
            <w:pPr>
              <w:spacing w:after="0" w:line="240" w:lineRule="auto"/>
              <w:jc w:val="center"/>
              <w:rPr>
                <w:rFonts w:cs="Arial"/>
                <w:sz w:val="22"/>
                <w:szCs w:val="22"/>
                <w:lang w:val="en-US" w:eastAsia="en-US"/>
              </w:rPr>
            </w:pPr>
            <w:r w:rsidRPr="00131C02">
              <w:rPr>
                <w:rFonts w:eastAsia="Open Sans" w:cs="Arial"/>
                <w:kern w:val="24"/>
                <w:sz w:val="22"/>
                <w:szCs w:val="22"/>
              </w:rPr>
              <w:t>-3.95</w:t>
            </w:r>
          </w:p>
        </w:tc>
        <w:tc>
          <w:tcPr>
            <w:tcW w:w="1219" w:type="dxa"/>
            <w:tcBorders>
              <w:top w:val="nil"/>
              <w:left w:val="nil"/>
              <w:bottom w:val="nil"/>
              <w:right w:val="nil"/>
            </w:tcBorders>
            <w:shd w:val="clear" w:color="auto" w:fill="auto"/>
            <w:noWrap/>
            <w:vAlign w:val="bottom"/>
            <w:hideMark/>
          </w:tcPr>
          <w:p w14:paraId="4FBE2A2E" w14:textId="049F06E4" w:rsidR="00131C02" w:rsidRPr="00131C02" w:rsidRDefault="00131C02" w:rsidP="00131C02">
            <w:pPr>
              <w:spacing w:after="0" w:line="240" w:lineRule="auto"/>
              <w:jc w:val="center"/>
              <w:rPr>
                <w:rFonts w:cs="Arial"/>
                <w:sz w:val="22"/>
                <w:szCs w:val="22"/>
                <w:lang w:val="en-US" w:eastAsia="en-US"/>
              </w:rPr>
            </w:pPr>
            <w:r w:rsidRPr="00131C02">
              <w:rPr>
                <w:rFonts w:eastAsia="Open Sans" w:cs="Arial"/>
                <w:kern w:val="24"/>
                <w:sz w:val="22"/>
                <w:szCs w:val="22"/>
              </w:rPr>
              <w:t>7.89</w:t>
            </w:r>
          </w:p>
        </w:tc>
      </w:tr>
      <w:tr w:rsidR="00131C02" w:rsidRPr="00815F95" w14:paraId="72B600E5" w14:textId="77777777" w:rsidTr="00131C02">
        <w:trPr>
          <w:trHeight w:val="378"/>
          <w:jc w:val="center"/>
        </w:trPr>
        <w:tc>
          <w:tcPr>
            <w:tcW w:w="1331" w:type="dxa"/>
            <w:tcBorders>
              <w:top w:val="nil"/>
              <w:left w:val="nil"/>
              <w:bottom w:val="nil"/>
              <w:right w:val="single" w:sz="4" w:space="0" w:color="auto"/>
            </w:tcBorders>
            <w:shd w:val="clear" w:color="000000" w:fill="FFFFFF"/>
            <w:noWrap/>
            <w:vAlign w:val="bottom"/>
            <w:hideMark/>
          </w:tcPr>
          <w:p w14:paraId="3870E046" w14:textId="77777777" w:rsidR="00131C02" w:rsidRPr="00815F95" w:rsidRDefault="00131C02" w:rsidP="00131C02">
            <w:pPr>
              <w:spacing w:after="0" w:line="240" w:lineRule="auto"/>
              <w:jc w:val="center"/>
              <w:rPr>
                <w:rFonts w:cs="Arial"/>
                <w:color w:val="000000"/>
                <w:sz w:val="22"/>
                <w:szCs w:val="22"/>
                <w:lang w:val="en-US" w:eastAsia="en-US"/>
              </w:rPr>
            </w:pPr>
            <w:r w:rsidRPr="00815F95">
              <w:rPr>
                <w:rFonts w:cs="Arial"/>
                <w:color w:val="000000"/>
                <w:sz w:val="22"/>
                <w:szCs w:val="22"/>
                <w:lang w:val="en-US" w:eastAsia="en-US"/>
              </w:rPr>
              <w:t>Decil 9</w:t>
            </w:r>
          </w:p>
        </w:tc>
        <w:tc>
          <w:tcPr>
            <w:tcW w:w="1219" w:type="dxa"/>
            <w:tcBorders>
              <w:top w:val="nil"/>
              <w:left w:val="single" w:sz="4" w:space="0" w:color="auto"/>
              <w:right w:val="nil"/>
            </w:tcBorders>
            <w:shd w:val="clear" w:color="auto" w:fill="auto"/>
            <w:noWrap/>
            <w:vAlign w:val="bottom"/>
            <w:hideMark/>
          </w:tcPr>
          <w:p w14:paraId="5D58A4D6" w14:textId="7314D5BA" w:rsidR="00131C02" w:rsidRPr="00131C02" w:rsidRDefault="00131C02" w:rsidP="00131C02">
            <w:pPr>
              <w:spacing w:after="0" w:line="240" w:lineRule="auto"/>
              <w:jc w:val="center"/>
              <w:rPr>
                <w:rFonts w:cs="Arial"/>
                <w:sz w:val="22"/>
                <w:szCs w:val="22"/>
                <w:lang w:val="en-US" w:eastAsia="en-US"/>
              </w:rPr>
            </w:pPr>
            <w:r w:rsidRPr="00131C02">
              <w:rPr>
                <w:rFonts w:eastAsia="Open Sans" w:cs="Arial"/>
                <w:kern w:val="24"/>
                <w:sz w:val="22"/>
                <w:szCs w:val="22"/>
              </w:rPr>
              <w:t>-17.61</w:t>
            </w:r>
          </w:p>
        </w:tc>
        <w:tc>
          <w:tcPr>
            <w:tcW w:w="1219" w:type="dxa"/>
            <w:tcBorders>
              <w:top w:val="nil"/>
              <w:left w:val="nil"/>
              <w:right w:val="nil"/>
            </w:tcBorders>
            <w:shd w:val="clear" w:color="auto" w:fill="auto"/>
            <w:noWrap/>
            <w:vAlign w:val="bottom"/>
            <w:hideMark/>
          </w:tcPr>
          <w:p w14:paraId="2CB8838E" w14:textId="3260762D" w:rsidR="00131C02" w:rsidRPr="00131C02" w:rsidRDefault="00131C02" w:rsidP="00131C02">
            <w:pPr>
              <w:spacing w:after="0" w:line="240" w:lineRule="auto"/>
              <w:jc w:val="center"/>
              <w:rPr>
                <w:rFonts w:cs="Arial"/>
                <w:sz w:val="22"/>
                <w:szCs w:val="22"/>
                <w:lang w:val="en-US" w:eastAsia="en-US"/>
              </w:rPr>
            </w:pPr>
            <w:r w:rsidRPr="00131C02">
              <w:rPr>
                <w:rFonts w:eastAsia="Open Sans" w:cs="Arial"/>
                <w:kern w:val="24"/>
                <w:sz w:val="22"/>
                <w:szCs w:val="22"/>
              </w:rPr>
              <w:t>-6.53</w:t>
            </w:r>
          </w:p>
        </w:tc>
        <w:tc>
          <w:tcPr>
            <w:tcW w:w="1219" w:type="dxa"/>
            <w:tcBorders>
              <w:top w:val="nil"/>
              <w:left w:val="nil"/>
              <w:right w:val="nil"/>
            </w:tcBorders>
            <w:shd w:val="clear" w:color="auto" w:fill="auto"/>
            <w:noWrap/>
            <w:vAlign w:val="bottom"/>
            <w:hideMark/>
          </w:tcPr>
          <w:p w14:paraId="3D9BA1F2" w14:textId="2843D09F" w:rsidR="00131C02" w:rsidRPr="00131C02" w:rsidRDefault="00131C02" w:rsidP="00131C02">
            <w:pPr>
              <w:spacing w:after="0" w:line="240" w:lineRule="auto"/>
              <w:jc w:val="center"/>
              <w:rPr>
                <w:rFonts w:cs="Arial"/>
                <w:sz w:val="22"/>
                <w:szCs w:val="22"/>
                <w:lang w:val="en-US" w:eastAsia="en-US"/>
              </w:rPr>
            </w:pPr>
            <w:r w:rsidRPr="00131C02">
              <w:rPr>
                <w:rFonts w:eastAsia="Open Sans" w:cs="Arial"/>
                <w:kern w:val="24"/>
                <w:sz w:val="22"/>
                <w:szCs w:val="22"/>
              </w:rPr>
              <w:t>-11.27</w:t>
            </w:r>
          </w:p>
        </w:tc>
        <w:tc>
          <w:tcPr>
            <w:tcW w:w="1219" w:type="dxa"/>
            <w:tcBorders>
              <w:top w:val="nil"/>
              <w:left w:val="nil"/>
              <w:right w:val="nil"/>
            </w:tcBorders>
            <w:shd w:val="clear" w:color="auto" w:fill="auto"/>
            <w:noWrap/>
            <w:vAlign w:val="bottom"/>
            <w:hideMark/>
          </w:tcPr>
          <w:p w14:paraId="16A0A612" w14:textId="453B4267" w:rsidR="00131C02" w:rsidRPr="00131C02" w:rsidRDefault="00131C02" w:rsidP="00131C02">
            <w:pPr>
              <w:spacing w:after="0" w:line="240" w:lineRule="auto"/>
              <w:jc w:val="center"/>
              <w:rPr>
                <w:rFonts w:cs="Arial"/>
                <w:sz w:val="22"/>
                <w:szCs w:val="22"/>
                <w:lang w:val="en-US" w:eastAsia="en-US"/>
              </w:rPr>
            </w:pPr>
            <w:r w:rsidRPr="00131C02">
              <w:rPr>
                <w:rFonts w:eastAsia="Open Sans" w:cs="Arial"/>
                <w:kern w:val="24"/>
                <w:sz w:val="22"/>
                <w:szCs w:val="22"/>
              </w:rPr>
              <w:t>-6.62</w:t>
            </w:r>
          </w:p>
        </w:tc>
        <w:tc>
          <w:tcPr>
            <w:tcW w:w="1219" w:type="dxa"/>
            <w:tcBorders>
              <w:top w:val="nil"/>
              <w:left w:val="nil"/>
              <w:right w:val="nil"/>
            </w:tcBorders>
            <w:shd w:val="clear" w:color="auto" w:fill="auto"/>
            <w:noWrap/>
            <w:vAlign w:val="bottom"/>
            <w:hideMark/>
          </w:tcPr>
          <w:p w14:paraId="2C0FBC42" w14:textId="02E3D097" w:rsidR="00131C02" w:rsidRPr="00131C02" w:rsidRDefault="00131C02" w:rsidP="00131C02">
            <w:pPr>
              <w:spacing w:after="0" w:line="240" w:lineRule="auto"/>
              <w:jc w:val="center"/>
              <w:rPr>
                <w:rFonts w:cs="Arial"/>
                <w:sz w:val="22"/>
                <w:szCs w:val="22"/>
                <w:lang w:val="en-US" w:eastAsia="en-US"/>
              </w:rPr>
            </w:pPr>
            <w:r w:rsidRPr="00131C02">
              <w:rPr>
                <w:rFonts w:eastAsia="Open Sans" w:cs="Arial"/>
                <w:kern w:val="24"/>
                <w:sz w:val="22"/>
                <w:szCs w:val="22"/>
              </w:rPr>
              <w:t>10.77</w:t>
            </w:r>
          </w:p>
        </w:tc>
      </w:tr>
      <w:tr w:rsidR="00131C02" w:rsidRPr="00815F95" w14:paraId="3C1BFC03" w14:textId="77777777" w:rsidTr="00131C02">
        <w:trPr>
          <w:trHeight w:val="391"/>
          <w:jc w:val="center"/>
        </w:trPr>
        <w:tc>
          <w:tcPr>
            <w:tcW w:w="1331" w:type="dxa"/>
            <w:tcBorders>
              <w:top w:val="nil"/>
              <w:left w:val="nil"/>
              <w:bottom w:val="single" w:sz="4" w:space="0" w:color="auto"/>
              <w:right w:val="single" w:sz="4" w:space="0" w:color="auto"/>
            </w:tcBorders>
            <w:shd w:val="clear" w:color="000000" w:fill="FFFFFF"/>
            <w:noWrap/>
            <w:vAlign w:val="bottom"/>
            <w:hideMark/>
          </w:tcPr>
          <w:p w14:paraId="4B4D57FD" w14:textId="77777777" w:rsidR="00131C02" w:rsidRPr="00815F95" w:rsidRDefault="00131C02" w:rsidP="00131C02">
            <w:pPr>
              <w:spacing w:after="0" w:line="240" w:lineRule="auto"/>
              <w:jc w:val="center"/>
              <w:rPr>
                <w:rFonts w:cs="Arial"/>
                <w:color w:val="000000"/>
                <w:sz w:val="22"/>
                <w:szCs w:val="22"/>
                <w:lang w:val="en-US" w:eastAsia="en-US"/>
              </w:rPr>
            </w:pPr>
            <w:r w:rsidRPr="00815F95">
              <w:rPr>
                <w:rFonts w:cs="Arial"/>
                <w:color w:val="000000"/>
                <w:sz w:val="22"/>
                <w:szCs w:val="22"/>
                <w:lang w:val="en-US" w:eastAsia="en-US"/>
              </w:rPr>
              <w:lastRenderedPageBreak/>
              <w:t>Decil 10</w:t>
            </w:r>
          </w:p>
        </w:tc>
        <w:tc>
          <w:tcPr>
            <w:tcW w:w="1219" w:type="dxa"/>
            <w:tcBorders>
              <w:top w:val="nil"/>
              <w:left w:val="single" w:sz="4" w:space="0" w:color="auto"/>
              <w:bottom w:val="single" w:sz="4" w:space="0" w:color="auto"/>
              <w:right w:val="nil"/>
            </w:tcBorders>
            <w:shd w:val="clear" w:color="auto" w:fill="auto"/>
            <w:noWrap/>
            <w:vAlign w:val="bottom"/>
            <w:hideMark/>
          </w:tcPr>
          <w:p w14:paraId="7135560E" w14:textId="58FB17E4" w:rsidR="00131C02" w:rsidRPr="00131C02" w:rsidRDefault="00131C02" w:rsidP="00131C02">
            <w:pPr>
              <w:spacing w:after="0" w:line="240" w:lineRule="auto"/>
              <w:jc w:val="center"/>
              <w:rPr>
                <w:rFonts w:cs="Arial"/>
                <w:sz w:val="22"/>
                <w:szCs w:val="22"/>
                <w:lang w:val="en-US" w:eastAsia="en-US"/>
              </w:rPr>
            </w:pPr>
            <w:r w:rsidRPr="00131C02">
              <w:rPr>
                <w:rFonts w:eastAsia="Open Sans" w:cs="Arial"/>
                <w:kern w:val="24"/>
                <w:sz w:val="22"/>
                <w:szCs w:val="22"/>
              </w:rPr>
              <w:t>-45.19</w:t>
            </w:r>
          </w:p>
        </w:tc>
        <w:tc>
          <w:tcPr>
            <w:tcW w:w="1219" w:type="dxa"/>
            <w:tcBorders>
              <w:top w:val="nil"/>
              <w:left w:val="nil"/>
              <w:bottom w:val="single" w:sz="4" w:space="0" w:color="auto"/>
              <w:right w:val="nil"/>
            </w:tcBorders>
            <w:shd w:val="clear" w:color="auto" w:fill="auto"/>
            <w:noWrap/>
            <w:vAlign w:val="bottom"/>
            <w:hideMark/>
          </w:tcPr>
          <w:p w14:paraId="26334C6D" w14:textId="5DBEE019" w:rsidR="00131C02" w:rsidRPr="00131C02" w:rsidRDefault="00131C02" w:rsidP="00131C02">
            <w:pPr>
              <w:spacing w:after="0" w:line="240" w:lineRule="auto"/>
              <w:jc w:val="center"/>
              <w:rPr>
                <w:rFonts w:cs="Arial"/>
                <w:sz w:val="22"/>
                <w:szCs w:val="22"/>
                <w:lang w:val="en-US" w:eastAsia="en-US"/>
              </w:rPr>
            </w:pPr>
            <w:r w:rsidRPr="00131C02">
              <w:rPr>
                <w:rFonts w:eastAsia="Open Sans" w:cs="Arial"/>
                <w:kern w:val="24"/>
                <w:sz w:val="22"/>
                <w:szCs w:val="22"/>
              </w:rPr>
              <w:t>-19.16</w:t>
            </w:r>
          </w:p>
        </w:tc>
        <w:tc>
          <w:tcPr>
            <w:tcW w:w="1219" w:type="dxa"/>
            <w:tcBorders>
              <w:top w:val="nil"/>
              <w:left w:val="nil"/>
              <w:bottom w:val="single" w:sz="4" w:space="0" w:color="auto"/>
              <w:right w:val="nil"/>
            </w:tcBorders>
            <w:shd w:val="clear" w:color="auto" w:fill="auto"/>
            <w:noWrap/>
            <w:vAlign w:val="bottom"/>
            <w:hideMark/>
          </w:tcPr>
          <w:p w14:paraId="1907B676" w14:textId="119FD263" w:rsidR="00131C02" w:rsidRPr="00131C02" w:rsidRDefault="00131C02" w:rsidP="00131C02">
            <w:pPr>
              <w:spacing w:after="0" w:line="240" w:lineRule="auto"/>
              <w:jc w:val="center"/>
              <w:rPr>
                <w:rFonts w:cs="Arial"/>
                <w:sz w:val="22"/>
                <w:szCs w:val="22"/>
                <w:lang w:val="en-US" w:eastAsia="en-US"/>
              </w:rPr>
            </w:pPr>
            <w:r w:rsidRPr="00131C02">
              <w:rPr>
                <w:rFonts w:eastAsia="Open Sans" w:cs="Arial"/>
                <w:kern w:val="24"/>
                <w:sz w:val="22"/>
                <w:szCs w:val="22"/>
              </w:rPr>
              <w:t>-30.33</w:t>
            </w:r>
          </w:p>
        </w:tc>
        <w:tc>
          <w:tcPr>
            <w:tcW w:w="1219" w:type="dxa"/>
            <w:tcBorders>
              <w:top w:val="nil"/>
              <w:left w:val="nil"/>
              <w:bottom w:val="single" w:sz="4" w:space="0" w:color="auto"/>
              <w:right w:val="nil"/>
            </w:tcBorders>
            <w:shd w:val="clear" w:color="auto" w:fill="auto"/>
            <w:noWrap/>
            <w:vAlign w:val="bottom"/>
            <w:hideMark/>
          </w:tcPr>
          <w:p w14:paraId="57EF7D92" w14:textId="0CA9EB59" w:rsidR="00131C02" w:rsidRPr="00131C02" w:rsidRDefault="00131C02" w:rsidP="00131C02">
            <w:pPr>
              <w:spacing w:after="0" w:line="240" w:lineRule="auto"/>
              <w:jc w:val="center"/>
              <w:rPr>
                <w:rFonts w:cs="Arial"/>
                <w:sz w:val="22"/>
                <w:szCs w:val="22"/>
                <w:lang w:val="en-US" w:eastAsia="en-US"/>
              </w:rPr>
            </w:pPr>
            <w:r w:rsidRPr="00131C02">
              <w:rPr>
                <w:rFonts w:eastAsia="Open Sans" w:cs="Arial"/>
                <w:kern w:val="24"/>
                <w:sz w:val="22"/>
                <w:szCs w:val="22"/>
              </w:rPr>
              <w:t>-20.96</w:t>
            </w:r>
          </w:p>
        </w:tc>
        <w:tc>
          <w:tcPr>
            <w:tcW w:w="1219" w:type="dxa"/>
            <w:tcBorders>
              <w:top w:val="nil"/>
              <w:left w:val="nil"/>
              <w:bottom w:val="single" w:sz="4" w:space="0" w:color="auto"/>
              <w:right w:val="nil"/>
            </w:tcBorders>
            <w:shd w:val="clear" w:color="auto" w:fill="auto"/>
            <w:noWrap/>
            <w:vAlign w:val="bottom"/>
            <w:hideMark/>
          </w:tcPr>
          <w:p w14:paraId="19B1266E" w14:textId="09D9DF22" w:rsidR="00131C02" w:rsidRPr="00131C02" w:rsidRDefault="00131C02" w:rsidP="00131C02">
            <w:pPr>
              <w:spacing w:after="0" w:line="240" w:lineRule="auto"/>
              <w:jc w:val="center"/>
              <w:rPr>
                <w:rFonts w:cs="Arial"/>
                <w:sz w:val="22"/>
                <w:szCs w:val="22"/>
                <w:lang w:val="en-US" w:eastAsia="en-US"/>
              </w:rPr>
            </w:pPr>
            <w:r w:rsidRPr="00131C02">
              <w:rPr>
                <w:rFonts w:eastAsia="Open Sans" w:cs="Arial"/>
                <w:kern w:val="24"/>
                <w:sz w:val="22"/>
                <w:szCs w:val="22"/>
              </w:rPr>
              <w:t>-20.40</w:t>
            </w:r>
          </w:p>
        </w:tc>
      </w:tr>
    </w:tbl>
    <w:p w14:paraId="2370DF44" w14:textId="7D92D69A" w:rsidR="00B9351D" w:rsidRPr="00B9351D" w:rsidRDefault="00B9351D" w:rsidP="00B9351D">
      <w:pPr>
        <w:rPr>
          <w:rFonts w:eastAsiaTheme="minorHAnsi" w:cs="Arial"/>
          <w:sz w:val="18"/>
          <w:szCs w:val="20"/>
        </w:rPr>
      </w:pPr>
      <w:r w:rsidRPr="009161F1">
        <w:rPr>
          <w:rFonts w:eastAsiaTheme="minorHAnsi" w:cs="Arial"/>
          <w:sz w:val="18"/>
          <w:szCs w:val="20"/>
        </w:rPr>
        <w:t>Fuente: elaboración propia</w:t>
      </w:r>
      <w:r>
        <w:rPr>
          <w:rFonts w:eastAsiaTheme="minorHAnsi" w:cs="Arial"/>
          <w:sz w:val="18"/>
          <w:szCs w:val="20"/>
        </w:rPr>
        <w:t>.</w:t>
      </w:r>
    </w:p>
    <w:p w14:paraId="032EAB06" w14:textId="593E9267" w:rsidR="00D50ACC" w:rsidRPr="00504D3D" w:rsidRDefault="00253599" w:rsidP="0059337F">
      <w:pPr>
        <w:spacing w:line="240" w:lineRule="auto"/>
      </w:pPr>
      <w:r>
        <w:t>E</w:t>
      </w:r>
      <w:r w:rsidR="006002B0">
        <w:t xml:space="preserve">l impacto de estos escenarios en el entorno macroeconómico se muestra en la </w:t>
      </w:r>
      <w:r w:rsidR="00504D3D">
        <w:fldChar w:fldCharType="begin"/>
      </w:r>
      <w:r w:rsidR="00504D3D">
        <w:instrText xml:space="preserve"> REF _Ref526697003 \h \* lower </w:instrText>
      </w:r>
      <w:r>
        <w:instrText xml:space="preserve"> \* MERGEFORMAT </w:instrText>
      </w:r>
      <w:r w:rsidR="00504D3D">
        <w:fldChar w:fldCharType="separate"/>
      </w:r>
      <w:r w:rsidR="00A95E32">
        <w:t xml:space="preserve">tabla </w:t>
      </w:r>
      <w:r w:rsidR="00A95E32">
        <w:rPr>
          <w:noProof/>
        </w:rPr>
        <w:t>24</w:t>
      </w:r>
      <w:r w:rsidR="00504D3D">
        <w:fldChar w:fldCharType="end"/>
      </w:r>
      <w:r w:rsidR="00315705">
        <w:t xml:space="preserve">. </w:t>
      </w:r>
      <w:r w:rsidR="00C7288D">
        <w:t xml:space="preserve">Como es esperable bajo un ejercicio de política fiscal restrictiva, </w:t>
      </w:r>
      <w:r w:rsidR="00F00EBE">
        <w:t xml:space="preserve">se </w:t>
      </w:r>
      <w:r w:rsidR="00C7288D">
        <w:t>produce una</w:t>
      </w:r>
      <w:r w:rsidR="00F00EBE">
        <w:t xml:space="preserve"> contracción del producto interno bruto</w:t>
      </w:r>
      <w:r w:rsidR="0041615C">
        <w:t>, en corto plazo</w:t>
      </w:r>
      <w:r w:rsidR="00F00EBE">
        <w:t xml:space="preserve"> y una depreciación</w:t>
      </w:r>
      <w:r w:rsidR="0041615C">
        <w:t xml:space="preserve"> tanto</w:t>
      </w:r>
      <w:r w:rsidR="007A0D18">
        <w:t xml:space="preserve"> en el corto plazo</w:t>
      </w:r>
      <w:r w:rsidR="0041615C">
        <w:t>, como en el largo plazo</w:t>
      </w:r>
      <w:r w:rsidR="00A5647F">
        <w:t>.</w:t>
      </w:r>
      <w:r w:rsidR="007A0D18">
        <w:t xml:space="preserve"> </w:t>
      </w:r>
      <w:r w:rsidR="005E2672">
        <w:t xml:space="preserve">El </w:t>
      </w:r>
      <w:r w:rsidR="0059337F">
        <w:t xml:space="preserve">mayor </w:t>
      </w:r>
      <w:r w:rsidR="005E2672">
        <w:t>rendimiento de la reforma e</w:t>
      </w:r>
      <w:r w:rsidR="0059337F">
        <w:t>s en el</w:t>
      </w:r>
      <w:r w:rsidR="005E2672">
        <w:t xml:space="preserve"> escenario 3</w:t>
      </w:r>
      <w:r w:rsidR="000510B7">
        <w:t>,</w:t>
      </w:r>
      <w:r w:rsidR="0059337F">
        <w:t xml:space="preserve"> con</w:t>
      </w:r>
      <w:r w:rsidR="000510B7">
        <w:t xml:space="preserve"> un</w:t>
      </w:r>
      <w:r w:rsidR="005E2672">
        <w:t xml:space="preserve"> </w:t>
      </w:r>
      <w:r w:rsidR="0041615C">
        <w:t>3</w:t>
      </w:r>
      <w:r w:rsidR="005E2672">
        <w:t>.</w:t>
      </w:r>
      <w:r w:rsidR="0041615C">
        <w:t>8</w:t>
      </w:r>
      <w:r w:rsidR="005E2672">
        <w:t>% respecto al producto</w:t>
      </w:r>
      <w:r w:rsidR="0059337F">
        <w:t>.</w:t>
      </w:r>
      <w:r w:rsidR="00542AEB">
        <w:t xml:space="preserve"> </w:t>
      </w:r>
      <w:r w:rsidR="00FB2373">
        <w:t xml:space="preserve">La comparación entre </w:t>
      </w:r>
      <w:r w:rsidR="00301EF5">
        <w:t>los escenarios</w:t>
      </w:r>
      <w:r w:rsidR="00FB2373">
        <w:t xml:space="preserve"> </w:t>
      </w:r>
      <w:r w:rsidR="00301EF5">
        <w:t>3</w:t>
      </w:r>
      <w:r w:rsidR="00560F04">
        <w:t xml:space="preserve"> </w:t>
      </w:r>
      <w:r w:rsidR="00B27D0D">
        <w:t>y 4</w:t>
      </w:r>
      <w:r w:rsidR="00301EF5">
        <w:t xml:space="preserve"> muestran que las exenciones minan la recaudación de manera importante. </w:t>
      </w:r>
      <w:r w:rsidR="00542AEB">
        <w:t xml:space="preserve">Los resultados entre la presión </w:t>
      </w:r>
      <w:r w:rsidR="00620996">
        <w:t>y rendimiento muestran una correlación directa.</w:t>
      </w:r>
      <w:r w:rsidR="008A05C3">
        <w:t xml:space="preserve"> </w:t>
      </w:r>
    </w:p>
    <w:p w14:paraId="510FF247" w14:textId="4526939A" w:rsidR="00482071" w:rsidRDefault="00176DD4" w:rsidP="00176DD4">
      <w:pPr>
        <w:pStyle w:val="Caption"/>
      </w:pPr>
      <w:bookmarkStart w:id="183" w:name="_Ref526697003"/>
      <w:bookmarkStart w:id="184" w:name="_Toc2853714"/>
      <w:r>
        <w:t xml:space="preserve">Tabla </w:t>
      </w:r>
      <w:r>
        <w:fldChar w:fldCharType="begin"/>
      </w:r>
      <w:r>
        <w:instrText xml:space="preserve"> SEQ Tabla \* ARABIC </w:instrText>
      </w:r>
      <w:r>
        <w:fldChar w:fldCharType="separate"/>
      </w:r>
      <w:r w:rsidR="00A95E32">
        <w:rPr>
          <w:noProof/>
        </w:rPr>
        <w:t>24</w:t>
      </w:r>
      <w:r>
        <w:fldChar w:fldCharType="end"/>
      </w:r>
      <w:bookmarkEnd w:id="183"/>
      <w:r>
        <w:t xml:space="preserve"> </w:t>
      </w:r>
      <w:r>
        <w:br/>
      </w:r>
      <w:r w:rsidR="002532CE">
        <w:t>Resultados de las v</w:t>
      </w:r>
      <w:r>
        <w:t>ariables macroeconómicas por simulaciones</w:t>
      </w:r>
      <w:bookmarkEnd w:id="184"/>
    </w:p>
    <w:tbl>
      <w:tblPr>
        <w:tblW w:w="7348" w:type="dxa"/>
        <w:jc w:val="center"/>
        <w:tblLook w:val="04A0" w:firstRow="1" w:lastRow="0" w:firstColumn="1" w:lastColumn="0" w:noHBand="0" w:noVBand="1"/>
      </w:tblPr>
      <w:tblGrid>
        <w:gridCol w:w="1826"/>
        <w:gridCol w:w="1682"/>
        <w:gridCol w:w="1280"/>
        <w:gridCol w:w="1280"/>
        <w:gridCol w:w="1280"/>
      </w:tblGrid>
      <w:tr w:rsidR="00B27D0D" w:rsidRPr="00B9351D" w14:paraId="74D5D986" w14:textId="77777777" w:rsidTr="00363DFB">
        <w:trPr>
          <w:trHeight w:val="564"/>
          <w:jc w:val="center"/>
        </w:trPr>
        <w:tc>
          <w:tcPr>
            <w:tcW w:w="1826" w:type="dxa"/>
            <w:tcBorders>
              <w:top w:val="nil"/>
              <w:left w:val="nil"/>
              <w:bottom w:val="single" w:sz="4" w:space="0" w:color="auto"/>
              <w:right w:val="nil"/>
            </w:tcBorders>
            <w:shd w:val="clear" w:color="000000" w:fill="FFFFFF"/>
            <w:noWrap/>
            <w:vAlign w:val="bottom"/>
            <w:hideMark/>
          </w:tcPr>
          <w:p w14:paraId="3E9FE193" w14:textId="77777777" w:rsidR="00B27D0D" w:rsidRPr="00253599" w:rsidRDefault="00B27D0D" w:rsidP="00253599">
            <w:pPr>
              <w:spacing w:after="0" w:line="240" w:lineRule="auto"/>
              <w:jc w:val="center"/>
              <w:rPr>
                <w:rFonts w:cs="Arial"/>
                <w:color w:val="000000"/>
                <w:sz w:val="22"/>
                <w:szCs w:val="20"/>
                <w:lang w:val="en-US" w:eastAsia="en-US"/>
              </w:rPr>
            </w:pPr>
            <w:r w:rsidRPr="00253599">
              <w:rPr>
                <w:rFonts w:cs="Arial"/>
                <w:color w:val="000000"/>
                <w:sz w:val="22"/>
                <w:szCs w:val="20"/>
                <w:lang w:val="en-US" w:eastAsia="en-US"/>
              </w:rPr>
              <w:t>Variable</w:t>
            </w:r>
          </w:p>
        </w:tc>
        <w:tc>
          <w:tcPr>
            <w:tcW w:w="1682" w:type="dxa"/>
            <w:tcBorders>
              <w:top w:val="nil"/>
              <w:left w:val="single" w:sz="4" w:space="0" w:color="auto"/>
              <w:bottom w:val="single" w:sz="4" w:space="0" w:color="auto"/>
              <w:right w:val="nil"/>
            </w:tcBorders>
            <w:shd w:val="clear" w:color="000000" w:fill="FFFFFF"/>
            <w:noWrap/>
            <w:vAlign w:val="bottom"/>
            <w:hideMark/>
          </w:tcPr>
          <w:p w14:paraId="169D9D58" w14:textId="50B24B35" w:rsidR="00B27D0D" w:rsidRPr="00253599" w:rsidRDefault="00AE671D" w:rsidP="00253599">
            <w:pPr>
              <w:spacing w:after="0" w:line="240" w:lineRule="auto"/>
              <w:jc w:val="center"/>
              <w:rPr>
                <w:rFonts w:cs="Arial"/>
                <w:color w:val="000000"/>
                <w:sz w:val="22"/>
                <w:szCs w:val="20"/>
                <w:lang w:val="en-US" w:eastAsia="en-US"/>
              </w:rPr>
            </w:pPr>
            <w:r>
              <w:rPr>
                <w:rFonts w:cs="Arial"/>
                <w:color w:val="000000"/>
                <w:sz w:val="22"/>
                <w:szCs w:val="20"/>
                <w:lang w:val="en-US" w:eastAsia="en-US"/>
              </w:rPr>
              <w:t>S</w:t>
            </w:r>
            <w:r w:rsidR="00B27D0D" w:rsidRPr="00253599">
              <w:rPr>
                <w:rFonts w:cs="Arial"/>
                <w:color w:val="000000"/>
                <w:sz w:val="22"/>
                <w:szCs w:val="20"/>
                <w:lang w:val="en-US" w:eastAsia="en-US"/>
              </w:rPr>
              <w:t>im01</w:t>
            </w:r>
          </w:p>
        </w:tc>
        <w:tc>
          <w:tcPr>
            <w:tcW w:w="1280" w:type="dxa"/>
            <w:tcBorders>
              <w:top w:val="nil"/>
              <w:left w:val="nil"/>
              <w:bottom w:val="single" w:sz="4" w:space="0" w:color="auto"/>
              <w:right w:val="nil"/>
            </w:tcBorders>
            <w:shd w:val="clear" w:color="000000" w:fill="FFFFFF"/>
            <w:noWrap/>
            <w:vAlign w:val="bottom"/>
            <w:hideMark/>
          </w:tcPr>
          <w:p w14:paraId="37AA03BF" w14:textId="1DB7172C" w:rsidR="00B27D0D" w:rsidRPr="00253599" w:rsidRDefault="00AE671D" w:rsidP="00253599">
            <w:pPr>
              <w:spacing w:after="0" w:line="240" w:lineRule="auto"/>
              <w:jc w:val="center"/>
              <w:rPr>
                <w:rFonts w:cs="Arial"/>
                <w:color w:val="000000"/>
                <w:sz w:val="22"/>
                <w:szCs w:val="20"/>
                <w:lang w:val="en-US" w:eastAsia="en-US"/>
              </w:rPr>
            </w:pPr>
            <w:r>
              <w:rPr>
                <w:rFonts w:cs="Arial"/>
                <w:color w:val="000000"/>
                <w:sz w:val="22"/>
                <w:szCs w:val="20"/>
                <w:lang w:val="en-US" w:eastAsia="en-US"/>
              </w:rPr>
              <w:t>S</w:t>
            </w:r>
            <w:r w:rsidR="00B27D0D" w:rsidRPr="00253599">
              <w:rPr>
                <w:rFonts w:cs="Arial"/>
                <w:color w:val="000000"/>
                <w:sz w:val="22"/>
                <w:szCs w:val="20"/>
                <w:lang w:val="en-US" w:eastAsia="en-US"/>
              </w:rPr>
              <w:t>im02</w:t>
            </w:r>
          </w:p>
        </w:tc>
        <w:tc>
          <w:tcPr>
            <w:tcW w:w="1280" w:type="dxa"/>
            <w:tcBorders>
              <w:top w:val="nil"/>
              <w:left w:val="nil"/>
              <w:bottom w:val="single" w:sz="4" w:space="0" w:color="auto"/>
              <w:right w:val="nil"/>
            </w:tcBorders>
            <w:shd w:val="clear" w:color="000000" w:fill="FFFFFF"/>
            <w:noWrap/>
            <w:vAlign w:val="bottom"/>
            <w:hideMark/>
          </w:tcPr>
          <w:p w14:paraId="105E9ADE" w14:textId="7BA50481" w:rsidR="00B27D0D" w:rsidRPr="00253599" w:rsidRDefault="00AE671D" w:rsidP="00253599">
            <w:pPr>
              <w:spacing w:after="0" w:line="240" w:lineRule="auto"/>
              <w:jc w:val="center"/>
              <w:rPr>
                <w:rFonts w:cs="Arial"/>
                <w:color w:val="000000"/>
                <w:sz w:val="22"/>
                <w:szCs w:val="20"/>
                <w:lang w:val="en-US" w:eastAsia="en-US"/>
              </w:rPr>
            </w:pPr>
            <w:r>
              <w:rPr>
                <w:rFonts w:cs="Arial"/>
                <w:color w:val="000000"/>
                <w:sz w:val="22"/>
                <w:szCs w:val="20"/>
                <w:lang w:val="en-US" w:eastAsia="en-US"/>
              </w:rPr>
              <w:t>S</w:t>
            </w:r>
            <w:r w:rsidR="00B27D0D" w:rsidRPr="00253599">
              <w:rPr>
                <w:rFonts w:cs="Arial"/>
                <w:color w:val="000000"/>
                <w:sz w:val="22"/>
                <w:szCs w:val="20"/>
                <w:lang w:val="en-US" w:eastAsia="en-US"/>
              </w:rPr>
              <w:t>im03</w:t>
            </w:r>
          </w:p>
        </w:tc>
        <w:tc>
          <w:tcPr>
            <w:tcW w:w="1280" w:type="dxa"/>
            <w:tcBorders>
              <w:top w:val="nil"/>
              <w:left w:val="nil"/>
              <w:bottom w:val="single" w:sz="4" w:space="0" w:color="auto"/>
              <w:right w:val="nil"/>
            </w:tcBorders>
            <w:shd w:val="clear" w:color="000000" w:fill="FFFFFF"/>
            <w:noWrap/>
            <w:vAlign w:val="bottom"/>
            <w:hideMark/>
          </w:tcPr>
          <w:p w14:paraId="18680061" w14:textId="27607DF5" w:rsidR="00B27D0D" w:rsidRPr="00253599" w:rsidRDefault="00AE671D" w:rsidP="00253599">
            <w:pPr>
              <w:spacing w:after="0" w:line="240" w:lineRule="auto"/>
              <w:jc w:val="center"/>
              <w:rPr>
                <w:rFonts w:cs="Arial"/>
                <w:color w:val="000000"/>
                <w:sz w:val="22"/>
                <w:szCs w:val="20"/>
                <w:lang w:val="en-US" w:eastAsia="en-US"/>
              </w:rPr>
            </w:pPr>
            <w:r>
              <w:rPr>
                <w:rFonts w:cs="Arial"/>
                <w:color w:val="000000"/>
                <w:sz w:val="22"/>
                <w:szCs w:val="20"/>
                <w:lang w:val="en-US" w:eastAsia="en-US"/>
              </w:rPr>
              <w:t>S</w:t>
            </w:r>
            <w:r w:rsidR="00B27D0D" w:rsidRPr="00253599">
              <w:rPr>
                <w:rFonts w:cs="Arial"/>
                <w:color w:val="000000"/>
                <w:sz w:val="22"/>
                <w:szCs w:val="20"/>
                <w:lang w:val="en-US" w:eastAsia="en-US"/>
              </w:rPr>
              <w:t>im04</w:t>
            </w:r>
          </w:p>
        </w:tc>
      </w:tr>
      <w:tr w:rsidR="00B27D0D" w:rsidRPr="00B9351D" w14:paraId="75A52267" w14:textId="77777777" w:rsidTr="00363DFB">
        <w:trPr>
          <w:trHeight w:val="564"/>
          <w:jc w:val="center"/>
        </w:trPr>
        <w:tc>
          <w:tcPr>
            <w:tcW w:w="1826" w:type="dxa"/>
            <w:tcBorders>
              <w:top w:val="nil"/>
              <w:left w:val="nil"/>
              <w:bottom w:val="nil"/>
              <w:right w:val="nil"/>
            </w:tcBorders>
            <w:shd w:val="clear" w:color="000000" w:fill="FFFFFF"/>
            <w:noWrap/>
            <w:vAlign w:val="bottom"/>
            <w:hideMark/>
          </w:tcPr>
          <w:p w14:paraId="4B06DA72" w14:textId="64B347FF" w:rsidR="00B27D0D" w:rsidRPr="00253599" w:rsidRDefault="00B27D0D" w:rsidP="00B27D0D">
            <w:pPr>
              <w:spacing w:after="0" w:line="240" w:lineRule="auto"/>
              <w:jc w:val="left"/>
              <w:rPr>
                <w:rFonts w:cs="Arial"/>
                <w:color w:val="000000"/>
                <w:sz w:val="22"/>
                <w:szCs w:val="22"/>
                <w:lang w:val="en-US" w:eastAsia="en-US"/>
              </w:rPr>
            </w:pPr>
            <w:r w:rsidRPr="00253599">
              <w:rPr>
                <w:rFonts w:cs="Arial"/>
                <w:color w:val="000000"/>
                <w:sz w:val="22"/>
                <w:szCs w:val="22"/>
                <w:lang w:val="en-US" w:eastAsia="en-US"/>
              </w:rPr>
              <w:t>TC</w:t>
            </w:r>
            <w:r w:rsidR="00DB5D8F">
              <w:rPr>
                <w:rFonts w:cs="Arial"/>
                <w:color w:val="000000"/>
                <w:sz w:val="22"/>
                <w:szCs w:val="22"/>
                <w:lang w:val="en-US" w:eastAsia="en-US"/>
              </w:rPr>
              <w:t xml:space="preserve"> (LP)</w:t>
            </w:r>
          </w:p>
        </w:tc>
        <w:tc>
          <w:tcPr>
            <w:tcW w:w="1682" w:type="dxa"/>
            <w:tcBorders>
              <w:top w:val="nil"/>
              <w:left w:val="single" w:sz="4" w:space="0" w:color="auto"/>
              <w:bottom w:val="nil"/>
              <w:right w:val="nil"/>
            </w:tcBorders>
            <w:shd w:val="clear" w:color="000000" w:fill="FFFFFF"/>
            <w:noWrap/>
            <w:vAlign w:val="bottom"/>
            <w:hideMark/>
          </w:tcPr>
          <w:p w14:paraId="60F72F7D" w14:textId="139E9139" w:rsidR="00B27D0D" w:rsidRPr="00253599" w:rsidRDefault="00B27D0D" w:rsidP="00B27D0D">
            <w:pPr>
              <w:spacing w:after="0" w:line="240" w:lineRule="auto"/>
              <w:jc w:val="center"/>
              <w:rPr>
                <w:rFonts w:cs="Arial"/>
                <w:color w:val="000000"/>
                <w:sz w:val="22"/>
                <w:szCs w:val="22"/>
                <w:lang w:val="en-US" w:eastAsia="en-US"/>
              </w:rPr>
            </w:pPr>
            <w:r w:rsidRPr="00253599">
              <w:rPr>
                <w:rFonts w:cs="Arial"/>
                <w:color w:val="000000"/>
                <w:sz w:val="22"/>
                <w:szCs w:val="22"/>
                <w:lang w:val="en-US" w:eastAsia="en-US"/>
              </w:rPr>
              <w:t>-</w:t>
            </w:r>
            <w:r w:rsidR="00DB5D8F">
              <w:rPr>
                <w:rFonts w:cs="Arial"/>
                <w:color w:val="000000"/>
                <w:sz w:val="22"/>
                <w:szCs w:val="22"/>
                <w:lang w:val="en-US" w:eastAsia="en-US"/>
              </w:rPr>
              <w:t>1</w:t>
            </w:r>
            <w:r w:rsidRPr="00253599">
              <w:rPr>
                <w:rFonts w:cs="Arial"/>
                <w:color w:val="000000"/>
                <w:sz w:val="22"/>
                <w:szCs w:val="22"/>
                <w:lang w:val="en-US" w:eastAsia="en-US"/>
              </w:rPr>
              <w:t>.</w:t>
            </w:r>
            <w:r w:rsidR="00DB5D8F">
              <w:rPr>
                <w:rFonts w:cs="Arial"/>
                <w:color w:val="000000"/>
                <w:sz w:val="22"/>
                <w:szCs w:val="22"/>
                <w:lang w:val="en-US" w:eastAsia="en-US"/>
              </w:rPr>
              <w:t>61</w:t>
            </w:r>
            <w:r w:rsidRPr="00253599">
              <w:rPr>
                <w:rFonts w:cs="Arial"/>
                <w:color w:val="000000"/>
                <w:sz w:val="22"/>
                <w:szCs w:val="22"/>
                <w:lang w:val="en-US" w:eastAsia="en-US"/>
              </w:rPr>
              <w:t>%</w:t>
            </w:r>
          </w:p>
        </w:tc>
        <w:tc>
          <w:tcPr>
            <w:tcW w:w="1280" w:type="dxa"/>
            <w:tcBorders>
              <w:top w:val="nil"/>
              <w:left w:val="nil"/>
              <w:bottom w:val="nil"/>
              <w:right w:val="nil"/>
            </w:tcBorders>
            <w:shd w:val="clear" w:color="000000" w:fill="FFFFFF"/>
            <w:noWrap/>
            <w:vAlign w:val="bottom"/>
            <w:hideMark/>
          </w:tcPr>
          <w:p w14:paraId="05E5B3B8" w14:textId="77777777" w:rsidR="00B27D0D" w:rsidRPr="00253599" w:rsidRDefault="00B27D0D" w:rsidP="00B27D0D">
            <w:pPr>
              <w:spacing w:after="0" w:line="240" w:lineRule="auto"/>
              <w:jc w:val="center"/>
              <w:rPr>
                <w:rFonts w:cs="Arial"/>
                <w:color w:val="000000"/>
                <w:sz w:val="22"/>
                <w:szCs w:val="22"/>
                <w:lang w:val="en-US" w:eastAsia="en-US"/>
              </w:rPr>
            </w:pPr>
            <w:r w:rsidRPr="00253599">
              <w:rPr>
                <w:rFonts w:cs="Arial"/>
                <w:color w:val="000000"/>
                <w:sz w:val="22"/>
                <w:szCs w:val="22"/>
                <w:lang w:val="en-US" w:eastAsia="en-US"/>
              </w:rPr>
              <w:t>-4.8%</w:t>
            </w:r>
          </w:p>
        </w:tc>
        <w:tc>
          <w:tcPr>
            <w:tcW w:w="1280" w:type="dxa"/>
            <w:tcBorders>
              <w:top w:val="nil"/>
              <w:left w:val="nil"/>
              <w:bottom w:val="nil"/>
              <w:right w:val="nil"/>
            </w:tcBorders>
            <w:shd w:val="clear" w:color="000000" w:fill="FFFFFF"/>
            <w:noWrap/>
            <w:vAlign w:val="bottom"/>
            <w:hideMark/>
          </w:tcPr>
          <w:p w14:paraId="582C3D22" w14:textId="157B4E07" w:rsidR="00B27D0D" w:rsidRPr="00253599" w:rsidRDefault="00B27D0D" w:rsidP="00B27D0D">
            <w:pPr>
              <w:spacing w:after="0" w:line="240" w:lineRule="auto"/>
              <w:jc w:val="center"/>
              <w:rPr>
                <w:rFonts w:cs="Arial"/>
                <w:color w:val="000000"/>
                <w:sz w:val="22"/>
                <w:szCs w:val="22"/>
                <w:lang w:val="en-US" w:eastAsia="en-US"/>
              </w:rPr>
            </w:pPr>
            <w:r w:rsidRPr="00253599">
              <w:rPr>
                <w:rFonts w:cs="Arial"/>
                <w:color w:val="000000"/>
                <w:sz w:val="22"/>
                <w:szCs w:val="22"/>
                <w:lang w:val="en-US" w:eastAsia="en-US"/>
              </w:rPr>
              <w:t>-6.</w:t>
            </w:r>
            <w:r w:rsidR="00DB5D8F">
              <w:rPr>
                <w:rFonts w:cs="Arial"/>
                <w:color w:val="000000"/>
                <w:sz w:val="22"/>
                <w:szCs w:val="22"/>
                <w:lang w:val="en-US" w:eastAsia="en-US"/>
              </w:rPr>
              <w:t>6</w:t>
            </w:r>
            <w:r w:rsidRPr="00253599">
              <w:rPr>
                <w:rFonts w:cs="Arial"/>
                <w:color w:val="000000"/>
                <w:sz w:val="22"/>
                <w:szCs w:val="22"/>
                <w:lang w:val="en-US" w:eastAsia="en-US"/>
              </w:rPr>
              <w:t>%</w:t>
            </w:r>
          </w:p>
        </w:tc>
        <w:tc>
          <w:tcPr>
            <w:tcW w:w="1280" w:type="dxa"/>
            <w:tcBorders>
              <w:top w:val="nil"/>
              <w:left w:val="nil"/>
              <w:bottom w:val="nil"/>
              <w:right w:val="nil"/>
            </w:tcBorders>
            <w:shd w:val="clear" w:color="000000" w:fill="FFFFFF"/>
            <w:noWrap/>
            <w:vAlign w:val="bottom"/>
            <w:hideMark/>
          </w:tcPr>
          <w:p w14:paraId="34323065" w14:textId="14F4ECD5" w:rsidR="00B27D0D" w:rsidRPr="00253599" w:rsidRDefault="00B27D0D" w:rsidP="00B27D0D">
            <w:pPr>
              <w:spacing w:after="0" w:line="240" w:lineRule="auto"/>
              <w:jc w:val="center"/>
              <w:rPr>
                <w:rFonts w:cs="Arial"/>
                <w:color w:val="000000"/>
                <w:sz w:val="22"/>
                <w:szCs w:val="22"/>
                <w:lang w:val="en-US" w:eastAsia="en-US"/>
              </w:rPr>
            </w:pPr>
            <w:r w:rsidRPr="00253599">
              <w:rPr>
                <w:rFonts w:cs="Arial"/>
                <w:color w:val="000000"/>
                <w:sz w:val="22"/>
                <w:szCs w:val="22"/>
                <w:lang w:val="en-US" w:eastAsia="en-US"/>
              </w:rPr>
              <w:t>-5.</w:t>
            </w:r>
            <w:r w:rsidR="00DB5D8F">
              <w:rPr>
                <w:rFonts w:cs="Arial"/>
                <w:color w:val="000000"/>
                <w:sz w:val="22"/>
                <w:szCs w:val="22"/>
                <w:lang w:val="en-US" w:eastAsia="en-US"/>
              </w:rPr>
              <w:t>2</w:t>
            </w:r>
            <w:r w:rsidRPr="00253599">
              <w:rPr>
                <w:rFonts w:cs="Arial"/>
                <w:color w:val="000000"/>
                <w:sz w:val="22"/>
                <w:szCs w:val="22"/>
                <w:lang w:val="en-US" w:eastAsia="en-US"/>
              </w:rPr>
              <w:t>%</w:t>
            </w:r>
          </w:p>
        </w:tc>
      </w:tr>
      <w:tr w:rsidR="00DB5D8F" w:rsidRPr="00B9351D" w14:paraId="06448364" w14:textId="77777777" w:rsidTr="00363DFB">
        <w:trPr>
          <w:trHeight w:val="564"/>
          <w:jc w:val="center"/>
        </w:trPr>
        <w:tc>
          <w:tcPr>
            <w:tcW w:w="1826" w:type="dxa"/>
            <w:tcBorders>
              <w:top w:val="nil"/>
              <w:left w:val="nil"/>
              <w:bottom w:val="nil"/>
              <w:right w:val="nil"/>
            </w:tcBorders>
            <w:shd w:val="clear" w:color="000000" w:fill="FFFFFF"/>
            <w:noWrap/>
            <w:vAlign w:val="bottom"/>
          </w:tcPr>
          <w:p w14:paraId="4D70D435" w14:textId="7E51E8BC" w:rsidR="00DB5D8F" w:rsidRPr="00253599" w:rsidRDefault="00DB5D8F" w:rsidP="00DB5D8F">
            <w:pPr>
              <w:spacing w:after="0" w:line="240" w:lineRule="auto"/>
              <w:jc w:val="left"/>
              <w:rPr>
                <w:rFonts w:cs="Arial"/>
                <w:color w:val="000000"/>
                <w:sz w:val="22"/>
                <w:szCs w:val="22"/>
                <w:lang w:val="en-US" w:eastAsia="en-US"/>
              </w:rPr>
            </w:pPr>
            <w:r w:rsidRPr="00253599">
              <w:rPr>
                <w:rFonts w:cs="Arial"/>
                <w:color w:val="000000"/>
                <w:sz w:val="22"/>
                <w:szCs w:val="22"/>
                <w:lang w:val="en-US" w:eastAsia="en-US"/>
              </w:rPr>
              <w:t>TC</w:t>
            </w:r>
            <w:r>
              <w:rPr>
                <w:rFonts w:cs="Arial"/>
                <w:color w:val="000000"/>
                <w:sz w:val="22"/>
                <w:szCs w:val="22"/>
                <w:lang w:val="en-US" w:eastAsia="en-US"/>
              </w:rPr>
              <w:t xml:space="preserve"> (CP)</w:t>
            </w:r>
          </w:p>
        </w:tc>
        <w:tc>
          <w:tcPr>
            <w:tcW w:w="1682" w:type="dxa"/>
            <w:tcBorders>
              <w:top w:val="nil"/>
              <w:left w:val="single" w:sz="4" w:space="0" w:color="auto"/>
              <w:bottom w:val="nil"/>
              <w:right w:val="nil"/>
            </w:tcBorders>
            <w:shd w:val="clear" w:color="000000" w:fill="FFFFFF"/>
            <w:noWrap/>
            <w:vAlign w:val="bottom"/>
          </w:tcPr>
          <w:p w14:paraId="7C89CE1E" w14:textId="7A71C03A" w:rsidR="00DB5D8F" w:rsidRPr="00253599" w:rsidRDefault="00DB5D8F" w:rsidP="00DB5D8F">
            <w:pPr>
              <w:spacing w:after="0" w:line="240" w:lineRule="auto"/>
              <w:jc w:val="center"/>
              <w:rPr>
                <w:rFonts w:cs="Arial"/>
                <w:color w:val="000000"/>
                <w:sz w:val="22"/>
                <w:szCs w:val="22"/>
                <w:lang w:val="en-US" w:eastAsia="en-US"/>
              </w:rPr>
            </w:pPr>
            <w:r w:rsidRPr="00253599">
              <w:rPr>
                <w:rFonts w:cs="Arial"/>
                <w:color w:val="000000"/>
                <w:sz w:val="22"/>
                <w:szCs w:val="22"/>
                <w:lang w:val="en-US" w:eastAsia="en-US"/>
              </w:rPr>
              <w:t>-</w:t>
            </w:r>
            <w:r>
              <w:rPr>
                <w:rFonts w:cs="Arial"/>
                <w:color w:val="000000"/>
                <w:sz w:val="22"/>
                <w:szCs w:val="22"/>
                <w:lang w:val="en-US" w:eastAsia="en-US"/>
              </w:rPr>
              <w:t>1</w:t>
            </w:r>
            <w:r w:rsidRPr="00253599">
              <w:rPr>
                <w:rFonts w:cs="Arial"/>
                <w:color w:val="000000"/>
                <w:sz w:val="22"/>
                <w:szCs w:val="22"/>
                <w:lang w:val="en-US" w:eastAsia="en-US"/>
              </w:rPr>
              <w:t>.</w:t>
            </w:r>
            <w:r>
              <w:rPr>
                <w:rFonts w:cs="Arial"/>
                <w:color w:val="000000"/>
                <w:sz w:val="22"/>
                <w:szCs w:val="22"/>
                <w:lang w:val="en-US" w:eastAsia="en-US"/>
              </w:rPr>
              <w:t>72</w:t>
            </w:r>
            <w:r w:rsidRPr="00253599">
              <w:rPr>
                <w:rFonts w:cs="Arial"/>
                <w:color w:val="000000"/>
                <w:sz w:val="22"/>
                <w:szCs w:val="22"/>
                <w:lang w:val="en-US" w:eastAsia="en-US"/>
              </w:rPr>
              <w:t>%</w:t>
            </w:r>
          </w:p>
        </w:tc>
        <w:tc>
          <w:tcPr>
            <w:tcW w:w="1280" w:type="dxa"/>
            <w:tcBorders>
              <w:top w:val="nil"/>
              <w:left w:val="nil"/>
              <w:bottom w:val="nil"/>
              <w:right w:val="nil"/>
            </w:tcBorders>
            <w:shd w:val="clear" w:color="000000" w:fill="FFFFFF"/>
            <w:noWrap/>
            <w:vAlign w:val="bottom"/>
          </w:tcPr>
          <w:p w14:paraId="4DB53F12" w14:textId="08205E40" w:rsidR="00DB5D8F" w:rsidRPr="00253599" w:rsidRDefault="00DB5D8F" w:rsidP="00DB5D8F">
            <w:pPr>
              <w:spacing w:after="0" w:line="240" w:lineRule="auto"/>
              <w:jc w:val="center"/>
              <w:rPr>
                <w:rFonts w:cs="Arial"/>
                <w:color w:val="000000"/>
                <w:sz w:val="22"/>
                <w:szCs w:val="22"/>
                <w:lang w:val="en-US" w:eastAsia="en-US"/>
              </w:rPr>
            </w:pPr>
            <w:r w:rsidRPr="00253599">
              <w:rPr>
                <w:rFonts w:cs="Arial"/>
                <w:color w:val="000000"/>
                <w:sz w:val="22"/>
                <w:szCs w:val="22"/>
                <w:lang w:val="en-US" w:eastAsia="en-US"/>
              </w:rPr>
              <w:t>-4.</w:t>
            </w:r>
            <w:r>
              <w:rPr>
                <w:rFonts w:cs="Arial"/>
                <w:color w:val="000000"/>
                <w:sz w:val="22"/>
                <w:szCs w:val="22"/>
                <w:lang w:val="en-US" w:eastAsia="en-US"/>
              </w:rPr>
              <w:t>9</w:t>
            </w:r>
            <w:r w:rsidRPr="00253599">
              <w:rPr>
                <w:rFonts w:cs="Arial"/>
                <w:color w:val="000000"/>
                <w:sz w:val="22"/>
                <w:szCs w:val="22"/>
                <w:lang w:val="en-US" w:eastAsia="en-US"/>
              </w:rPr>
              <w:t>%</w:t>
            </w:r>
          </w:p>
        </w:tc>
        <w:tc>
          <w:tcPr>
            <w:tcW w:w="1280" w:type="dxa"/>
            <w:tcBorders>
              <w:top w:val="nil"/>
              <w:left w:val="nil"/>
              <w:bottom w:val="nil"/>
              <w:right w:val="nil"/>
            </w:tcBorders>
            <w:shd w:val="clear" w:color="000000" w:fill="FFFFFF"/>
            <w:noWrap/>
            <w:vAlign w:val="bottom"/>
          </w:tcPr>
          <w:p w14:paraId="3D417E37" w14:textId="296C687C" w:rsidR="00DB5D8F" w:rsidRPr="00253599" w:rsidRDefault="00DB5D8F" w:rsidP="00DB5D8F">
            <w:pPr>
              <w:spacing w:after="0" w:line="240" w:lineRule="auto"/>
              <w:jc w:val="center"/>
              <w:rPr>
                <w:rFonts w:cs="Arial"/>
                <w:color w:val="000000"/>
                <w:sz w:val="22"/>
                <w:szCs w:val="22"/>
                <w:lang w:val="en-US" w:eastAsia="en-US"/>
              </w:rPr>
            </w:pPr>
            <w:r w:rsidRPr="00253599">
              <w:rPr>
                <w:rFonts w:cs="Arial"/>
                <w:color w:val="000000"/>
                <w:sz w:val="22"/>
                <w:szCs w:val="22"/>
                <w:lang w:val="en-US" w:eastAsia="en-US"/>
              </w:rPr>
              <w:t>-6.</w:t>
            </w:r>
            <w:r>
              <w:rPr>
                <w:rFonts w:cs="Arial"/>
                <w:color w:val="000000"/>
                <w:sz w:val="22"/>
                <w:szCs w:val="22"/>
                <w:lang w:val="en-US" w:eastAsia="en-US"/>
              </w:rPr>
              <w:t>7</w:t>
            </w:r>
            <w:r w:rsidRPr="00253599">
              <w:rPr>
                <w:rFonts w:cs="Arial"/>
                <w:color w:val="000000"/>
                <w:sz w:val="22"/>
                <w:szCs w:val="22"/>
                <w:lang w:val="en-US" w:eastAsia="en-US"/>
              </w:rPr>
              <w:t>%</w:t>
            </w:r>
          </w:p>
        </w:tc>
        <w:tc>
          <w:tcPr>
            <w:tcW w:w="1280" w:type="dxa"/>
            <w:tcBorders>
              <w:top w:val="nil"/>
              <w:left w:val="nil"/>
              <w:bottom w:val="nil"/>
              <w:right w:val="nil"/>
            </w:tcBorders>
            <w:shd w:val="clear" w:color="000000" w:fill="FFFFFF"/>
            <w:noWrap/>
            <w:vAlign w:val="bottom"/>
          </w:tcPr>
          <w:p w14:paraId="1493D44E" w14:textId="0FB22B6F" w:rsidR="00DB5D8F" w:rsidRPr="00253599" w:rsidRDefault="00DB5D8F" w:rsidP="00DB5D8F">
            <w:pPr>
              <w:spacing w:after="0" w:line="240" w:lineRule="auto"/>
              <w:jc w:val="center"/>
              <w:rPr>
                <w:rFonts w:cs="Arial"/>
                <w:color w:val="000000"/>
                <w:sz w:val="22"/>
                <w:szCs w:val="22"/>
                <w:lang w:val="en-US" w:eastAsia="en-US"/>
              </w:rPr>
            </w:pPr>
            <w:r w:rsidRPr="00253599">
              <w:rPr>
                <w:rFonts w:cs="Arial"/>
                <w:color w:val="000000"/>
                <w:sz w:val="22"/>
                <w:szCs w:val="22"/>
                <w:lang w:val="en-US" w:eastAsia="en-US"/>
              </w:rPr>
              <w:t>-5.</w:t>
            </w:r>
            <w:r>
              <w:rPr>
                <w:rFonts w:cs="Arial"/>
                <w:color w:val="000000"/>
                <w:sz w:val="22"/>
                <w:szCs w:val="22"/>
                <w:lang w:val="en-US" w:eastAsia="en-US"/>
              </w:rPr>
              <w:t>2</w:t>
            </w:r>
            <w:r w:rsidRPr="00253599">
              <w:rPr>
                <w:rFonts w:cs="Arial"/>
                <w:color w:val="000000"/>
                <w:sz w:val="22"/>
                <w:szCs w:val="22"/>
                <w:lang w:val="en-US" w:eastAsia="en-US"/>
              </w:rPr>
              <w:t>%</w:t>
            </w:r>
          </w:p>
        </w:tc>
      </w:tr>
      <w:tr w:rsidR="00DB5D8F" w:rsidRPr="00B9351D" w14:paraId="3E3D6AF1" w14:textId="77777777" w:rsidTr="00363DFB">
        <w:trPr>
          <w:trHeight w:val="564"/>
          <w:jc w:val="center"/>
        </w:trPr>
        <w:tc>
          <w:tcPr>
            <w:tcW w:w="1826" w:type="dxa"/>
            <w:tcBorders>
              <w:top w:val="nil"/>
              <w:left w:val="nil"/>
              <w:bottom w:val="nil"/>
              <w:right w:val="nil"/>
            </w:tcBorders>
            <w:shd w:val="clear" w:color="000000" w:fill="FFFFFF"/>
            <w:noWrap/>
            <w:vAlign w:val="bottom"/>
            <w:hideMark/>
          </w:tcPr>
          <w:p w14:paraId="5B25B4F0" w14:textId="77777777" w:rsidR="00DB5D8F" w:rsidRPr="00253599" w:rsidRDefault="00DB5D8F" w:rsidP="00DB5D8F">
            <w:pPr>
              <w:spacing w:after="0" w:line="240" w:lineRule="auto"/>
              <w:jc w:val="left"/>
              <w:rPr>
                <w:rFonts w:cs="Arial"/>
                <w:color w:val="000000"/>
                <w:sz w:val="22"/>
                <w:szCs w:val="22"/>
                <w:lang w:val="en-US" w:eastAsia="en-US"/>
              </w:rPr>
            </w:pPr>
            <w:r w:rsidRPr="00253599">
              <w:rPr>
                <w:rFonts w:cs="Arial"/>
                <w:color w:val="000000"/>
                <w:sz w:val="22"/>
                <w:szCs w:val="22"/>
                <w:lang w:val="en-US" w:eastAsia="en-US"/>
              </w:rPr>
              <w:t>IPP</w:t>
            </w:r>
          </w:p>
        </w:tc>
        <w:tc>
          <w:tcPr>
            <w:tcW w:w="1682" w:type="dxa"/>
            <w:tcBorders>
              <w:top w:val="nil"/>
              <w:left w:val="single" w:sz="4" w:space="0" w:color="auto"/>
              <w:bottom w:val="nil"/>
              <w:right w:val="nil"/>
            </w:tcBorders>
            <w:shd w:val="clear" w:color="000000" w:fill="FFFFFF"/>
            <w:noWrap/>
            <w:vAlign w:val="bottom"/>
            <w:hideMark/>
          </w:tcPr>
          <w:p w14:paraId="509B4E34" w14:textId="77777777" w:rsidR="00DB5D8F" w:rsidRPr="00253599" w:rsidRDefault="00DB5D8F" w:rsidP="00DB5D8F">
            <w:pPr>
              <w:spacing w:after="0" w:line="240" w:lineRule="auto"/>
              <w:jc w:val="center"/>
              <w:rPr>
                <w:rFonts w:cs="Arial"/>
                <w:color w:val="000000"/>
                <w:sz w:val="22"/>
                <w:szCs w:val="22"/>
                <w:lang w:val="en-US" w:eastAsia="en-US"/>
              </w:rPr>
            </w:pPr>
            <w:r w:rsidRPr="00253599">
              <w:rPr>
                <w:rFonts w:cs="Arial"/>
                <w:color w:val="000000"/>
                <w:sz w:val="22"/>
                <w:szCs w:val="22"/>
                <w:lang w:val="en-US" w:eastAsia="en-US"/>
              </w:rPr>
              <w:t>-3.3%</w:t>
            </w:r>
          </w:p>
        </w:tc>
        <w:tc>
          <w:tcPr>
            <w:tcW w:w="1280" w:type="dxa"/>
            <w:tcBorders>
              <w:top w:val="nil"/>
              <w:left w:val="nil"/>
              <w:bottom w:val="nil"/>
              <w:right w:val="nil"/>
            </w:tcBorders>
            <w:shd w:val="clear" w:color="000000" w:fill="FFFFFF"/>
            <w:noWrap/>
            <w:vAlign w:val="bottom"/>
            <w:hideMark/>
          </w:tcPr>
          <w:p w14:paraId="7113F3C2" w14:textId="6B764670" w:rsidR="00DB5D8F" w:rsidRPr="00253599" w:rsidRDefault="00DB5D8F" w:rsidP="00DB5D8F">
            <w:pPr>
              <w:spacing w:after="0" w:line="240" w:lineRule="auto"/>
              <w:jc w:val="center"/>
              <w:rPr>
                <w:rFonts w:cs="Arial"/>
                <w:color w:val="000000"/>
                <w:sz w:val="22"/>
                <w:szCs w:val="22"/>
                <w:lang w:val="en-US" w:eastAsia="en-US"/>
              </w:rPr>
            </w:pPr>
            <w:r w:rsidRPr="00253599">
              <w:rPr>
                <w:rFonts w:cs="Arial"/>
                <w:color w:val="000000"/>
                <w:sz w:val="22"/>
                <w:szCs w:val="22"/>
                <w:lang w:val="en-US" w:eastAsia="en-US"/>
              </w:rPr>
              <w:t>-</w:t>
            </w:r>
            <w:r>
              <w:rPr>
                <w:rFonts w:cs="Arial"/>
                <w:color w:val="000000"/>
                <w:sz w:val="22"/>
                <w:szCs w:val="22"/>
                <w:lang w:val="en-US" w:eastAsia="en-US"/>
              </w:rPr>
              <w:t>4</w:t>
            </w:r>
            <w:r w:rsidRPr="00253599">
              <w:rPr>
                <w:rFonts w:cs="Arial"/>
                <w:color w:val="000000"/>
                <w:sz w:val="22"/>
                <w:szCs w:val="22"/>
                <w:lang w:val="en-US" w:eastAsia="en-US"/>
              </w:rPr>
              <w:t>.</w:t>
            </w:r>
            <w:r>
              <w:rPr>
                <w:rFonts w:cs="Arial"/>
                <w:color w:val="000000"/>
                <w:sz w:val="22"/>
                <w:szCs w:val="22"/>
                <w:lang w:val="en-US" w:eastAsia="en-US"/>
              </w:rPr>
              <w:t>6</w:t>
            </w:r>
            <w:r w:rsidRPr="00253599">
              <w:rPr>
                <w:rFonts w:cs="Arial"/>
                <w:color w:val="000000"/>
                <w:sz w:val="22"/>
                <w:szCs w:val="22"/>
                <w:lang w:val="en-US" w:eastAsia="en-US"/>
              </w:rPr>
              <w:t>%</w:t>
            </w:r>
          </w:p>
        </w:tc>
        <w:tc>
          <w:tcPr>
            <w:tcW w:w="1280" w:type="dxa"/>
            <w:tcBorders>
              <w:top w:val="nil"/>
              <w:left w:val="nil"/>
              <w:bottom w:val="nil"/>
              <w:right w:val="nil"/>
            </w:tcBorders>
            <w:shd w:val="clear" w:color="000000" w:fill="FFFFFF"/>
            <w:noWrap/>
            <w:vAlign w:val="bottom"/>
            <w:hideMark/>
          </w:tcPr>
          <w:p w14:paraId="257B55A2" w14:textId="448F7EC4" w:rsidR="00DB5D8F" w:rsidRPr="00253599" w:rsidRDefault="00DB5D8F" w:rsidP="00DB5D8F">
            <w:pPr>
              <w:spacing w:after="0" w:line="240" w:lineRule="auto"/>
              <w:jc w:val="center"/>
              <w:rPr>
                <w:rFonts w:cs="Arial"/>
                <w:color w:val="000000"/>
                <w:sz w:val="22"/>
                <w:szCs w:val="22"/>
                <w:lang w:val="en-US" w:eastAsia="en-US"/>
              </w:rPr>
            </w:pPr>
            <w:r w:rsidRPr="00253599">
              <w:rPr>
                <w:rFonts w:cs="Arial"/>
                <w:color w:val="000000"/>
                <w:sz w:val="22"/>
                <w:szCs w:val="22"/>
                <w:lang w:val="en-US" w:eastAsia="en-US"/>
              </w:rPr>
              <w:t>-</w:t>
            </w:r>
            <w:r>
              <w:rPr>
                <w:rFonts w:cs="Arial"/>
                <w:color w:val="000000"/>
                <w:sz w:val="22"/>
                <w:szCs w:val="22"/>
                <w:lang w:val="en-US" w:eastAsia="en-US"/>
              </w:rPr>
              <w:t>6</w:t>
            </w:r>
            <w:r w:rsidRPr="00253599">
              <w:rPr>
                <w:rFonts w:cs="Arial"/>
                <w:color w:val="000000"/>
                <w:sz w:val="22"/>
                <w:szCs w:val="22"/>
                <w:lang w:val="en-US" w:eastAsia="en-US"/>
              </w:rPr>
              <w:t>.</w:t>
            </w:r>
            <w:r>
              <w:rPr>
                <w:rFonts w:cs="Arial"/>
                <w:color w:val="000000"/>
                <w:sz w:val="22"/>
                <w:szCs w:val="22"/>
                <w:lang w:val="en-US" w:eastAsia="en-US"/>
              </w:rPr>
              <w:t>6</w:t>
            </w:r>
            <w:r w:rsidRPr="00253599">
              <w:rPr>
                <w:rFonts w:cs="Arial"/>
                <w:color w:val="000000"/>
                <w:sz w:val="22"/>
                <w:szCs w:val="22"/>
                <w:lang w:val="en-US" w:eastAsia="en-US"/>
              </w:rPr>
              <w:t>%</w:t>
            </w:r>
          </w:p>
        </w:tc>
        <w:tc>
          <w:tcPr>
            <w:tcW w:w="1280" w:type="dxa"/>
            <w:tcBorders>
              <w:top w:val="nil"/>
              <w:left w:val="nil"/>
              <w:bottom w:val="nil"/>
              <w:right w:val="nil"/>
            </w:tcBorders>
            <w:shd w:val="clear" w:color="000000" w:fill="FFFFFF"/>
            <w:noWrap/>
            <w:vAlign w:val="bottom"/>
            <w:hideMark/>
          </w:tcPr>
          <w:p w14:paraId="079100F2" w14:textId="183E325C" w:rsidR="00DB5D8F" w:rsidRPr="00253599" w:rsidRDefault="00DB5D8F" w:rsidP="00DB5D8F">
            <w:pPr>
              <w:spacing w:after="0" w:line="240" w:lineRule="auto"/>
              <w:jc w:val="center"/>
              <w:rPr>
                <w:rFonts w:cs="Arial"/>
                <w:color w:val="000000"/>
                <w:sz w:val="22"/>
                <w:szCs w:val="22"/>
                <w:lang w:val="en-US" w:eastAsia="en-US"/>
              </w:rPr>
            </w:pPr>
            <w:r w:rsidRPr="00253599">
              <w:rPr>
                <w:rFonts w:cs="Arial"/>
                <w:color w:val="000000"/>
                <w:sz w:val="22"/>
                <w:szCs w:val="22"/>
                <w:lang w:val="en-US" w:eastAsia="en-US"/>
              </w:rPr>
              <w:t>-4.</w:t>
            </w:r>
            <w:r w:rsidR="0041615C">
              <w:rPr>
                <w:rFonts w:cs="Arial"/>
                <w:color w:val="000000"/>
                <w:sz w:val="22"/>
                <w:szCs w:val="22"/>
                <w:lang w:val="en-US" w:eastAsia="en-US"/>
              </w:rPr>
              <w:t>7</w:t>
            </w:r>
            <w:r w:rsidRPr="00253599">
              <w:rPr>
                <w:rFonts w:cs="Arial"/>
                <w:color w:val="000000"/>
                <w:sz w:val="22"/>
                <w:szCs w:val="22"/>
                <w:lang w:val="en-US" w:eastAsia="en-US"/>
              </w:rPr>
              <w:t>%</w:t>
            </w:r>
          </w:p>
        </w:tc>
      </w:tr>
      <w:tr w:rsidR="00DB5D8F" w:rsidRPr="00B9351D" w14:paraId="710F49AA" w14:textId="77777777" w:rsidTr="00363DFB">
        <w:trPr>
          <w:trHeight w:val="564"/>
          <w:jc w:val="center"/>
        </w:trPr>
        <w:tc>
          <w:tcPr>
            <w:tcW w:w="1826" w:type="dxa"/>
            <w:tcBorders>
              <w:top w:val="nil"/>
              <w:left w:val="nil"/>
              <w:bottom w:val="nil"/>
              <w:right w:val="nil"/>
            </w:tcBorders>
            <w:shd w:val="clear" w:color="000000" w:fill="FFFFFF"/>
            <w:noWrap/>
            <w:vAlign w:val="bottom"/>
          </w:tcPr>
          <w:p w14:paraId="52745164" w14:textId="1B0FD11D" w:rsidR="00DB5D8F" w:rsidRPr="00253599" w:rsidRDefault="00DB5D8F" w:rsidP="00DB5D8F">
            <w:pPr>
              <w:spacing w:after="0" w:line="240" w:lineRule="auto"/>
              <w:jc w:val="left"/>
              <w:rPr>
                <w:rFonts w:cs="Arial"/>
                <w:color w:val="000000"/>
                <w:sz w:val="22"/>
                <w:szCs w:val="22"/>
                <w:lang w:val="en-US" w:eastAsia="en-US"/>
              </w:rPr>
            </w:pPr>
            <w:r>
              <w:rPr>
                <w:rFonts w:cs="Arial"/>
                <w:color w:val="000000"/>
                <w:sz w:val="22"/>
                <w:szCs w:val="22"/>
                <w:lang w:val="en-US" w:eastAsia="en-US"/>
              </w:rPr>
              <w:t>PIB (CP)</w:t>
            </w:r>
          </w:p>
        </w:tc>
        <w:tc>
          <w:tcPr>
            <w:tcW w:w="1682" w:type="dxa"/>
            <w:tcBorders>
              <w:top w:val="nil"/>
              <w:left w:val="single" w:sz="4" w:space="0" w:color="auto"/>
              <w:bottom w:val="nil"/>
              <w:right w:val="nil"/>
            </w:tcBorders>
            <w:shd w:val="clear" w:color="000000" w:fill="FFFFFF"/>
            <w:noWrap/>
            <w:vAlign w:val="bottom"/>
          </w:tcPr>
          <w:p w14:paraId="53634CAF" w14:textId="035B78E5" w:rsidR="00DB5D8F" w:rsidRPr="00253599" w:rsidRDefault="00DB5D8F" w:rsidP="00DB5D8F">
            <w:pPr>
              <w:spacing w:after="0" w:line="240" w:lineRule="auto"/>
              <w:jc w:val="center"/>
              <w:rPr>
                <w:rFonts w:cs="Arial"/>
                <w:color w:val="000000"/>
                <w:sz w:val="22"/>
                <w:szCs w:val="22"/>
                <w:lang w:val="en-US" w:eastAsia="en-US"/>
              </w:rPr>
            </w:pPr>
            <w:r>
              <w:rPr>
                <w:rFonts w:cs="Arial"/>
                <w:color w:val="000000"/>
                <w:sz w:val="22"/>
                <w:szCs w:val="22"/>
                <w:lang w:val="en-US" w:eastAsia="en-US"/>
              </w:rPr>
              <w:t>-3.9%</w:t>
            </w:r>
          </w:p>
        </w:tc>
        <w:tc>
          <w:tcPr>
            <w:tcW w:w="1280" w:type="dxa"/>
            <w:tcBorders>
              <w:top w:val="nil"/>
              <w:left w:val="nil"/>
              <w:bottom w:val="nil"/>
              <w:right w:val="nil"/>
            </w:tcBorders>
            <w:shd w:val="clear" w:color="000000" w:fill="FFFFFF"/>
            <w:noWrap/>
            <w:vAlign w:val="bottom"/>
          </w:tcPr>
          <w:p w14:paraId="2381A9DF" w14:textId="53C6058A" w:rsidR="00DB5D8F" w:rsidRPr="00253599" w:rsidRDefault="00DB5D8F" w:rsidP="00DB5D8F">
            <w:pPr>
              <w:spacing w:after="0" w:line="240" w:lineRule="auto"/>
              <w:jc w:val="center"/>
              <w:rPr>
                <w:rFonts w:cs="Arial"/>
                <w:color w:val="000000"/>
                <w:sz w:val="22"/>
                <w:szCs w:val="22"/>
                <w:lang w:val="en-US" w:eastAsia="en-US"/>
              </w:rPr>
            </w:pPr>
            <w:r>
              <w:rPr>
                <w:rFonts w:cs="Arial"/>
                <w:color w:val="000000"/>
                <w:sz w:val="22"/>
                <w:szCs w:val="22"/>
                <w:lang w:val="en-US" w:eastAsia="en-US"/>
              </w:rPr>
              <w:t>-0.44%</w:t>
            </w:r>
          </w:p>
        </w:tc>
        <w:tc>
          <w:tcPr>
            <w:tcW w:w="1280" w:type="dxa"/>
            <w:tcBorders>
              <w:top w:val="nil"/>
              <w:left w:val="nil"/>
              <w:bottom w:val="nil"/>
              <w:right w:val="nil"/>
            </w:tcBorders>
            <w:shd w:val="clear" w:color="000000" w:fill="FFFFFF"/>
            <w:noWrap/>
            <w:vAlign w:val="bottom"/>
          </w:tcPr>
          <w:p w14:paraId="405E90C0" w14:textId="0E859361" w:rsidR="00DB5D8F" w:rsidRPr="00253599" w:rsidRDefault="00DB5D8F" w:rsidP="00DB5D8F">
            <w:pPr>
              <w:spacing w:after="0" w:line="240" w:lineRule="auto"/>
              <w:jc w:val="center"/>
              <w:rPr>
                <w:rFonts w:cs="Arial"/>
                <w:color w:val="000000"/>
                <w:sz w:val="22"/>
                <w:szCs w:val="22"/>
                <w:lang w:val="en-US" w:eastAsia="en-US"/>
              </w:rPr>
            </w:pPr>
            <w:r>
              <w:rPr>
                <w:rFonts w:cs="Arial"/>
                <w:color w:val="000000"/>
                <w:sz w:val="22"/>
                <w:szCs w:val="22"/>
                <w:lang w:val="en-US" w:eastAsia="en-US"/>
              </w:rPr>
              <w:t>-1.64%</w:t>
            </w:r>
          </w:p>
        </w:tc>
        <w:tc>
          <w:tcPr>
            <w:tcW w:w="1280" w:type="dxa"/>
            <w:tcBorders>
              <w:top w:val="nil"/>
              <w:left w:val="nil"/>
              <w:bottom w:val="nil"/>
              <w:right w:val="nil"/>
            </w:tcBorders>
            <w:shd w:val="clear" w:color="000000" w:fill="FFFFFF"/>
            <w:noWrap/>
            <w:vAlign w:val="bottom"/>
          </w:tcPr>
          <w:p w14:paraId="06E3ED32" w14:textId="7EF9A5AC" w:rsidR="00DB5D8F" w:rsidRPr="00253599" w:rsidRDefault="00DB5D8F" w:rsidP="00DB5D8F">
            <w:pPr>
              <w:spacing w:after="0" w:line="240" w:lineRule="auto"/>
              <w:jc w:val="center"/>
              <w:rPr>
                <w:rFonts w:cs="Arial"/>
                <w:color w:val="000000"/>
                <w:sz w:val="22"/>
                <w:szCs w:val="22"/>
                <w:lang w:val="en-US" w:eastAsia="en-US"/>
              </w:rPr>
            </w:pPr>
            <w:r>
              <w:rPr>
                <w:rFonts w:cs="Arial"/>
                <w:color w:val="000000"/>
                <w:sz w:val="22"/>
                <w:szCs w:val="22"/>
                <w:lang w:val="en-US" w:eastAsia="en-US"/>
              </w:rPr>
              <w:t>-0.68%</w:t>
            </w:r>
          </w:p>
        </w:tc>
      </w:tr>
      <w:tr w:rsidR="00DB5D8F" w:rsidRPr="00B9351D" w14:paraId="52B2436C" w14:textId="77777777" w:rsidTr="00363DFB">
        <w:trPr>
          <w:trHeight w:val="564"/>
          <w:jc w:val="center"/>
        </w:trPr>
        <w:tc>
          <w:tcPr>
            <w:tcW w:w="1826" w:type="dxa"/>
            <w:tcBorders>
              <w:top w:val="nil"/>
              <w:left w:val="nil"/>
              <w:bottom w:val="nil"/>
              <w:right w:val="nil"/>
            </w:tcBorders>
            <w:shd w:val="clear" w:color="000000" w:fill="FFFFFF"/>
            <w:noWrap/>
            <w:vAlign w:val="bottom"/>
            <w:hideMark/>
          </w:tcPr>
          <w:p w14:paraId="553C6A07" w14:textId="058FFC72" w:rsidR="00DB5D8F" w:rsidRPr="00253599" w:rsidRDefault="00DB5D8F" w:rsidP="00DB5D8F">
            <w:pPr>
              <w:spacing w:after="0" w:line="240" w:lineRule="auto"/>
              <w:jc w:val="left"/>
              <w:rPr>
                <w:rFonts w:cs="Arial"/>
                <w:color w:val="000000"/>
                <w:sz w:val="22"/>
                <w:szCs w:val="22"/>
                <w:lang w:val="en-US" w:eastAsia="en-US"/>
              </w:rPr>
            </w:pPr>
            <w:r w:rsidRPr="00253599">
              <w:rPr>
                <w:rFonts w:cs="Arial"/>
                <w:color w:val="000000"/>
                <w:sz w:val="22"/>
                <w:szCs w:val="22"/>
                <w:lang w:val="en-US" w:eastAsia="en-US"/>
              </w:rPr>
              <w:t>PIB</w:t>
            </w:r>
            <w:r>
              <w:rPr>
                <w:rFonts w:cs="Arial"/>
                <w:color w:val="000000"/>
                <w:sz w:val="22"/>
                <w:szCs w:val="22"/>
                <w:lang w:val="en-US" w:eastAsia="en-US"/>
              </w:rPr>
              <w:t xml:space="preserve"> (LP)</w:t>
            </w:r>
          </w:p>
        </w:tc>
        <w:tc>
          <w:tcPr>
            <w:tcW w:w="1682" w:type="dxa"/>
            <w:tcBorders>
              <w:top w:val="nil"/>
              <w:left w:val="single" w:sz="4" w:space="0" w:color="auto"/>
              <w:bottom w:val="nil"/>
              <w:right w:val="nil"/>
            </w:tcBorders>
            <w:shd w:val="clear" w:color="000000" w:fill="FFFFFF"/>
            <w:noWrap/>
            <w:vAlign w:val="bottom"/>
            <w:hideMark/>
          </w:tcPr>
          <w:p w14:paraId="09BC7D84" w14:textId="77777777" w:rsidR="00DB5D8F" w:rsidRPr="00253599" w:rsidRDefault="00DB5D8F" w:rsidP="00DB5D8F">
            <w:pPr>
              <w:spacing w:after="0" w:line="240" w:lineRule="auto"/>
              <w:jc w:val="center"/>
              <w:rPr>
                <w:rFonts w:cs="Arial"/>
                <w:color w:val="000000"/>
                <w:sz w:val="22"/>
                <w:szCs w:val="22"/>
                <w:lang w:val="en-US" w:eastAsia="en-US"/>
              </w:rPr>
            </w:pPr>
            <w:r w:rsidRPr="00253599">
              <w:rPr>
                <w:rFonts w:cs="Arial"/>
                <w:color w:val="000000"/>
                <w:sz w:val="22"/>
                <w:szCs w:val="22"/>
                <w:lang w:val="en-US" w:eastAsia="en-US"/>
              </w:rPr>
              <w:t>0.5%</w:t>
            </w:r>
          </w:p>
        </w:tc>
        <w:tc>
          <w:tcPr>
            <w:tcW w:w="1280" w:type="dxa"/>
            <w:tcBorders>
              <w:top w:val="nil"/>
              <w:left w:val="nil"/>
              <w:bottom w:val="nil"/>
              <w:right w:val="nil"/>
            </w:tcBorders>
            <w:shd w:val="clear" w:color="000000" w:fill="FFFFFF"/>
            <w:noWrap/>
            <w:vAlign w:val="bottom"/>
            <w:hideMark/>
          </w:tcPr>
          <w:p w14:paraId="1F27E4CE" w14:textId="6394FD48" w:rsidR="00DB5D8F" w:rsidRPr="00253599" w:rsidRDefault="00DB5D8F" w:rsidP="00DB5D8F">
            <w:pPr>
              <w:spacing w:after="0" w:line="240" w:lineRule="auto"/>
              <w:jc w:val="center"/>
              <w:rPr>
                <w:rFonts w:cs="Arial"/>
                <w:color w:val="000000"/>
                <w:sz w:val="22"/>
                <w:szCs w:val="22"/>
                <w:lang w:val="en-US" w:eastAsia="en-US"/>
              </w:rPr>
            </w:pPr>
            <w:r>
              <w:rPr>
                <w:rFonts w:cs="Arial"/>
                <w:color w:val="000000"/>
                <w:sz w:val="22"/>
                <w:szCs w:val="22"/>
                <w:lang w:val="en-US" w:eastAsia="en-US"/>
              </w:rPr>
              <w:t>0.98</w:t>
            </w:r>
            <w:r w:rsidRPr="00253599">
              <w:rPr>
                <w:rFonts w:cs="Arial"/>
                <w:color w:val="000000"/>
                <w:sz w:val="22"/>
                <w:szCs w:val="22"/>
                <w:lang w:val="en-US" w:eastAsia="en-US"/>
              </w:rPr>
              <w:t>%</w:t>
            </w:r>
          </w:p>
        </w:tc>
        <w:tc>
          <w:tcPr>
            <w:tcW w:w="1280" w:type="dxa"/>
            <w:tcBorders>
              <w:top w:val="nil"/>
              <w:left w:val="nil"/>
              <w:bottom w:val="nil"/>
              <w:right w:val="nil"/>
            </w:tcBorders>
            <w:shd w:val="clear" w:color="000000" w:fill="FFFFFF"/>
            <w:noWrap/>
            <w:vAlign w:val="bottom"/>
            <w:hideMark/>
          </w:tcPr>
          <w:p w14:paraId="588180FC" w14:textId="319B4DE2" w:rsidR="00DB5D8F" w:rsidRPr="00253599" w:rsidRDefault="00DB5D8F" w:rsidP="00DB5D8F">
            <w:pPr>
              <w:spacing w:after="0" w:line="240" w:lineRule="auto"/>
              <w:jc w:val="center"/>
              <w:rPr>
                <w:rFonts w:cs="Arial"/>
                <w:color w:val="000000"/>
                <w:sz w:val="22"/>
                <w:szCs w:val="22"/>
                <w:lang w:val="en-US" w:eastAsia="en-US"/>
              </w:rPr>
            </w:pPr>
            <w:r>
              <w:rPr>
                <w:rFonts w:cs="Arial"/>
                <w:color w:val="000000"/>
                <w:sz w:val="22"/>
                <w:szCs w:val="22"/>
                <w:lang w:val="en-US" w:eastAsia="en-US"/>
              </w:rPr>
              <w:t>1.30</w:t>
            </w:r>
            <w:r w:rsidRPr="00253599">
              <w:rPr>
                <w:rFonts w:cs="Arial"/>
                <w:color w:val="000000"/>
                <w:sz w:val="22"/>
                <w:szCs w:val="22"/>
                <w:lang w:val="en-US" w:eastAsia="en-US"/>
              </w:rPr>
              <w:t>%</w:t>
            </w:r>
          </w:p>
        </w:tc>
        <w:tc>
          <w:tcPr>
            <w:tcW w:w="1280" w:type="dxa"/>
            <w:tcBorders>
              <w:top w:val="nil"/>
              <w:left w:val="nil"/>
              <w:bottom w:val="nil"/>
              <w:right w:val="nil"/>
            </w:tcBorders>
            <w:shd w:val="clear" w:color="000000" w:fill="FFFFFF"/>
            <w:noWrap/>
            <w:vAlign w:val="bottom"/>
            <w:hideMark/>
          </w:tcPr>
          <w:p w14:paraId="7B3E2EB1" w14:textId="5E75014A" w:rsidR="00DB5D8F" w:rsidRPr="00253599" w:rsidRDefault="00DB5D8F" w:rsidP="00DB5D8F">
            <w:pPr>
              <w:spacing w:after="0" w:line="240" w:lineRule="auto"/>
              <w:jc w:val="center"/>
              <w:rPr>
                <w:rFonts w:cs="Arial"/>
                <w:color w:val="000000"/>
                <w:sz w:val="22"/>
                <w:szCs w:val="22"/>
                <w:lang w:val="en-US" w:eastAsia="en-US"/>
              </w:rPr>
            </w:pPr>
            <w:r>
              <w:rPr>
                <w:rFonts w:cs="Arial"/>
                <w:color w:val="000000"/>
                <w:sz w:val="22"/>
                <w:szCs w:val="22"/>
                <w:lang w:val="en-US" w:eastAsia="en-US"/>
              </w:rPr>
              <w:t>1.05</w:t>
            </w:r>
            <w:r w:rsidRPr="00253599">
              <w:rPr>
                <w:rFonts w:cs="Arial"/>
                <w:color w:val="000000"/>
                <w:sz w:val="22"/>
                <w:szCs w:val="22"/>
                <w:lang w:val="en-US" w:eastAsia="en-US"/>
              </w:rPr>
              <w:t>%</w:t>
            </w:r>
          </w:p>
        </w:tc>
      </w:tr>
      <w:tr w:rsidR="00DB5D8F" w:rsidRPr="00B9351D" w14:paraId="3BCBA4C2" w14:textId="77777777" w:rsidTr="00363DFB">
        <w:trPr>
          <w:trHeight w:val="564"/>
          <w:jc w:val="center"/>
        </w:trPr>
        <w:tc>
          <w:tcPr>
            <w:tcW w:w="1826" w:type="dxa"/>
            <w:tcBorders>
              <w:top w:val="nil"/>
              <w:left w:val="nil"/>
              <w:bottom w:val="single" w:sz="4" w:space="0" w:color="auto"/>
              <w:right w:val="nil"/>
            </w:tcBorders>
            <w:shd w:val="clear" w:color="000000" w:fill="FFFFFF"/>
            <w:noWrap/>
            <w:vAlign w:val="bottom"/>
            <w:hideMark/>
          </w:tcPr>
          <w:p w14:paraId="1BD1653F" w14:textId="6F5B3ED6" w:rsidR="00DB5D8F" w:rsidRPr="00253599" w:rsidRDefault="00DB5D8F" w:rsidP="00DB5D8F">
            <w:pPr>
              <w:spacing w:after="0" w:line="240" w:lineRule="auto"/>
              <w:jc w:val="left"/>
              <w:rPr>
                <w:rFonts w:cs="Arial"/>
                <w:color w:val="000000"/>
                <w:sz w:val="22"/>
                <w:szCs w:val="22"/>
                <w:lang w:val="en-US" w:eastAsia="en-US"/>
              </w:rPr>
            </w:pPr>
            <w:r w:rsidRPr="00253599">
              <w:rPr>
                <w:rFonts w:cs="Arial"/>
                <w:color w:val="000000"/>
                <w:sz w:val="22"/>
                <w:szCs w:val="22"/>
                <w:lang w:eastAsia="en-US"/>
              </w:rPr>
              <w:t>Rendimiento</w:t>
            </w:r>
            <w:r w:rsidRPr="00B9351D">
              <w:rPr>
                <w:rFonts w:cs="Arial"/>
                <w:color w:val="000000"/>
                <w:sz w:val="22"/>
                <w:szCs w:val="22"/>
                <w:lang w:val="en-US" w:eastAsia="en-US"/>
              </w:rPr>
              <w:t xml:space="preserve"> entre el PIB</w:t>
            </w:r>
          </w:p>
        </w:tc>
        <w:tc>
          <w:tcPr>
            <w:tcW w:w="1682" w:type="dxa"/>
            <w:tcBorders>
              <w:top w:val="nil"/>
              <w:left w:val="single" w:sz="4" w:space="0" w:color="auto"/>
              <w:bottom w:val="single" w:sz="4" w:space="0" w:color="auto"/>
              <w:right w:val="nil"/>
            </w:tcBorders>
            <w:shd w:val="clear" w:color="000000" w:fill="FFFFFF"/>
            <w:noWrap/>
            <w:vAlign w:val="bottom"/>
            <w:hideMark/>
          </w:tcPr>
          <w:p w14:paraId="4B25E1A6" w14:textId="32AE8449" w:rsidR="00DB5D8F" w:rsidRPr="00253599" w:rsidRDefault="00DB5D8F" w:rsidP="00DB5D8F">
            <w:pPr>
              <w:spacing w:after="0" w:line="240" w:lineRule="auto"/>
              <w:jc w:val="center"/>
              <w:rPr>
                <w:rFonts w:cs="Arial"/>
                <w:color w:val="000000"/>
                <w:sz w:val="22"/>
                <w:szCs w:val="22"/>
                <w:lang w:val="en-US" w:eastAsia="en-US"/>
              </w:rPr>
            </w:pPr>
            <w:r>
              <w:rPr>
                <w:rFonts w:cs="Arial"/>
                <w:color w:val="000000"/>
                <w:sz w:val="22"/>
                <w:szCs w:val="22"/>
                <w:lang w:val="en-US" w:eastAsia="en-US"/>
              </w:rPr>
              <w:t>6.84%</w:t>
            </w:r>
          </w:p>
        </w:tc>
        <w:tc>
          <w:tcPr>
            <w:tcW w:w="1280" w:type="dxa"/>
            <w:tcBorders>
              <w:top w:val="nil"/>
              <w:left w:val="nil"/>
              <w:bottom w:val="single" w:sz="4" w:space="0" w:color="auto"/>
              <w:right w:val="nil"/>
            </w:tcBorders>
            <w:shd w:val="clear" w:color="000000" w:fill="FFFFFF"/>
            <w:noWrap/>
            <w:vAlign w:val="bottom"/>
            <w:hideMark/>
          </w:tcPr>
          <w:p w14:paraId="074E8D40" w14:textId="4611427C" w:rsidR="00DB5D8F" w:rsidRPr="00253599" w:rsidRDefault="00DB5D8F" w:rsidP="00DB5D8F">
            <w:pPr>
              <w:spacing w:after="0" w:line="240" w:lineRule="auto"/>
              <w:jc w:val="center"/>
              <w:rPr>
                <w:rFonts w:cs="Arial"/>
                <w:color w:val="000000"/>
                <w:sz w:val="22"/>
                <w:szCs w:val="22"/>
                <w:lang w:val="en-US" w:eastAsia="en-US"/>
              </w:rPr>
            </w:pPr>
            <w:r>
              <w:rPr>
                <w:rFonts w:cs="Arial"/>
                <w:color w:val="000000"/>
                <w:sz w:val="22"/>
                <w:szCs w:val="22"/>
                <w:lang w:val="en-US" w:eastAsia="en-US"/>
              </w:rPr>
              <w:t>2.35</w:t>
            </w:r>
            <w:r w:rsidRPr="00253599">
              <w:rPr>
                <w:rFonts w:cs="Arial"/>
                <w:color w:val="000000"/>
                <w:sz w:val="22"/>
                <w:szCs w:val="22"/>
                <w:lang w:val="en-US" w:eastAsia="en-US"/>
              </w:rPr>
              <w:t>%</w:t>
            </w:r>
          </w:p>
        </w:tc>
        <w:tc>
          <w:tcPr>
            <w:tcW w:w="1280" w:type="dxa"/>
            <w:tcBorders>
              <w:top w:val="nil"/>
              <w:left w:val="nil"/>
              <w:bottom w:val="single" w:sz="4" w:space="0" w:color="auto"/>
              <w:right w:val="nil"/>
            </w:tcBorders>
            <w:shd w:val="clear" w:color="000000" w:fill="FFFFFF"/>
            <w:noWrap/>
            <w:vAlign w:val="bottom"/>
            <w:hideMark/>
          </w:tcPr>
          <w:p w14:paraId="6B8D91F6" w14:textId="72A788CB" w:rsidR="00DB5D8F" w:rsidRPr="00253599" w:rsidRDefault="00DB5D8F" w:rsidP="00DB5D8F">
            <w:pPr>
              <w:spacing w:after="0" w:line="240" w:lineRule="auto"/>
              <w:jc w:val="center"/>
              <w:rPr>
                <w:rFonts w:cs="Arial"/>
                <w:color w:val="000000"/>
                <w:sz w:val="22"/>
                <w:szCs w:val="22"/>
                <w:lang w:val="en-US" w:eastAsia="en-US"/>
              </w:rPr>
            </w:pPr>
            <w:r w:rsidRPr="00253599">
              <w:rPr>
                <w:rFonts w:cs="Arial"/>
                <w:color w:val="000000"/>
                <w:sz w:val="22"/>
                <w:szCs w:val="22"/>
                <w:lang w:val="en-US" w:eastAsia="en-US"/>
              </w:rPr>
              <w:t>3</w:t>
            </w:r>
            <w:r>
              <w:rPr>
                <w:rFonts w:cs="Arial"/>
                <w:color w:val="000000"/>
                <w:sz w:val="22"/>
                <w:szCs w:val="22"/>
                <w:lang w:val="en-US" w:eastAsia="en-US"/>
              </w:rPr>
              <w:t>.79</w:t>
            </w:r>
            <w:r w:rsidRPr="00253599">
              <w:rPr>
                <w:rFonts w:cs="Arial"/>
                <w:color w:val="000000"/>
                <w:sz w:val="22"/>
                <w:szCs w:val="22"/>
                <w:lang w:val="en-US" w:eastAsia="en-US"/>
              </w:rPr>
              <w:t>%</w:t>
            </w:r>
          </w:p>
        </w:tc>
        <w:tc>
          <w:tcPr>
            <w:tcW w:w="1280" w:type="dxa"/>
            <w:tcBorders>
              <w:top w:val="nil"/>
              <w:left w:val="nil"/>
              <w:bottom w:val="single" w:sz="4" w:space="0" w:color="auto"/>
              <w:right w:val="nil"/>
            </w:tcBorders>
            <w:shd w:val="clear" w:color="000000" w:fill="FFFFFF"/>
            <w:noWrap/>
            <w:vAlign w:val="bottom"/>
            <w:hideMark/>
          </w:tcPr>
          <w:p w14:paraId="31256FAC" w14:textId="1EF3BB07" w:rsidR="00DB5D8F" w:rsidRPr="00253599" w:rsidRDefault="00DB5D8F" w:rsidP="00DB5D8F">
            <w:pPr>
              <w:spacing w:after="0" w:line="240" w:lineRule="auto"/>
              <w:jc w:val="center"/>
              <w:rPr>
                <w:rFonts w:cs="Arial"/>
                <w:color w:val="000000"/>
                <w:sz w:val="22"/>
                <w:szCs w:val="22"/>
                <w:lang w:val="en-US" w:eastAsia="en-US"/>
              </w:rPr>
            </w:pPr>
            <w:r>
              <w:rPr>
                <w:rFonts w:cs="Arial"/>
                <w:color w:val="000000"/>
                <w:sz w:val="22"/>
                <w:szCs w:val="22"/>
                <w:lang w:val="en-US" w:eastAsia="en-US"/>
              </w:rPr>
              <w:t>2.13</w:t>
            </w:r>
            <w:r w:rsidRPr="00253599">
              <w:rPr>
                <w:rFonts w:cs="Arial"/>
                <w:color w:val="000000"/>
                <w:sz w:val="22"/>
                <w:szCs w:val="22"/>
                <w:lang w:val="en-US" w:eastAsia="en-US"/>
              </w:rPr>
              <w:t>%</w:t>
            </w:r>
          </w:p>
        </w:tc>
      </w:tr>
    </w:tbl>
    <w:p w14:paraId="6734117D" w14:textId="6F134F6C" w:rsidR="00482071" w:rsidRDefault="00301EF5" w:rsidP="00301EF5">
      <w:pPr>
        <w:rPr>
          <w:rFonts w:eastAsiaTheme="minorHAnsi" w:cs="Arial"/>
          <w:sz w:val="18"/>
          <w:szCs w:val="20"/>
        </w:rPr>
      </w:pPr>
      <w:r w:rsidRPr="009161F1">
        <w:rPr>
          <w:rFonts w:eastAsiaTheme="minorHAnsi" w:cs="Arial"/>
          <w:sz w:val="18"/>
          <w:szCs w:val="20"/>
        </w:rPr>
        <w:t>Fuente: elaboración propia</w:t>
      </w:r>
      <w:r>
        <w:rPr>
          <w:rFonts w:eastAsiaTheme="minorHAnsi" w:cs="Arial"/>
          <w:sz w:val="18"/>
          <w:szCs w:val="20"/>
        </w:rPr>
        <w:t>.</w:t>
      </w:r>
    </w:p>
    <w:p w14:paraId="1C2C1383" w14:textId="05DA9393" w:rsidR="00922F71" w:rsidRDefault="00792F1E" w:rsidP="00922F71">
      <w:pPr>
        <w:spacing w:line="240" w:lineRule="auto"/>
      </w:pPr>
      <w:r>
        <w:t xml:space="preserve">Cuando introducimos el escenario </w:t>
      </w:r>
      <w:r w:rsidR="0097106E">
        <w:t>5</w:t>
      </w:r>
      <w:r w:rsidR="007663A3">
        <w:t xml:space="preserve">, </w:t>
      </w:r>
      <w:r w:rsidR="008819F1">
        <w:t xml:space="preserve">lo que se </w:t>
      </w:r>
      <w:r w:rsidR="00C12444">
        <w:t>está</w:t>
      </w:r>
      <w:r w:rsidR="008819F1">
        <w:t xml:space="preserve"> realizando es un ejercicio de incidencia</w:t>
      </w:r>
      <w:r w:rsidR="00897F07">
        <w:t xml:space="preserve"> sobre los h</w:t>
      </w:r>
      <w:r w:rsidR="00185CF4">
        <w:t>ogares</w:t>
      </w:r>
      <w:r w:rsidR="008819F1">
        <w:t xml:space="preserve">, </w:t>
      </w:r>
      <w:r w:rsidR="00C104F1">
        <w:t>porque se sustituye la herramienta de recaudación</w:t>
      </w:r>
      <w:r w:rsidR="00B86098">
        <w:t>, en este caso el impuesto de ventas</w:t>
      </w:r>
      <w:r w:rsidR="00C926D0">
        <w:t xml:space="preserve"> </w:t>
      </w:r>
      <w:r w:rsidR="00185CF4">
        <w:t xml:space="preserve">(indirecto) </w:t>
      </w:r>
      <w:r w:rsidR="00C926D0">
        <w:t>por el impuesto sobre la renta</w:t>
      </w:r>
      <w:r w:rsidR="00185CF4">
        <w:t xml:space="preserve"> (directo)</w:t>
      </w:r>
      <w:r w:rsidR="00C926D0">
        <w:t>. En términos de recaudación no hay cambios,</w:t>
      </w:r>
      <w:r w:rsidR="00455914">
        <w:t xml:space="preserve"> para compensar esto se subió automáticamente la alícuota (efectiva) de 1% a 2% en decil 8, de 3% a 5% en el decil 9 y de 5% a 15% en el decil 10, esto provoca</w:t>
      </w:r>
      <w:r w:rsidR="00C926D0">
        <w:t xml:space="preserve"> en términos de económicos un</w:t>
      </w:r>
      <w:r w:rsidR="00897F07">
        <w:t xml:space="preserve">a modificación estructural en el sistema impositivo. Cuando se compara </w:t>
      </w:r>
      <w:r w:rsidR="0026676E">
        <w:t>los escenarios por medio de la presión tributaria</w:t>
      </w:r>
      <w:r w:rsidR="00DA054D">
        <w:t xml:space="preserve">, se evidencia </w:t>
      </w:r>
      <w:r w:rsidR="00A31C55">
        <w:t xml:space="preserve">que </w:t>
      </w:r>
      <w:r w:rsidR="007F2460">
        <w:t>disminuye cerca</w:t>
      </w:r>
      <w:r w:rsidR="00ED1FA0">
        <w:t xml:space="preserve"> del 50% en primeros 6 deciles, mientras que para los últimos deciles incrementa</w:t>
      </w:r>
      <w:r w:rsidR="009578D4">
        <w:t>,</w:t>
      </w:r>
      <w:r w:rsidR="00ED1FA0">
        <w:t xml:space="preserve"> </w:t>
      </w:r>
      <w:r w:rsidR="00DA054D">
        <w:t xml:space="preserve">como se muestra en la </w:t>
      </w:r>
      <w:r w:rsidR="00740B2F">
        <w:fldChar w:fldCharType="begin"/>
      </w:r>
      <w:r w:rsidR="00740B2F">
        <w:instrText xml:space="preserve"> REF _Ref526856953 \h </w:instrText>
      </w:r>
      <w:r w:rsidR="00740B2F" w:rsidRPr="00740B2F">
        <w:instrText>\*</w:instrText>
      </w:r>
      <w:r w:rsidR="00740B2F">
        <w:instrText xml:space="preserve">lower </w:instrText>
      </w:r>
      <w:r w:rsidR="00740B2F">
        <w:fldChar w:fldCharType="separate"/>
      </w:r>
      <w:r w:rsidR="00A95E32">
        <w:t xml:space="preserve">figura </w:t>
      </w:r>
      <w:r w:rsidR="00A95E32">
        <w:rPr>
          <w:noProof/>
        </w:rPr>
        <w:t>15</w:t>
      </w:r>
      <w:r w:rsidR="00740B2F">
        <w:fldChar w:fldCharType="end"/>
      </w:r>
      <w:r w:rsidR="00740B2F">
        <w:t>.</w:t>
      </w:r>
      <w:r w:rsidR="009578D4">
        <w:t xml:space="preserve"> </w:t>
      </w:r>
      <w:r w:rsidR="00922F71">
        <w:t>La estructura tributaria a pesar de que mejora en progresividad sigue teniendo una tendencia regresiva debido al impuesto al consumo.</w:t>
      </w:r>
    </w:p>
    <w:p w14:paraId="6BE59AAD" w14:textId="390CAEE4" w:rsidR="009E15B6" w:rsidRDefault="009E15B6" w:rsidP="008819F1">
      <w:pPr>
        <w:spacing w:line="240" w:lineRule="auto"/>
      </w:pPr>
    </w:p>
    <w:p w14:paraId="369E362C" w14:textId="1E282CDA" w:rsidR="00767CE2" w:rsidRDefault="00767CE2" w:rsidP="008819F1">
      <w:pPr>
        <w:spacing w:line="240" w:lineRule="auto"/>
      </w:pPr>
    </w:p>
    <w:p w14:paraId="064D670A" w14:textId="627694D1" w:rsidR="00767CE2" w:rsidRDefault="00767CE2" w:rsidP="008819F1">
      <w:pPr>
        <w:spacing w:line="240" w:lineRule="auto"/>
      </w:pPr>
    </w:p>
    <w:p w14:paraId="7A37F9E0" w14:textId="507A126A" w:rsidR="00767CE2" w:rsidRDefault="00767CE2" w:rsidP="008819F1">
      <w:pPr>
        <w:spacing w:line="240" w:lineRule="auto"/>
      </w:pPr>
    </w:p>
    <w:p w14:paraId="76215913" w14:textId="786335AB" w:rsidR="00767CE2" w:rsidRDefault="00767CE2" w:rsidP="008819F1">
      <w:pPr>
        <w:spacing w:line="240" w:lineRule="auto"/>
      </w:pPr>
    </w:p>
    <w:p w14:paraId="3946BEB3" w14:textId="4D70F664" w:rsidR="00740B2F" w:rsidRDefault="00740B2F" w:rsidP="00740B2F">
      <w:pPr>
        <w:pStyle w:val="Caption"/>
      </w:pPr>
      <w:bookmarkStart w:id="185" w:name="_Ref526856953"/>
      <w:bookmarkStart w:id="186" w:name="_Ref526856945"/>
      <w:bookmarkStart w:id="187" w:name="_Toc2853732"/>
      <w:r>
        <w:lastRenderedPageBreak/>
        <w:t xml:space="preserve">Figura </w:t>
      </w:r>
      <w:r>
        <w:fldChar w:fldCharType="begin"/>
      </w:r>
      <w:r>
        <w:instrText xml:space="preserve"> SEQ Figura \* ARABIC </w:instrText>
      </w:r>
      <w:r>
        <w:fldChar w:fldCharType="separate"/>
      </w:r>
      <w:r w:rsidR="00A95E32">
        <w:rPr>
          <w:noProof/>
        </w:rPr>
        <w:t>15</w:t>
      </w:r>
      <w:r>
        <w:fldChar w:fldCharType="end"/>
      </w:r>
      <w:bookmarkEnd w:id="185"/>
      <w:r w:rsidR="009B789B">
        <w:br/>
      </w:r>
      <w:r>
        <w:t>Presión tributaria</w:t>
      </w:r>
      <w:r>
        <w:rPr>
          <w:noProof/>
        </w:rPr>
        <w:t xml:space="preserve"> </w:t>
      </w:r>
      <w:r w:rsidR="0071167B">
        <w:rPr>
          <w:noProof/>
        </w:rPr>
        <w:t xml:space="preserve">del </w:t>
      </w:r>
      <w:r w:rsidR="0025102C">
        <w:rPr>
          <w:noProof/>
        </w:rPr>
        <w:t>s</w:t>
      </w:r>
      <w:r w:rsidR="0071167B">
        <w:rPr>
          <w:noProof/>
        </w:rPr>
        <w:t>istema tributario</w:t>
      </w:r>
      <w:r w:rsidR="009578D4">
        <w:rPr>
          <w:noProof/>
        </w:rPr>
        <w:t>, por</w:t>
      </w:r>
      <w:r>
        <w:rPr>
          <w:noProof/>
        </w:rPr>
        <w:t xml:space="preserve"> simulación </w:t>
      </w:r>
      <w:r w:rsidR="00073DBE">
        <w:rPr>
          <w:noProof/>
        </w:rPr>
        <w:t>b</w:t>
      </w:r>
      <w:r>
        <w:rPr>
          <w:noProof/>
        </w:rPr>
        <w:t>ase y escenario 5</w:t>
      </w:r>
      <w:bookmarkEnd w:id="186"/>
      <w:bookmarkEnd w:id="187"/>
    </w:p>
    <w:p w14:paraId="44C2D3B5" w14:textId="79737D9D" w:rsidR="00DA054D" w:rsidRPr="003E535E" w:rsidRDefault="0011031E" w:rsidP="00F10837">
      <w:pPr>
        <w:spacing w:line="240" w:lineRule="auto"/>
        <w:jc w:val="center"/>
      </w:pPr>
      <w:r>
        <w:rPr>
          <w:noProof/>
        </w:rPr>
        <w:drawing>
          <wp:inline distT="0" distB="0" distL="0" distR="0" wp14:anchorId="5EA6F7CE" wp14:editId="467D78C5">
            <wp:extent cx="4928616" cy="2779776"/>
            <wp:effectExtent l="0" t="0" r="5715" b="1905"/>
            <wp:docPr id="15" name="Chart 15">
              <a:extLst xmlns:a="http://schemas.openxmlformats.org/drawingml/2006/main">
                <a:ext uri="{FF2B5EF4-FFF2-40B4-BE49-F238E27FC236}">
                  <a16:creationId xmlns:a16="http://schemas.microsoft.com/office/drawing/2014/main" id="{29E508DD-395E-44EC-8AC9-DACC49E2B43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64"/>
              </a:graphicData>
            </a:graphic>
          </wp:inline>
        </w:drawing>
      </w:r>
    </w:p>
    <w:p w14:paraId="2724EF3B" w14:textId="77777777" w:rsidR="0015779D" w:rsidRDefault="0015779D" w:rsidP="0015779D">
      <w:pPr>
        <w:rPr>
          <w:rFonts w:eastAsiaTheme="minorHAnsi" w:cs="Arial"/>
          <w:sz w:val="18"/>
          <w:szCs w:val="20"/>
        </w:rPr>
      </w:pPr>
      <w:r w:rsidRPr="009161F1">
        <w:rPr>
          <w:rFonts w:eastAsiaTheme="minorHAnsi" w:cs="Arial"/>
          <w:sz w:val="18"/>
          <w:szCs w:val="20"/>
        </w:rPr>
        <w:t>Fuente: elaboración propia</w:t>
      </w:r>
      <w:r>
        <w:rPr>
          <w:rFonts w:eastAsiaTheme="minorHAnsi" w:cs="Arial"/>
          <w:sz w:val="18"/>
          <w:szCs w:val="20"/>
        </w:rPr>
        <w:t>.</w:t>
      </w:r>
    </w:p>
    <w:p w14:paraId="6E2AED46" w14:textId="1E4ED662" w:rsidR="005A4BE1" w:rsidRDefault="00CB5AD5" w:rsidP="002B1C79">
      <w:pPr>
        <w:spacing w:line="240" w:lineRule="auto"/>
      </w:pPr>
      <w:r>
        <w:t>El costo</w:t>
      </w:r>
      <w:r w:rsidR="005A4BE1">
        <w:t xml:space="preserve"> marginal</w:t>
      </w:r>
      <w:r>
        <w:t xml:space="preserve"> de fondos se muestra en la </w:t>
      </w:r>
      <w:r w:rsidR="006B6ED5">
        <w:fldChar w:fldCharType="begin"/>
      </w:r>
      <w:r w:rsidR="006B6ED5">
        <w:instrText xml:space="preserve"> REF _Ref526861920 \h </w:instrText>
      </w:r>
      <w:r w:rsidR="006B6ED5" w:rsidRPr="00367B13">
        <w:instrText xml:space="preserve">\* lower </w:instrText>
      </w:r>
      <w:r w:rsidR="006B6ED5">
        <w:fldChar w:fldCharType="separate"/>
      </w:r>
      <w:r w:rsidR="00A95E32">
        <w:t xml:space="preserve">tabla </w:t>
      </w:r>
      <w:r w:rsidR="00A95E32">
        <w:rPr>
          <w:noProof/>
        </w:rPr>
        <w:t>25</w:t>
      </w:r>
      <w:r w:rsidR="006B6ED5">
        <w:fldChar w:fldCharType="end"/>
      </w:r>
      <w:r w:rsidR="006B6ED5">
        <w:t xml:space="preserve">, </w:t>
      </w:r>
      <w:r w:rsidR="00367B13">
        <w:t xml:space="preserve">donde se comparan el escenario 3 </w:t>
      </w:r>
      <w:r w:rsidR="0011031E">
        <w:t xml:space="preserve">(el de mayor rendimiento) </w:t>
      </w:r>
      <w:r w:rsidR="00367B13">
        <w:t xml:space="preserve">con el escenario 5. </w:t>
      </w:r>
      <w:r w:rsidR="00A12D25">
        <w:t>El costo marginal en incrementar y ampliar la base por medio del IVA es mayor para los hogares de los deciles inferiores que cambiar el sistema tributario</w:t>
      </w:r>
      <w:r w:rsidR="00E26445">
        <w:t xml:space="preserve"> (escenario 5)</w:t>
      </w:r>
      <w:r w:rsidR="00A12D25">
        <w:t xml:space="preserve">, donde la </w:t>
      </w:r>
      <w:r w:rsidR="00B442DD">
        <w:t>relevancia de tributación reca</w:t>
      </w:r>
      <w:r w:rsidR="005D704D">
        <w:t>e</w:t>
      </w:r>
      <w:r w:rsidR="00B442DD">
        <w:t xml:space="preserve"> en el impuesto sobre la renta</w:t>
      </w:r>
      <w:r w:rsidR="00F23410">
        <w:t>.</w:t>
      </w:r>
    </w:p>
    <w:p w14:paraId="733908FB" w14:textId="0FDFB30D" w:rsidR="00CB5AD5" w:rsidRDefault="00822592" w:rsidP="00822592">
      <w:pPr>
        <w:pStyle w:val="Caption"/>
      </w:pPr>
      <w:bookmarkStart w:id="188" w:name="_Ref526861920"/>
      <w:bookmarkStart w:id="189" w:name="_Toc2853715"/>
      <w:r>
        <w:t xml:space="preserve">Tabla </w:t>
      </w:r>
      <w:r>
        <w:fldChar w:fldCharType="begin"/>
      </w:r>
      <w:r>
        <w:instrText xml:space="preserve"> SEQ Tabla \* ARABIC </w:instrText>
      </w:r>
      <w:r>
        <w:fldChar w:fldCharType="separate"/>
      </w:r>
      <w:r w:rsidR="00A95E32">
        <w:rPr>
          <w:noProof/>
        </w:rPr>
        <w:t>25</w:t>
      </w:r>
      <w:r>
        <w:fldChar w:fldCharType="end"/>
      </w:r>
      <w:bookmarkEnd w:id="188"/>
      <w:r>
        <w:t xml:space="preserve"> </w:t>
      </w:r>
      <w:r>
        <w:br/>
      </w:r>
      <w:r w:rsidR="002532CE">
        <w:t>Costo Marginal de Fondos Públicos (</w:t>
      </w:r>
      <w:r w:rsidR="00A34564">
        <w:t>CMFP</w:t>
      </w:r>
      <w:r w:rsidR="002532CE">
        <w:t>)</w:t>
      </w:r>
      <w:r>
        <w:t xml:space="preserve"> en Escenarios 3 y 5</w:t>
      </w:r>
      <w:bookmarkEnd w:id="189"/>
    </w:p>
    <w:tbl>
      <w:tblPr>
        <w:tblW w:w="5804" w:type="dxa"/>
        <w:jc w:val="center"/>
        <w:tblLook w:val="04A0" w:firstRow="1" w:lastRow="0" w:firstColumn="1" w:lastColumn="0" w:noHBand="0" w:noVBand="1"/>
      </w:tblPr>
      <w:tblGrid>
        <w:gridCol w:w="2050"/>
        <w:gridCol w:w="1877"/>
        <w:gridCol w:w="1877"/>
      </w:tblGrid>
      <w:tr w:rsidR="0057639C" w:rsidRPr="0057639C" w14:paraId="238998E9" w14:textId="77777777" w:rsidTr="00CE2936">
        <w:trPr>
          <w:trHeight w:val="384"/>
          <w:jc w:val="center"/>
        </w:trPr>
        <w:tc>
          <w:tcPr>
            <w:tcW w:w="2050" w:type="dxa"/>
            <w:tcBorders>
              <w:top w:val="nil"/>
              <w:left w:val="nil"/>
              <w:bottom w:val="single" w:sz="4" w:space="0" w:color="auto"/>
              <w:right w:val="nil"/>
            </w:tcBorders>
            <w:shd w:val="clear" w:color="000000" w:fill="FFFFFF"/>
            <w:noWrap/>
            <w:vAlign w:val="bottom"/>
            <w:hideMark/>
          </w:tcPr>
          <w:p w14:paraId="568ED3B3" w14:textId="77777777" w:rsidR="0057639C" w:rsidRPr="0057639C" w:rsidRDefault="0057639C" w:rsidP="0057639C">
            <w:pPr>
              <w:spacing w:after="0" w:line="240" w:lineRule="auto"/>
              <w:jc w:val="center"/>
              <w:rPr>
                <w:rFonts w:cs="Arial"/>
                <w:sz w:val="22"/>
                <w:szCs w:val="22"/>
                <w:lang w:val="en-US" w:eastAsia="en-US"/>
              </w:rPr>
            </w:pPr>
            <w:r w:rsidRPr="0057639C">
              <w:rPr>
                <w:rFonts w:cs="Arial"/>
                <w:sz w:val="22"/>
                <w:szCs w:val="22"/>
                <w:lang w:eastAsia="en-US"/>
              </w:rPr>
              <w:t>Hogares</w:t>
            </w:r>
          </w:p>
        </w:tc>
        <w:tc>
          <w:tcPr>
            <w:tcW w:w="1877" w:type="dxa"/>
            <w:tcBorders>
              <w:top w:val="nil"/>
              <w:left w:val="single" w:sz="4" w:space="0" w:color="auto"/>
              <w:bottom w:val="single" w:sz="4" w:space="0" w:color="auto"/>
              <w:right w:val="nil"/>
            </w:tcBorders>
            <w:shd w:val="clear" w:color="000000" w:fill="FFFFFF"/>
            <w:noWrap/>
            <w:vAlign w:val="bottom"/>
            <w:hideMark/>
          </w:tcPr>
          <w:p w14:paraId="405C694C" w14:textId="61529194" w:rsidR="0057639C" w:rsidRPr="0057639C" w:rsidRDefault="004E2716" w:rsidP="0057639C">
            <w:pPr>
              <w:spacing w:after="0" w:line="240" w:lineRule="auto"/>
              <w:jc w:val="center"/>
              <w:rPr>
                <w:rFonts w:cs="Arial"/>
                <w:sz w:val="22"/>
                <w:szCs w:val="22"/>
                <w:lang w:val="en-US" w:eastAsia="en-US"/>
              </w:rPr>
            </w:pPr>
            <w:r>
              <w:rPr>
                <w:rFonts w:cs="Arial"/>
                <w:sz w:val="22"/>
                <w:szCs w:val="22"/>
                <w:lang w:val="en-US" w:eastAsia="en-US"/>
              </w:rPr>
              <w:t xml:space="preserve">IVA - </w:t>
            </w:r>
            <w:r w:rsidR="0057639C" w:rsidRPr="0057639C">
              <w:rPr>
                <w:rFonts w:cs="Arial"/>
                <w:sz w:val="22"/>
                <w:szCs w:val="22"/>
                <w:lang w:val="en-US" w:eastAsia="en-US"/>
              </w:rPr>
              <w:t>sim03</w:t>
            </w:r>
          </w:p>
        </w:tc>
        <w:tc>
          <w:tcPr>
            <w:tcW w:w="1877" w:type="dxa"/>
            <w:tcBorders>
              <w:top w:val="nil"/>
              <w:left w:val="nil"/>
              <w:bottom w:val="single" w:sz="4" w:space="0" w:color="auto"/>
              <w:right w:val="nil"/>
            </w:tcBorders>
            <w:shd w:val="clear" w:color="000000" w:fill="FFFFFF"/>
            <w:noWrap/>
            <w:vAlign w:val="bottom"/>
            <w:hideMark/>
          </w:tcPr>
          <w:p w14:paraId="34405856" w14:textId="1A7261E0" w:rsidR="0057639C" w:rsidRPr="0057639C" w:rsidRDefault="004E2716" w:rsidP="0057639C">
            <w:pPr>
              <w:spacing w:after="0" w:line="240" w:lineRule="auto"/>
              <w:jc w:val="center"/>
              <w:rPr>
                <w:rFonts w:cs="Arial"/>
                <w:sz w:val="22"/>
                <w:szCs w:val="22"/>
                <w:lang w:val="en-US" w:eastAsia="en-US"/>
              </w:rPr>
            </w:pPr>
            <w:r>
              <w:rPr>
                <w:rFonts w:cs="Arial"/>
                <w:sz w:val="22"/>
                <w:szCs w:val="22"/>
                <w:lang w:val="en-US" w:eastAsia="en-US"/>
              </w:rPr>
              <w:t xml:space="preserve">ISR - </w:t>
            </w:r>
            <w:r w:rsidR="0057639C" w:rsidRPr="0057639C">
              <w:rPr>
                <w:rFonts w:cs="Arial"/>
                <w:sz w:val="22"/>
                <w:szCs w:val="22"/>
                <w:lang w:val="en-US" w:eastAsia="en-US"/>
              </w:rPr>
              <w:t>sim05</w:t>
            </w:r>
          </w:p>
        </w:tc>
      </w:tr>
      <w:tr w:rsidR="0057639C" w:rsidRPr="0057639C" w14:paraId="7483250B" w14:textId="77777777" w:rsidTr="00CE2936">
        <w:trPr>
          <w:trHeight w:val="371"/>
          <w:jc w:val="center"/>
        </w:trPr>
        <w:tc>
          <w:tcPr>
            <w:tcW w:w="2050" w:type="dxa"/>
            <w:tcBorders>
              <w:top w:val="nil"/>
              <w:left w:val="nil"/>
              <w:bottom w:val="nil"/>
              <w:right w:val="nil"/>
            </w:tcBorders>
            <w:shd w:val="clear" w:color="000000" w:fill="FFFFFF"/>
            <w:noWrap/>
            <w:vAlign w:val="bottom"/>
            <w:hideMark/>
          </w:tcPr>
          <w:p w14:paraId="70BBE8ED" w14:textId="77777777" w:rsidR="0057639C" w:rsidRPr="0057639C" w:rsidRDefault="0057639C" w:rsidP="0057639C">
            <w:pPr>
              <w:spacing w:after="0" w:line="240" w:lineRule="auto"/>
              <w:jc w:val="center"/>
              <w:rPr>
                <w:rFonts w:cs="Arial"/>
                <w:sz w:val="22"/>
                <w:szCs w:val="22"/>
                <w:lang w:val="en-US" w:eastAsia="en-US"/>
              </w:rPr>
            </w:pPr>
            <w:r w:rsidRPr="0057639C">
              <w:rPr>
                <w:rFonts w:cs="Arial"/>
                <w:sz w:val="22"/>
                <w:szCs w:val="22"/>
                <w:lang w:val="en-US" w:eastAsia="en-US"/>
              </w:rPr>
              <w:t>Decil 1</w:t>
            </w:r>
          </w:p>
        </w:tc>
        <w:tc>
          <w:tcPr>
            <w:tcW w:w="1877" w:type="dxa"/>
            <w:tcBorders>
              <w:top w:val="nil"/>
              <w:left w:val="single" w:sz="4" w:space="0" w:color="auto"/>
              <w:bottom w:val="nil"/>
              <w:right w:val="nil"/>
            </w:tcBorders>
            <w:shd w:val="clear" w:color="000000" w:fill="FFFFFF"/>
            <w:noWrap/>
            <w:vAlign w:val="bottom"/>
            <w:hideMark/>
          </w:tcPr>
          <w:p w14:paraId="73E3B478" w14:textId="61B05C30" w:rsidR="0057639C" w:rsidRPr="0057639C" w:rsidRDefault="00E26445" w:rsidP="0057639C">
            <w:pPr>
              <w:spacing w:after="0" w:line="240" w:lineRule="auto"/>
              <w:jc w:val="center"/>
              <w:rPr>
                <w:rFonts w:cs="Arial"/>
                <w:sz w:val="22"/>
                <w:szCs w:val="22"/>
                <w:lang w:val="en-US" w:eastAsia="en-US"/>
              </w:rPr>
            </w:pPr>
            <w:r>
              <w:rPr>
                <w:rFonts w:cs="Arial"/>
                <w:sz w:val="22"/>
                <w:szCs w:val="22"/>
                <w:lang w:val="en-US" w:eastAsia="en-US"/>
              </w:rPr>
              <w:t>0.70</w:t>
            </w:r>
          </w:p>
        </w:tc>
        <w:tc>
          <w:tcPr>
            <w:tcW w:w="1877" w:type="dxa"/>
            <w:tcBorders>
              <w:top w:val="nil"/>
              <w:left w:val="nil"/>
              <w:bottom w:val="nil"/>
              <w:right w:val="nil"/>
            </w:tcBorders>
            <w:shd w:val="clear" w:color="000000" w:fill="FFFFFF"/>
            <w:noWrap/>
            <w:vAlign w:val="bottom"/>
            <w:hideMark/>
          </w:tcPr>
          <w:p w14:paraId="018F60D9" w14:textId="78900631" w:rsidR="0057639C" w:rsidRPr="0057639C" w:rsidRDefault="0011031E" w:rsidP="0057639C">
            <w:pPr>
              <w:spacing w:after="0" w:line="240" w:lineRule="auto"/>
              <w:jc w:val="center"/>
              <w:rPr>
                <w:rFonts w:cs="Arial"/>
                <w:sz w:val="22"/>
                <w:szCs w:val="22"/>
                <w:lang w:val="en-US" w:eastAsia="en-US"/>
              </w:rPr>
            </w:pPr>
            <w:r>
              <w:rPr>
                <w:rFonts w:cs="Arial"/>
                <w:sz w:val="22"/>
                <w:szCs w:val="22"/>
                <w:lang w:val="en-US" w:eastAsia="en-US"/>
              </w:rPr>
              <w:t>-0.28</w:t>
            </w:r>
          </w:p>
        </w:tc>
      </w:tr>
      <w:tr w:rsidR="0057639C" w:rsidRPr="0057639C" w14:paraId="54ADA816" w14:textId="77777777" w:rsidTr="00CE2936">
        <w:trPr>
          <w:trHeight w:val="371"/>
          <w:jc w:val="center"/>
        </w:trPr>
        <w:tc>
          <w:tcPr>
            <w:tcW w:w="2050" w:type="dxa"/>
            <w:tcBorders>
              <w:top w:val="nil"/>
              <w:left w:val="nil"/>
              <w:bottom w:val="nil"/>
              <w:right w:val="nil"/>
            </w:tcBorders>
            <w:shd w:val="clear" w:color="000000" w:fill="FFFFFF"/>
            <w:noWrap/>
            <w:vAlign w:val="bottom"/>
            <w:hideMark/>
          </w:tcPr>
          <w:p w14:paraId="66310A63" w14:textId="77777777" w:rsidR="0057639C" w:rsidRPr="0057639C" w:rsidRDefault="0057639C" w:rsidP="0057639C">
            <w:pPr>
              <w:spacing w:after="0" w:line="240" w:lineRule="auto"/>
              <w:jc w:val="center"/>
              <w:rPr>
                <w:rFonts w:cs="Arial"/>
                <w:sz w:val="22"/>
                <w:szCs w:val="22"/>
                <w:lang w:val="en-US" w:eastAsia="en-US"/>
              </w:rPr>
            </w:pPr>
            <w:r w:rsidRPr="0057639C">
              <w:rPr>
                <w:rFonts w:cs="Arial"/>
                <w:sz w:val="22"/>
                <w:szCs w:val="22"/>
                <w:lang w:val="en-US" w:eastAsia="en-US"/>
              </w:rPr>
              <w:t>Decil 2</w:t>
            </w:r>
          </w:p>
        </w:tc>
        <w:tc>
          <w:tcPr>
            <w:tcW w:w="1877" w:type="dxa"/>
            <w:tcBorders>
              <w:top w:val="nil"/>
              <w:left w:val="single" w:sz="4" w:space="0" w:color="auto"/>
              <w:bottom w:val="nil"/>
              <w:right w:val="nil"/>
            </w:tcBorders>
            <w:shd w:val="clear" w:color="000000" w:fill="FFFFFF"/>
            <w:noWrap/>
            <w:vAlign w:val="bottom"/>
            <w:hideMark/>
          </w:tcPr>
          <w:p w14:paraId="026852DB" w14:textId="3D3A84C2" w:rsidR="0057639C" w:rsidRPr="0057639C" w:rsidRDefault="00E26445" w:rsidP="0057639C">
            <w:pPr>
              <w:spacing w:after="0" w:line="240" w:lineRule="auto"/>
              <w:jc w:val="center"/>
              <w:rPr>
                <w:rFonts w:cs="Arial"/>
                <w:sz w:val="22"/>
                <w:szCs w:val="22"/>
                <w:lang w:val="en-US" w:eastAsia="en-US"/>
              </w:rPr>
            </w:pPr>
            <w:r>
              <w:rPr>
                <w:rFonts w:cs="Arial"/>
                <w:sz w:val="22"/>
                <w:szCs w:val="22"/>
                <w:lang w:val="en-US" w:eastAsia="en-US"/>
              </w:rPr>
              <w:t>0.62</w:t>
            </w:r>
          </w:p>
        </w:tc>
        <w:tc>
          <w:tcPr>
            <w:tcW w:w="1877" w:type="dxa"/>
            <w:tcBorders>
              <w:top w:val="nil"/>
              <w:left w:val="nil"/>
              <w:bottom w:val="nil"/>
              <w:right w:val="nil"/>
            </w:tcBorders>
            <w:shd w:val="clear" w:color="000000" w:fill="FFFFFF"/>
            <w:noWrap/>
            <w:vAlign w:val="bottom"/>
            <w:hideMark/>
          </w:tcPr>
          <w:p w14:paraId="773F5BB2" w14:textId="4D54A197" w:rsidR="0057639C" w:rsidRPr="0057639C" w:rsidRDefault="0011031E" w:rsidP="0057639C">
            <w:pPr>
              <w:spacing w:after="0" w:line="240" w:lineRule="auto"/>
              <w:jc w:val="center"/>
              <w:rPr>
                <w:rFonts w:cs="Arial"/>
                <w:sz w:val="22"/>
                <w:szCs w:val="22"/>
                <w:lang w:val="en-US" w:eastAsia="en-US"/>
              </w:rPr>
            </w:pPr>
            <w:r>
              <w:rPr>
                <w:rFonts w:cs="Arial"/>
                <w:sz w:val="22"/>
                <w:szCs w:val="22"/>
                <w:lang w:val="en-US" w:eastAsia="en-US"/>
              </w:rPr>
              <w:t>-0.42</w:t>
            </w:r>
          </w:p>
        </w:tc>
      </w:tr>
      <w:tr w:rsidR="0057639C" w:rsidRPr="0057639C" w14:paraId="022715C7" w14:textId="77777777" w:rsidTr="00CE2936">
        <w:trPr>
          <w:trHeight w:val="371"/>
          <w:jc w:val="center"/>
        </w:trPr>
        <w:tc>
          <w:tcPr>
            <w:tcW w:w="2050" w:type="dxa"/>
            <w:tcBorders>
              <w:top w:val="nil"/>
              <w:left w:val="nil"/>
              <w:bottom w:val="nil"/>
              <w:right w:val="nil"/>
            </w:tcBorders>
            <w:shd w:val="clear" w:color="000000" w:fill="FFFFFF"/>
            <w:noWrap/>
            <w:vAlign w:val="bottom"/>
            <w:hideMark/>
          </w:tcPr>
          <w:p w14:paraId="25163E78" w14:textId="77777777" w:rsidR="0057639C" w:rsidRPr="0057639C" w:rsidRDefault="0057639C" w:rsidP="0057639C">
            <w:pPr>
              <w:spacing w:after="0" w:line="240" w:lineRule="auto"/>
              <w:jc w:val="center"/>
              <w:rPr>
                <w:rFonts w:cs="Arial"/>
                <w:sz w:val="22"/>
                <w:szCs w:val="22"/>
                <w:lang w:val="en-US" w:eastAsia="en-US"/>
              </w:rPr>
            </w:pPr>
            <w:r w:rsidRPr="0057639C">
              <w:rPr>
                <w:rFonts w:cs="Arial"/>
                <w:sz w:val="22"/>
                <w:szCs w:val="22"/>
                <w:lang w:val="en-US" w:eastAsia="en-US"/>
              </w:rPr>
              <w:t>Decil 3</w:t>
            </w:r>
          </w:p>
        </w:tc>
        <w:tc>
          <w:tcPr>
            <w:tcW w:w="1877" w:type="dxa"/>
            <w:tcBorders>
              <w:top w:val="nil"/>
              <w:left w:val="single" w:sz="4" w:space="0" w:color="auto"/>
              <w:bottom w:val="nil"/>
              <w:right w:val="nil"/>
            </w:tcBorders>
            <w:shd w:val="clear" w:color="000000" w:fill="FFFFFF"/>
            <w:noWrap/>
            <w:vAlign w:val="bottom"/>
            <w:hideMark/>
          </w:tcPr>
          <w:p w14:paraId="61673957" w14:textId="521B4CBF" w:rsidR="0057639C" w:rsidRPr="0057639C" w:rsidRDefault="00E26445" w:rsidP="0057639C">
            <w:pPr>
              <w:spacing w:after="0" w:line="240" w:lineRule="auto"/>
              <w:jc w:val="center"/>
              <w:rPr>
                <w:rFonts w:cs="Arial"/>
                <w:sz w:val="22"/>
                <w:szCs w:val="22"/>
                <w:lang w:val="en-US" w:eastAsia="en-US"/>
              </w:rPr>
            </w:pPr>
            <w:r>
              <w:rPr>
                <w:rFonts w:cs="Arial"/>
                <w:sz w:val="22"/>
                <w:szCs w:val="22"/>
                <w:lang w:val="en-US" w:eastAsia="en-US"/>
              </w:rPr>
              <w:t>0.76</w:t>
            </w:r>
          </w:p>
        </w:tc>
        <w:tc>
          <w:tcPr>
            <w:tcW w:w="1877" w:type="dxa"/>
            <w:tcBorders>
              <w:top w:val="nil"/>
              <w:left w:val="nil"/>
              <w:bottom w:val="nil"/>
              <w:right w:val="nil"/>
            </w:tcBorders>
            <w:shd w:val="clear" w:color="000000" w:fill="FFFFFF"/>
            <w:noWrap/>
            <w:vAlign w:val="bottom"/>
            <w:hideMark/>
          </w:tcPr>
          <w:p w14:paraId="500F9DD7" w14:textId="2C15D888" w:rsidR="0057639C" w:rsidRPr="0057639C" w:rsidRDefault="0011031E" w:rsidP="0057639C">
            <w:pPr>
              <w:spacing w:after="0" w:line="240" w:lineRule="auto"/>
              <w:jc w:val="center"/>
              <w:rPr>
                <w:rFonts w:cs="Arial"/>
                <w:sz w:val="22"/>
                <w:szCs w:val="22"/>
                <w:lang w:val="en-US" w:eastAsia="en-US"/>
              </w:rPr>
            </w:pPr>
            <w:r>
              <w:rPr>
                <w:rFonts w:cs="Arial"/>
                <w:sz w:val="22"/>
                <w:szCs w:val="22"/>
                <w:lang w:val="en-US" w:eastAsia="en-US"/>
              </w:rPr>
              <w:t>-</w:t>
            </w:r>
            <w:r w:rsidR="0057639C" w:rsidRPr="0057639C">
              <w:rPr>
                <w:rFonts w:cs="Arial"/>
                <w:sz w:val="22"/>
                <w:szCs w:val="22"/>
                <w:lang w:val="en-US" w:eastAsia="en-US"/>
              </w:rPr>
              <w:t>0</w:t>
            </w:r>
            <w:r>
              <w:rPr>
                <w:rFonts w:cs="Arial"/>
                <w:sz w:val="22"/>
                <w:szCs w:val="22"/>
                <w:lang w:val="en-US" w:eastAsia="en-US"/>
              </w:rPr>
              <w:t>.58</w:t>
            </w:r>
          </w:p>
        </w:tc>
      </w:tr>
      <w:tr w:rsidR="0057639C" w:rsidRPr="0057639C" w14:paraId="5F71181B" w14:textId="77777777" w:rsidTr="00CE2936">
        <w:trPr>
          <w:trHeight w:val="371"/>
          <w:jc w:val="center"/>
        </w:trPr>
        <w:tc>
          <w:tcPr>
            <w:tcW w:w="2050" w:type="dxa"/>
            <w:tcBorders>
              <w:top w:val="nil"/>
              <w:left w:val="nil"/>
              <w:bottom w:val="nil"/>
              <w:right w:val="nil"/>
            </w:tcBorders>
            <w:shd w:val="clear" w:color="000000" w:fill="FFFFFF"/>
            <w:noWrap/>
            <w:vAlign w:val="bottom"/>
            <w:hideMark/>
          </w:tcPr>
          <w:p w14:paraId="307B3083" w14:textId="77777777" w:rsidR="0057639C" w:rsidRPr="0057639C" w:rsidRDefault="0057639C" w:rsidP="0057639C">
            <w:pPr>
              <w:spacing w:after="0" w:line="240" w:lineRule="auto"/>
              <w:jc w:val="center"/>
              <w:rPr>
                <w:rFonts w:cs="Arial"/>
                <w:sz w:val="22"/>
                <w:szCs w:val="22"/>
                <w:lang w:val="en-US" w:eastAsia="en-US"/>
              </w:rPr>
            </w:pPr>
            <w:r w:rsidRPr="0057639C">
              <w:rPr>
                <w:rFonts w:cs="Arial"/>
                <w:sz w:val="22"/>
                <w:szCs w:val="22"/>
                <w:lang w:val="en-US" w:eastAsia="en-US"/>
              </w:rPr>
              <w:t>Decil 4</w:t>
            </w:r>
          </w:p>
        </w:tc>
        <w:tc>
          <w:tcPr>
            <w:tcW w:w="1877" w:type="dxa"/>
            <w:tcBorders>
              <w:top w:val="nil"/>
              <w:left w:val="single" w:sz="4" w:space="0" w:color="auto"/>
              <w:bottom w:val="nil"/>
              <w:right w:val="nil"/>
            </w:tcBorders>
            <w:shd w:val="clear" w:color="000000" w:fill="FFFFFF"/>
            <w:noWrap/>
            <w:vAlign w:val="bottom"/>
            <w:hideMark/>
          </w:tcPr>
          <w:p w14:paraId="0100D46F" w14:textId="3FB63D75" w:rsidR="0057639C" w:rsidRPr="0057639C" w:rsidRDefault="00E26445" w:rsidP="0057639C">
            <w:pPr>
              <w:spacing w:after="0" w:line="240" w:lineRule="auto"/>
              <w:jc w:val="center"/>
              <w:rPr>
                <w:rFonts w:cs="Arial"/>
                <w:sz w:val="22"/>
                <w:szCs w:val="22"/>
                <w:lang w:val="en-US" w:eastAsia="en-US"/>
              </w:rPr>
            </w:pPr>
            <w:r>
              <w:rPr>
                <w:rFonts w:cs="Arial"/>
                <w:sz w:val="22"/>
                <w:szCs w:val="22"/>
                <w:lang w:val="en-US" w:eastAsia="en-US"/>
              </w:rPr>
              <w:t>0.95</w:t>
            </w:r>
          </w:p>
        </w:tc>
        <w:tc>
          <w:tcPr>
            <w:tcW w:w="1877" w:type="dxa"/>
            <w:tcBorders>
              <w:top w:val="nil"/>
              <w:left w:val="nil"/>
              <w:bottom w:val="nil"/>
              <w:right w:val="nil"/>
            </w:tcBorders>
            <w:shd w:val="clear" w:color="000000" w:fill="FFFFFF"/>
            <w:noWrap/>
            <w:vAlign w:val="bottom"/>
            <w:hideMark/>
          </w:tcPr>
          <w:p w14:paraId="17E24B57" w14:textId="31C16BD1" w:rsidR="0057639C" w:rsidRPr="0057639C" w:rsidRDefault="0011031E" w:rsidP="0057639C">
            <w:pPr>
              <w:spacing w:after="0" w:line="240" w:lineRule="auto"/>
              <w:jc w:val="center"/>
              <w:rPr>
                <w:rFonts w:cs="Arial"/>
                <w:sz w:val="22"/>
                <w:szCs w:val="22"/>
                <w:lang w:val="en-US" w:eastAsia="en-US"/>
              </w:rPr>
            </w:pPr>
            <w:r>
              <w:rPr>
                <w:rFonts w:cs="Arial"/>
                <w:sz w:val="22"/>
                <w:szCs w:val="22"/>
                <w:lang w:val="en-US" w:eastAsia="en-US"/>
              </w:rPr>
              <w:t>-</w:t>
            </w:r>
            <w:r w:rsidR="0057639C" w:rsidRPr="0057639C">
              <w:rPr>
                <w:rFonts w:cs="Arial"/>
                <w:sz w:val="22"/>
                <w:szCs w:val="22"/>
                <w:lang w:val="en-US" w:eastAsia="en-US"/>
              </w:rPr>
              <w:t>0.8</w:t>
            </w:r>
            <w:r>
              <w:rPr>
                <w:rFonts w:cs="Arial"/>
                <w:sz w:val="22"/>
                <w:szCs w:val="22"/>
                <w:lang w:val="en-US" w:eastAsia="en-US"/>
              </w:rPr>
              <w:t>0</w:t>
            </w:r>
          </w:p>
        </w:tc>
      </w:tr>
      <w:tr w:rsidR="0057639C" w:rsidRPr="0057639C" w14:paraId="38381507" w14:textId="77777777" w:rsidTr="00CE2936">
        <w:trPr>
          <w:trHeight w:val="371"/>
          <w:jc w:val="center"/>
        </w:trPr>
        <w:tc>
          <w:tcPr>
            <w:tcW w:w="2050" w:type="dxa"/>
            <w:tcBorders>
              <w:top w:val="nil"/>
              <w:left w:val="nil"/>
              <w:bottom w:val="nil"/>
              <w:right w:val="nil"/>
            </w:tcBorders>
            <w:shd w:val="clear" w:color="000000" w:fill="FFFFFF"/>
            <w:noWrap/>
            <w:vAlign w:val="bottom"/>
            <w:hideMark/>
          </w:tcPr>
          <w:p w14:paraId="10B69E70" w14:textId="77777777" w:rsidR="0057639C" w:rsidRPr="0057639C" w:rsidRDefault="0057639C" w:rsidP="0057639C">
            <w:pPr>
              <w:spacing w:after="0" w:line="240" w:lineRule="auto"/>
              <w:jc w:val="center"/>
              <w:rPr>
                <w:rFonts w:cs="Arial"/>
                <w:sz w:val="22"/>
                <w:szCs w:val="22"/>
                <w:lang w:val="en-US" w:eastAsia="en-US"/>
              </w:rPr>
            </w:pPr>
            <w:r w:rsidRPr="0057639C">
              <w:rPr>
                <w:rFonts w:cs="Arial"/>
                <w:sz w:val="22"/>
                <w:szCs w:val="22"/>
                <w:lang w:val="en-US" w:eastAsia="en-US"/>
              </w:rPr>
              <w:t>Decil 5</w:t>
            </w:r>
          </w:p>
        </w:tc>
        <w:tc>
          <w:tcPr>
            <w:tcW w:w="1877" w:type="dxa"/>
            <w:tcBorders>
              <w:top w:val="nil"/>
              <w:left w:val="single" w:sz="4" w:space="0" w:color="auto"/>
              <w:bottom w:val="nil"/>
              <w:right w:val="nil"/>
            </w:tcBorders>
            <w:shd w:val="clear" w:color="000000" w:fill="FFFFFF"/>
            <w:noWrap/>
            <w:vAlign w:val="bottom"/>
            <w:hideMark/>
          </w:tcPr>
          <w:p w14:paraId="48E8E995" w14:textId="3EC6BE2E" w:rsidR="0057639C" w:rsidRPr="0057639C" w:rsidRDefault="00E26445" w:rsidP="0057639C">
            <w:pPr>
              <w:spacing w:after="0" w:line="240" w:lineRule="auto"/>
              <w:jc w:val="center"/>
              <w:rPr>
                <w:rFonts w:cs="Arial"/>
                <w:sz w:val="22"/>
                <w:szCs w:val="22"/>
                <w:lang w:val="en-US" w:eastAsia="en-US"/>
              </w:rPr>
            </w:pPr>
            <w:r>
              <w:rPr>
                <w:rFonts w:cs="Arial"/>
                <w:sz w:val="22"/>
                <w:szCs w:val="22"/>
                <w:lang w:val="en-US" w:eastAsia="en-US"/>
              </w:rPr>
              <w:t>0.99</w:t>
            </w:r>
          </w:p>
        </w:tc>
        <w:tc>
          <w:tcPr>
            <w:tcW w:w="1877" w:type="dxa"/>
            <w:tcBorders>
              <w:top w:val="nil"/>
              <w:left w:val="nil"/>
              <w:bottom w:val="nil"/>
              <w:right w:val="nil"/>
            </w:tcBorders>
            <w:shd w:val="clear" w:color="000000" w:fill="FFFFFF"/>
            <w:noWrap/>
            <w:vAlign w:val="bottom"/>
            <w:hideMark/>
          </w:tcPr>
          <w:p w14:paraId="2A55CA21" w14:textId="7A2AEF7D" w:rsidR="0057639C" w:rsidRPr="0057639C" w:rsidRDefault="0011031E" w:rsidP="0057639C">
            <w:pPr>
              <w:spacing w:after="0" w:line="240" w:lineRule="auto"/>
              <w:jc w:val="center"/>
              <w:rPr>
                <w:rFonts w:cs="Arial"/>
                <w:sz w:val="22"/>
                <w:szCs w:val="22"/>
                <w:lang w:val="en-US" w:eastAsia="en-US"/>
              </w:rPr>
            </w:pPr>
            <w:r>
              <w:rPr>
                <w:rFonts w:cs="Arial"/>
                <w:sz w:val="22"/>
                <w:szCs w:val="22"/>
                <w:lang w:val="en-US" w:eastAsia="en-US"/>
              </w:rPr>
              <w:t>-</w:t>
            </w:r>
            <w:r w:rsidR="0057639C" w:rsidRPr="0057639C">
              <w:rPr>
                <w:rFonts w:cs="Arial"/>
                <w:sz w:val="22"/>
                <w:szCs w:val="22"/>
                <w:lang w:val="en-US" w:eastAsia="en-US"/>
              </w:rPr>
              <w:t>0.</w:t>
            </w:r>
            <w:r>
              <w:rPr>
                <w:rFonts w:cs="Arial"/>
                <w:sz w:val="22"/>
                <w:szCs w:val="22"/>
                <w:lang w:val="en-US" w:eastAsia="en-US"/>
              </w:rPr>
              <w:t>92</w:t>
            </w:r>
          </w:p>
        </w:tc>
      </w:tr>
      <w:tr w:rsidR="0057639C" w:rsidRPr="0057639C" w14:paraId="132B8DA4" w14:textId="77777777" w:rsidTr="00CE2936">
        <w:trPr>
          <w:trHeight w:val="371"/>
          <w:jc w:val="center"/>
        </w:trPr>
        <w:tc>
          <w:tcPr>
            <w:tcW w:w="2050" w:type="dxa"/>
            <w:tcBorders>
              <w:top w:val="nil"/>
              <w:left w:val="nil"/>
              <w:bottom w:val="nil"/>
              <w:right w:val="nil"/>
            </w:tcBorders>
            <w:shd w:val="clear" w:color="000000" w:fill="FFFFFF"/>
            <w:noWrap/>
            <w:vAlign w:val="bottom"/>
            <w:hideMark/>
          </w:tcPr>
          <w:p w14:paraId="5A8B7A7E" w14:textId="77777777" w:rsidR="0057639C" w:rsidRPr="0057639C" w:rsidRDefault="0057639C" w:rsidP="0057639C">
            <w:pPr>
              <w:spacing w:after="0" w:line="240" w:lineRule="auto"/>
              <w:jc w:val="center"/>
              <w:rPr>
                <w:rFonts w:cs="Arial"/>
                <w:sz w:val="22"/>
                <w:szCs w:val="22"/>
                <w:lang w:val="en-US" w:eastAsia="en-US"/>
              </w:rPr>
            </w:pPr>
            <w:r w:rsidRPr="0057639C">
              <w:rPr>
                <w:rFonts w:cs="Arial"/>
                <w:sz w:val="22"/>
                <w:szCs w:val="22"/>
                <w:lang w:val="en-US" w:eastAsia="en-US"/>
              </w:rPr>
              <w:t>Decil 6</w:t>
            </w:r>
          </w:p>
        </w:tc>
        <w:tc>
          <w:tcPr>
            <w:tcW w:w="1877" w:type="dxa"/>
            <w:tcBorders>
              <w:top w:val="nil"/>
              <w:left w:val="single" w:sz="4" w:space="0" w:color="auto"/>
              <w:bottom w:val="nil"/>
              <w:right w:val="nil"/>
            </w:tcBorders>
            <w:shd w:val="clear" w:color="000000" w:fill="FFFFFF"/>
            <w:noWrap/>
            <w:vAlign w:val="bottom"/>
            <w:hideMark/>
          </w:tcPr>
          <w:p w14:paraId="33E72285" w14:textId="6D0A43A9" w:rsidR="0057639C" w:rsidRPr="0057639C" w:rsidRDefault="00E26445" w:rsidP="0057639C">
            <w:pPr>
              <w:spacing w:after="0" w:line="240" w:lineRule="auto"/>
              <w:jc w:val="center"/>
              <w:rPr>
                <w:rFonts w:cs="Arial"/>
                <w:sz w:val="22"/>
                <w:szCs w:val="22"/>
                <w:lang w:val="en-US" w:eastAsia="en-US"/>
              </w:rPr>
            </w:pPr>
            <w:r>
              <w:rPr>
                <w:rFonts w:cs="Arial"/>
                <w:sz w:val="22"/>
                <w:szCs w:val="22"/>
                <w:lang w:val="en-US" w:eastAsia="en-US"/>
              </w:rPr>
              <w:t>1.20</w:t>
            </w:r>
          </w:p>
        </w:tc>
        <w:tc>
          <w:tcPr>
            <w:tcW w:w="1877" w:type="dxa"/>
            <w:tcBorders>
              <w:top w:val="nil"/>
              <w:left w:val="nil"/>
              <w:bottom w:val="nil"/>
              <w:right w:val="nil"/>
            </w:tcBorders>
            <w:shd w:val="clear" w:color="000000" w:fill="FFFFFF"/>
            <w:noWrap/>
            <w:vAlign w:val="bottom"/>
            <w:hideMark/>
          </w:tcPr>
          <w:p w14:paraId="45240DA0" w14:textId="7265D386" w:rsidR="0057639C" w:rsidRPr="0057639C" w:rsidRDefault="0011031E" w:rsidP="0057639C">
            <w:pPr>
              <w:spacing w:after="0" w:line="240" w:lineRule="auto"/>
              <w:jc w:val="center"/>
              <w:rPr>
                <w:rFonts w:cs="Arial"/>
                <w:sz w:val="22"/>
                <w:szCs w:val="22"/>
                <w:lang w:val="en-US" w:eastAsia="en-US"/>
              </w:rPr>
            </w:pPr>
            <w:r>
              <w:rPr>
                <w:rFonts w:cs="Arial"/>
                <w:sz w:val="22"/>
                <w:szCs w:val="22"/>
                <w:lang w:val="en-US" w:eastAsia="en-US"/>
              </w:rPr>
              <w:t>-1</w:t>
            </w:r>
            <w:r w:rsidR="0057639C" w:rsidRPr="0057639C">
              <w:rPr>
                <w:rFonts w:cs="Arial"/>
                <w:sz w:val="22"/>
                <w:szCs w:val="22"/>
                <w:lang w:val="en-US" w:eastAsia="en-US"/>
              </w:rPr>
              <w:t>.2</w:t>
            </w:r>
            <w:r>
              <w:rPr>
                <w:rFonts w:cs="Arial"/>
                <w:sz w:val="22"/>
                <w:szCs w:val="22"/>
                <w:lang w:val="en-US" w:eastAsia="en-US"/>
              </w:rPr>
              <w:t>9</w:t>
            </w:r>
          </w:p>
        </w:tc>
      </w:tr>
      <w:tr w:rsidR="0057639C" w:rsidRPr="0057639C" w14:paraId="4AA157AC" w14:textId="77777777" w:rsidTr="00CE2936">
        <w:trPr>
          <w:trHeight w:val="371"/>
          <w:jc w:val="center"/>
        </w:trPr>
        <w:tc>
          <w:tcPr>
            <w:tcW w:w="2050" w:type="dxa"/>
            <w:tcBorders>
              <w:top w:val="nil"/>
              <w:left w:val="nil"/>
              <w:bottom w:val="nil"/>
              <w:right w:val="nil"/>
            </w:tcBorders>
            <w:shd w:val="clear" w:color="000000" w:fill="FFFFFF"/>
            <w:noWrap/>
            <w:vAlign w:val="bottom"/>
            <w:hideMark/>
          </w:tcPr>
          <w:p w14:paraId="08E5903E" w14:textId="77777777" w:rsidR="0057639C" w:rsidRPr="0057639C" w:rsidRDefault="0057639C" w:rsidP="0057639C">
            <w:pPr>
              <w:spacing w:after="0" w:line="240" w:lineRule="auto"/>
              <w:jc w:val="center"/>
              <w:rPr>
                <w:rFonts w:cs="Arial"/>
                <w:sz w:val="22"/>
                <w:szCs w:val="22"/>
                <w:lang w:val="en-US" w:eastAsia="en-US"/>
              </w:rPr>
            </w:pPr>
            <w:r w:rsidRPr="0057639C">
              <w:rPr>
                <w:rFonts w:cs="Arial"/>
                <w:sz w:val="22"/>
                <w:szCs w:val="22"/>
                <w:lang w:val="en-US" w:eastAsia="en-US"/>
              </w:rPr>
              <w:t>Decil 7</w:t>
            </w:r>
          </w:p>
        </w:tc>
        <w:tc>
          <w:tcPr>
            <w:tcW w:w="1877" w:type="dxa"/>
            <w:tcBorders>
              <w:top w:val="nil"/>
              <w:left w:val="single" w:sz="4" w:space="0" w:color="auto"/>
              <w:bottom w:val="nil"/>
              <w:right w:val="nil"/>
            </w:tcBorders>
            <w:shd w:val="clear" w:color="000000" w:fill="FFFFFF"/>
            <w:noWrap/>
            <w:vAlign w:val="bottom"/>
            <w:hideMark/>
          </w:tcPr>
          <w:p w14:paraId="69DB4ED2" w14:textId="1F6BD872" w:rsidR="0057639C" w:rsidRPr="0057639C" w:rsidRDefault="00E26445" w:rsidP="0057639C">
            <w:pPr>
              <w:spacing w:after="0" w:line="240" w:lineRule="auto"/>
              <w:jc w:val="center"/>
              <w:rPr>
                <w:rFonts w:cs="Arial"/>
                <w:sz w:val="22"/>
                <w:szCs w:val="22"/>
                <w:lang w:val="en-US" w:eastAsia="en-US"/>
              </w:rPr>
            </w:pPr>
            <w:r>
              <w:rPr>
                <w:rFonts w:cs="Arial"/>
                <w:sz w:val="22"/>
                <w:szCs w:val="22"/>
                <w:lang w:val="en-US" w:eastAsia="en-US"/>
              </w:rPr>
              <w:t>1.51</w:t>
            </w:r>
          </w:p>
        </w:tc>
        <w:tc>
          <w:tcPr>
            <w:tcW w:w="1877" w:type="dxa"/>
            <w:tcBorders>
              <w:top w:val="nil"/>
              <w:left w:val="nil"/>
              <w:bottom w:val="nil"/>
              <w:right w:val="nil"/>
            </w:tcBorders>
            <w:shd w:val="clear" w:color="000000" w:fill="FFFFFF"/>
            <w:noWrap/>
            <w:vAlign w:val="bottom"/>
            <w:hideMark/>
          </w:tcPr>
          <w:p w14:paraId="1D6BC640" w14:textId="6F567DFD" w:rsidR="0057639C" w:rsidRPr="0057639C" w:rsidRDefault="0011031E" w:rsidP="0057639C">
            <w:pPr>
              <w:spacing w:after="0" w:line="240" w:lineRule="auto"/>
              <w:jc w:val="center"/>
              <w:rPr>
                <w:rFonts w:cs="Arial"/>
                <w:sz w:val="22"/>
                <w:szCs w:val="22"/>
                <w:lang w:val="en-US" w:eastAsia="en-US"/>
              </w:rPr>
            </w:pPr>
            <w:r>
              <w:rPr>
                <w:rFonts w:cs="Arial"/>
                <w:sz w:val="22"/>
                <w:szCs w:val="22"/>
                <w:lang w:val="en-US" w:eastAsia="en-US"/>
              </w:rPr>
              <w:t>-1</w:t>
            </w:r>
            <w:r w:rsidR="0057639C" w:rsidRPr="0057639C">
              <w:rPr>
                <w:rFonts w:cs="Arial"/>
                <w:sz w:val="22"/>
                <w:szCs w:val="22"/>
                <w:lang w:val="en-US" w:eastAsia="en-US"/>
              </w:rPr>
              <w:t>.</w:t>
            </w:r>
            <w:r>
              <w:rPr>
                <w:rFonts w:cs="Arial"/>
                <w:sz w:val="22"/>
                <w:szCs w:val="22"/>
                <w:lang w:val="en-US" w:eastAsia="en-US"/>
              </w:rPr>
              <w:t>56</w:t>
            </w:r>
          </w:p>
        </w:tc>
      </w:tr>
      <w:tr w:rsidR="0057639C" w:rsidRPr="0057639C" w14:paraId="0181E7F3" w14:textId="77777777" w:rsidTr="00CE2936">
        <w:trPr>
          <w:trHeight w:val="371"/>
          <w:jc w:val="center"/>
        </w:trPr>
        <w:tc>
          <w:tcPr>
            <w:tcW w:w="2050" w:type="dxa"/>
            <w:tcBorders>
              <w:top w:val="nil"/>
              <w:left w:val="nil"/>
              <w:bottom w:val="nil"/>
              <w:right w:val="nil"/>
            </w:tcBorders>
            <w:shd w:val="clear" w:color="000000" w:fill="FFFFFF"/>
            <w:noWrap/>
            <w:vAlign w:val="bottom"/>
            <w:hideMark/>
          </w:tcPr>
          <w:p w14:paraId="2AAD33D5" w14:textId="77777777" w:rsidR="0057639C" w:rsidRPr="0057639C" w:rsidRDefault="0057639C" w:rsidP="0057639C">
            <w:pPr>
              <w:spacing w:after="0" w:line="240" w:lineRule="auto"/>
              <w:jc w:val="center"/>
              <w:rPr>
                <w:rFonts w:cs="Arial"/>
                <w:sz w:val="22"/>
                <w:szCs w:val="22"/>
                <w:lang w:val="en-US" w:eastAsia="en-US"/>
              </w:rPr>
            </w:pPr>
            <w:r w:rsidRPr="0057639C">
              <w:rPr>
                <w:rFonts w:cs="Arial"/>
                <w:sz w:val="22"/>
                <w:szCs w:val="22"/>
                <w:lang w:val="en-US" w:eastAsia="en-US"/>
              </w:rPr>
              <w:t>Decil 8</w:t>
            </w:r>
          </w:p>
        </w:tc>
        <w:tc>
          <w:tcPr>
            <w:tcW w:w="1877" w:type="dxa"/>
            <w:tcBorders>
              <w:top w:val="nil"/>
              <w:left w:val="single" w:sz="4" w:space="0" w:color="auto"/>
              <w:bottom w:val="nil"/>
              <w:right w:val="nil"/>
            </w:tcBorders>
            <w:shd w:val="clear" w:color="000000" w:fill="FFFFFF"/>
            <w:noWrap/>
            <w:vAlign w:val="bottom"/>
            <w:hideMark/>
          </w:tcPr>
          <w:p w14:paraId="51AA3DC2" w14:textId="74BF458A" w:rsidR="0057639C" w:rsidRPr="0057639C" w:rsidRDefault="00E26445" w:rsidP="0057639C">
            <w:pPr>
              <w:spacing w:after="0" w:line="240" w:lineRule="auto"/>
              <w:jc w:val="center"/>
              <w:rPr>
                <w:rFonts w:cs="Arial"/>
                <w:sz w:val="22"/>
                <w:szCs w:val="22"/>
                <w:lang w:val="en-US" w:eastAsia="en-US"/>
              </w:rPr>
            </w:pPr>
            <w:r>
              <w:rPr>
                <w:rFonts w:cs="Arial"/>
                <w:sz w:val="22"/>
                <w:szCs w:val="22"/>
                <w:lang w:val="en-US" w:eastAsia="en-US"/>
              </w:rPr>
              <w:t>1.96</w:t>
            </w:r>
          </w:p>
        </w:tc>
        <w:tc>
          <w:tcPr>
            <w:tcW w:w="1877" w:type="dxa"/>
            <w:tcBorders>
              <w:top w:val="nil"/>
              <w:left w:val="nil"/>
              <w:bottom w:val="nil"/>
              <w:right w:val="nil"/>
            </w:tcBorders>
            <w:shd w:val="clear" w:color="000000" w:fill="FFFFFF"/>
            <w:noWrap/>
            <w:vAlign w:val="bottom"/>
            <w:hideMark/>
          </w:tcPr>
          <w:p w14:paraId="0B100AFB" w14:textId="38970042" w:rsidR="0057639C" w:rsidRPr="0057639C" w:rsidRDefault="0011031E" w:rsidP="0057639C">
            <w:pPr>
              <w:spacing w:after="0" w:line="240" w:lineRule="auto"/>
              <w:jc w:val="center"/>
              <w:rPr>
                <w:rFonts w:cs="Arial"/>
                <w:sz w:val="22"/>
                <w:szCs w:val="22"/>
                <w:lang w:val="en-US" w:eastAsia="en-US"/>
              </w:rPr>
            </w:pPr>
            <w:r>
              <w:rPr>
                <w:rFonts w:cs="Arial"/>
                <w:sz w:val="22"/>
                <w:szCs w:val="22"/>
                <w:lang w:val="en-US" w:eastAsia="en-US"/>
              </w:rPr>
              <w:t>-1</w:t>
            </w:r>
            <w:r w:rsidR="0057639C" w:rsidRPr="0057639C">
              <w:rPr>
                <w:rFonts w:cs="Arial"/>
                <w:sz w:val="22"/>
                <w:szCs w:val="22"/>
                <w:lang w:val="en-US" w:eastAsia="en-US"/>
              </w:rPr>
              <w:t>.</w:t>
            </w:r>
            <w:r>
              <w:rPr>
                <w:rFonts w:cs="Arial"/>
                <w:sz w:val="22"/>
                <w:szCs w:val="22"/>
                <w:lang w:val="en-US" w:eastAsia="en-US"/>
              </w:rPr>
              <w:t>78</w:t>
            </w:r>
          </w:p>
        </w:tc>
      </w:tr>
      <w:tr w:rsidR="0057639C" w:rsidRPr="0057639C" w14:paraId="738FC7FC" w14:textId="77777777" w:rsidTr="00CE2936">
        <w:trPr>
          <w:trHeight w:val="371"/>
          <w:jc w:val="center"/>
        </w:trPr>
        <w:tc>
          <w:tcPr>
            <w:tcW w:w="2050" w:type="dxa"/>
            <w:tcBorders>
              <w:top w:val="nil"/>
              <w:left w:val="nil"/>
              <w:right w:val="nil"/>
            </w:tcBorders>
            <w:shd w:val="clear" w:color="000000" w:fill="FFFFFF"/>
            <w:noWrap/>
            <w:vAlign w:val="bottom"/>
            <w:hideMark/>
          </w:tcPr>
          <w:p w14:paraId="6FAC018F" w14:textId="77777777" w:rsidR="0057639C" w:rsidRPr="0057639C" w:rsidRDefault="0057639C" w:rsidP="0057639C">
            <w:pPr>
              <w:spacing w:after="0" w:line="240" w:lineRule="auto"/>
              <w:jc w:val="center"/>
              <w:rPr>
                <w:rFonts w:cs="Arial"/>
                <w:sz w:val="22"/>
                <w:szCs w:val="22"/>
                <w:lang w:val="en-US" w:eastAsia="en-US"/>
              </w:rPr>
            </w:pPr>
            <w:r w:rsidRPr="0057639C">
              <w:rPr>
                <w:rFonts w:cs="Arial"/>
                <w:sz w:val="22"/>
                <w:szCs w:val="22"/>
                <w:lang w:val="en-US" w:eastAsia="en-US"/>
              </w:rPr>
              <w:t>Decil 9</w:t>
            </w:r>
          </w:p>
        </w:tc>
        <w:tc>
          <w:tcPr>
            <w:tcW w:w="1877" w:type="dxa"/>
            <w:tcBorders>
              <w:top w:val="nil"/>
              <w:left w:val="single" w:sz="4" w:space="0" w:color="auto"/>
              <w:bottom w:val="nil"/>
              <w:right w:val="nil"/>
            </w:tcBorders>
            <w:shd w:val="clear" w:color="000000" w:fill="FFFFFF"/>
            <w:noWrap/>
            <w:vAlign w:val="bottom"/>
            <w:hideMark/>
          </w:tcPr>
          <w:p w14:paraId="34C4B234" w14:textId="4AD54899" w:rsidR="0057639C" w:rsidRPr="0057639C" w:rsidRDefault="00E26445" w:rsidP="0057639C">
            <w:pPr>
              <w:spacing w:after="0" w:line="240" w:lineRule="auto"/>
              <w:jc w:val="center"/>
              <w:rPr>
                <w:rFonts w:cs="Arial"/>
                <w:sz w:val="22"/>
                <w:szCs w:val="22"/>
                <w:lang w:val="en-US" w:eastAsia="en-US"/>
              </w:rPr>
            </w:pPr>
            <w:r>
              <w:rPr>
                <w:rFonts w:cs="Arial"/>
                <w:sz w:val="22"/>
                <w:szCs w:val="22"/>
                <w:lang w:val="en-US" w:eastAsia="en-US"/>
              </w:rPr>
              <w:t>2.97</w:t>
            </w:r>
          </w:p>
        </w:tc>
        <w:tc>
          <w:tcPr>
            <w:tcW w:w="1877" w:type="dxa"/>
            <w:tcBorders>
              <w:top w:val="nil"/>
              <w:left w:val="nil"/>
              <w:bottom w:val="nil"/>
              <w:right w:val="nil"/>
            </w:tcBorders>
            <w:shd w:val="clear" w:color="000000" w:fill="FFFFFF"/>
            <w:noWrap/>
            <w:vAlign w:val="bottom"/>
            <w:hideMark/>
          </w:tcPr>
          <w:p w14:paraId="78F53F71" w14:textId="22729CB7" w:rsidR="0057639C" w:rsidRPr="0057639C" w:rsidRDefault="0011031E" w:rsidP="0057639C">
            <w:pPr>
              <w:spacing w:after="0" w:line="240" w:lineRule="auto"/>
              <w:jc w:val="center"/>
              <w:rPr>
                <w:rFonts w:cs="Arial"/>
                <w:sz w:val="22"/>
                <w:szCs w:val="22"/>
                <w:lang w:val="en-US" w:eastAsia="en-US"/>
              </w:rPr>
            </w:pPr>
            <w:r>
              <w:rPr>
                <w:rFonts w:cs="Arial"/>
                <w:sz w:val="22"/>
                <w:szCs w:val="22"/>
                <w:lang w:val="en-US" w:eastAsia="en-US"/>
              </w:rPr>
              <w:t>-2</w:t>
            </w:r>
            <w:r w:rsidR="0057639C" w:rsidRPr="0057639C">
              <w:rPr>
                <w:rFonts w:cs="Arial"/>
                <w:sz w:val="22"/>
                <w:szCs w:val="22"/>
                <w:lang w:val="en-US" w:eastAsia="en-US"/>
              </w:rPr>
              <w:t>.</w:t>
            </w:r>
            <w:r>
              <w:rPr>
                <w:rFonts w:cs="Arial"/>
                <w:sz w:val="22"/>
                <w:szCs w:val="22"/>
                <w:lang w:val="en-US" w:eastAsia="en-US"/>
              </w:rPr>
              <w:t>44</w:t>
            </w:r>
          </w:p>
        </w:tc>
      </w:tr>
      <w:tr w:rsidR="0057639C" w:rsidRPr="0057639C" w14:paraId="3FC5C561" w14:textId="77777777" w:rsidTr="00CE2936">
        <w:trPr>
          <w:trHeight w:val="384"/>
          <w:jc w:val="center"/>
        </w:trPr>
        <w:tc>
          <w:tcPr>
            <w:tcW w:w="2050" w:type="dxa"/>
            <w:tcBorders>
              <w:top w:val="nil"/>
              <w:left w:val="nil"/>
              <w:bottom w:val="single" w:sz="4" w:space="0" w:color="auto"/>
              <w:right w:val="nil"/>
            </w:tcBorders>
            <w:shd w:val="clear" w:color="000000" w:fill="FFFFFF"/>
            <w:noWrap/>
            <w:vAlign w:val="bottom"/>
            <w:hideMark/>
          </w:tcPr>
          <w:p w14:paraId="6DF80B26" w14:textId="77777777" w:rsidR="0057639C" w:rsidRPr="0057639C" w:rsidRDefault="0057639C" w:rsidP="0057639C">
            <w:pPr>
              <w:spacing w:after="0" w:line="240" w:lineRule="auto"/>
              <w:jc w:val="center"/>
              <w:rPr>
                <w:rFonts w:cs="Arial"/>
                <w:sz w:val="22"/>
                <w:szCs w:val="22"/>
                <w:lang w:val="en-US" w:eastAsia="en-US"/>
              </w:rPr>
            </w:pPr>
            <w:r w:rsidRPr="0057639C">
              <w:rPr>
                <w:rFonts w:cs="Arial"/>
                <w:sz w:val="22"/>
                <w:szCs w:val="22"/>
                <w:lang w:val="en-US" w:eastAsia="en-US"/>
              </w:rPr>
              <w:t>Decil 10</w:t>
            </w:r>
          </w:p>
        </w:tc>
        <w:tc>
          <w:tcPr>
            <w:tcW w:w="1877" w:type="dxa"/>
            <w:tcBorders>
              <w:top w:val="nil"/>
              <w:left w:val="single" w:sz="4" w:space="0" w:color="auto"/>
              <w:bottom w:val="single" w:sz="4" w:space="0" w:color="auto"/>
              <w:right w:val="nil"/>
            </w:tcBorders>
            <w:shd w:val="clear" w:color="000000" w:fill="FFFFFF"/>
            <w:noWrap/>
            <w:vAlign w:val="bottom"/>
            <w:hideMark/>
          </w:tcPr>
          <w:p w14:paraId="5FD0B3B4" w14:textId="21161E85" w:rsidR="0057639C" w:rsidRPr="0057639C" w:rsidRDefault="00E26445" w:rsidP="0057639C">
            <w:pPr>
              <w:spacing w:after="0" w:line="240" w:lineRule="auto"/>
              <w:jc w:val="center"/>
              <w:rPr>
                <w:rFonts w:cs="Arial"/>
                <w:sz w:val="22"/>
                <w:szCs w:val="22"/>
                <w:lang w:val="en-US" w:eastAsia="en-US"/>
              </w:rPr>
            </w:pPr>
            <w:r>
              <w:rPr>
                <w:rFonts w:cs="Arial"/>
                <w:sz w:val="22"/>
                <w:szCs w:val="22"/>
                <w:lang w:val="en-US" w:eastAsia="en-US"/>
              </w:rPr>
              <w:t>8.00</w:t>
            </w:r>
          </w:p>
        </w:tc>
        <w:tc>
          <w:tcPr>
            <w:tcW w:w="1877" w:type="dxa"/>
            <w:tcBorders>
              <w:top w:val="nil"/>
              <w:left w:val="nil"/>
              <w:bottom w:val="single" w:sz="4" w:space="0" w:color="auto"/>
              <w:right w:val="nil"/>
            </w:tcBorders>
            <w:shd w:val="clear" w:color="000000" w:fill="FFFFFF"/>
            <w:noWrap/>
            <w:vAlign w:val="bottom"/>
            <w:hideMark/>
          </w:tcPr>
          <w:p w14:paraId="648AE6D1" w14:textId="65047FBB" w:rsidR="0057639C" w:rsidRPr="0057639C" w:rsidRDefault="0011031E" w:rsidP="0057639C">
            <w:pPr>
              <w:spacing w:after="0" w:line="240" w:lineRule="auto"/>
              <w:jc w:val="center"/>
              <w:rPr>
                <w:rFonts w:cs="Arial"/>
                <w:sz w:val="22"/>
                <w:szCs w:val="22"/>
                <w:lang w:val="en-US" w:eastAsia="en-US"/>
              </w:rPr>
            </w:pPr>
            <w:r>
              <w:rPr>
                <w:rFonts w:cs="Arial"/>
                <w:sz w:val="22"/>
                <w:szCs w:val="22"/>
                <w:lang w:val="en-US" w:eastAsia="en-US"/>
              </w:rPr>
              <w:t>4</w:t>
            </w:r>
            <w:r w:rsidR="0057639C" w:rsidRPr="0057639C">
              <w:rPr>
                <w:rFonts w:cs="Arial"/>
                <w:sz w:val="22"/>
                <w:szCs w:val="22"/>
                <w:lang w:val="en-US" w:eastAsia="en-US"/>
              </w:rPr>
              <w:t>.</w:t>
            </w:r>
            <w:r>
              <w:rPr>
                <w:rFonts w:cs="Arial"/>
                <w:sz w:val="22"/>
                <w:szCs w:val="22"/>
                <w:lang w:val="en-US" w:eastAsia="en-US"/>
              </w:rPr>
              <w:t>61</w:t>
            </w:r>
          </w:p>
        </w:tc>
      </w:tr>
    </w:tbl>
    <w:p w14:paraId="3568D93C" w14:textId="77777777" w:rsidR="000371FF" w:rsidRDefault="000371FF" w:rsidP="000371FF">
      <w:pPr>
        <w:rPr>
          <w:rFonts w:eastAsiaTheme="minorHAnsi" w:cs="Arial"/>
          <w:sz w:val="18"/>
          <w:szCs w:val="20"/>
        </w:rPr>
      </w:pPr>
      <w:r w:rsidRPr="009161F1">
        <w:rPr>
          <w:rFonts w:eastAsiaTheme="minorHAnsi" w:cs="Arial"/>
          <w:sz w:val="18"/>
          <w:szCs w:val="20"/>
        </w:rPr>
        <w:t>Fuente: elaboración propia</w:t>
      </w:r>
      <w:r>
        <w:rPr>
          <w:rFonts w:eastAsiaTheme="minorHAnsi" w:cs="Arial"/>
          <w:sz w:val="18"/>
          <w:szCs w:val="20"/>
        </w:rPr>
        <w:t>.</w:t>
      </w:r>
    </w:p>
    <w:p w14:paraId="0491804F" w14:textId="6471E57B" w:rsidR="0057639C" w:rsidRDefault="00F97705" w:rsidP="00F97705">
      <w:pPr>
        <w:spacing w:line="240" w:lineRule="auto"/>
      </w:pPr>
      <w:r>
        <w:t xml:space="preserve">Por el lado de la producción local, </w:t>
      </w:r>
      <w:r w:rsidR="000F078C">
        <w:t>el 71% d</w:t>
      </w:r>
      <w:r>
        <w:t>e los bienes y servicios presentan un incremento en su producción para ambos escenarios</w:t>
      </w:r>
      <w:r w:rsidR="00DC6053">
        <w:t xml:space="preserve">, como se </w:t>
      </w:r>
      <w:r w:rsidR="004B67A8">
        <w:t>denota</w:t>
      </w:r>
      <w:r w:rsidR="00DC6053">
        <w:t xml:space="preserve"> en la </w:t>
      </w:r>
      <w:r w:rsidR="00DC6053">
        <w:fldChar w:fldCharType="begin"/>
      </w:r>
      <w:r w:rsidR="00DC6053">
        <w:instrText xml:space="preserve"> REF _Ref526928975 \h </w:instrText>
      </w:r>
      <w:r w:rsidR="00DC6053" w:rsidRPr="00DC6053">
        <w:instrText xml:space="preserve">\* </w:instrText>
      </w:r>
      <w:r w:rsidR="00DC6053">
        <w:instrText xml:space="preserve">lower </w:instrText>
      </w:r>
      <w:r w:rsidR="00DC6053">
        <w:fldChar w:fldCharType="separate"/>
      </w:r>
      <w:r w:rsidR="00A95E32">
        <w:t xml:space="preserve">figura </w:t>
      </w:r>
      <w:r w:rsidR="00A95E32">
        <w:rPr>
          <w:noProof/>
        </w:rPr>
        <w:t>16</w:t>
      </w:r>
      <w:r w:rsidR="00DC6053">
        <w:fldChar w:fldCharType="end"/>
      </w:r>
      <w:r>
        <w:t xml:space="preserve">. </w:t>
      </w:r>
      <w:r w:rsidR="007A4F80">
        <w:t>Sin embargo,</w:t>
      </w:r>
      <w:r w:rsidR="006461DA">
        <w:t xml:space="preserve"> existe</w:t>
      </w:r>
      <w:r w:rsidR="00BD4CDA">
        <w:t xml:space="preserve"> una dis</w:t>
      </w:r>
      <w:r w:rsidR="00943390">
        <w:t xml:space="preserve">minución importante </w:t>
      </w:r>
      <w:r w:rsidR="002621FC">
        <w:t xml:space="preserve">en el escenario 3 </w:t>
      </w:r>
      <w:r w:rsidR="006461DA">
        <w:t xml:space="preserve">en la producción </w:t>
      </w:r>
      <w:r w:rsidR="006461DA">
        <w:lastRenderedPageBreak/>
        <w:t xml:space="preserve">de </w:t>
      </w:r>
      <w:r w:rsidR="00943390">
        <w:t xml:space="preserve">ciertos </w:t>
      </w:r>
      <w:r w:rsidR="006461DA">
        <w:t>servicios</w:t>
      </w:r>
      <w:r w:rsidR="00943390">
        <w:t>, como: educación, salud, finanzas</w:t>
      </w:r>
      <w:r w:rsidR="008F048A">
        <w:t xml:space="preserve"> decreciendo menos del 5% </w:t>
      </w:r>
      <w:r w:rsidR="00FC40E5">
        <w:t>y</w:t>
      </w:r>
      <w:r w:rsidR="00943390">
        <w:t xml:space="preserve"> servicios </w:t>
      </w:r>
      <w:r w:rsidR="002621FC">
        <w:t>domésticos</w:t>
      </w:r>
      <w:r w:rsidR="008F048A">
        <w:t xml:space="preserve"> </w:t>
      </w:r>
      <w:r w:rsidR="002F29C1">
        <w:t xml:space="preserve">el cual decrece </w:t>
      </w:r>
      <w:r w:rsidR="000F078C">
        <w:t>9</w:t>
      </w:r>
      <w:r w:rsidR="002F29C1">
        <w:t>%</w:t>
      </w:r>
      <w:r w:rsidR="00943390">
        <w:t xml:space="preserve">, esto se debe </w:t>
      </w:r>
      <w:r w:rsidR="00EC3035">
        <w:t xml:space="preserve">al aumento </w:t>
      </w:r>
      <w:r w:rsidR="002F29C1">
        <w:t>en</w:t>
      </w:r>
      <w:r w:rsidR="00EC3035">
        <w:t xml:space="preserve"> la base impositiva.</w:t>
      </w:r>
      <w:r w:rsidR="002F29C1">
        <w:t xml:space="preserve"> También </w:t>
      </w:r>
      <w:r w:rsidR="00CF7A15">
        <w:t>sucede</w:t>
      </w:r>
      <w:r w:rsidR="000F078C">
        <w:t xml:space="preserve"> un</w:t>
      </w:r>
      <w:r w:rsidR="00CF7A15">
        <w:t xml:space="preserve"> decrecimiento significativos </w:t>
      </w:r>
      <w:r w:rsidR="000F078C">
        <w:t>en</w:t>
      </w:r>
      <w:r w:rsidR="00CF7A15">
        <w:t xml:space="preserve"> café </w:t>
      </w:r>
      <w:r w:rsidR="00FE4956">
        <w:t>siendo mayor al 5%</w:t>
      </w:r>
      <w:r w:rsidR="00651214">
        <w:t>,</w:t>
      </w:r>
      <w:r w:rsidR="00FE4956">
        <w:t xml:space="preserve"> la explicación </w:t>
      </w:r>
      <w:r w:rsidR="00D92CDC">
        <w:t>para el café se debe a un aumento en la tasa efectiva</w:t>
      </w:r>
      <w:r w:rsidR="000F078C">
        <w:t>.</w:t>
      </w:r>
    </w:p>
    <w:p w14:paraId="7A3FE012" w14:textId="4C57E917" w:rsidR="000371FF" w:rsidRDefault="00B41812" w:rsidP="00A700B2">
      <w:pPr>
        <w:spacing w:line="240" w:lineRule="auto"/>
      </w:pPr>
      <w:r>
        <w:t xml:space="preserve">Para la simulación </w:t>
      </w:r>
      <w:r w:rsidR="007C2A24">
        <w:t>5</w:t>
      </w:r>
      <w:r w:rsidR="00221E60">
        <w:t xml:space="preserve"> la producción de</w:t>
      </w:r>
      <w:r w:rsidR="0088798A">
        <w:t>crece en:</w:t>
      </w:r>
      <w:r w:rsidR="00221E60">
        <w:t xml:space="preserve"> </w:t>
      </w:r>
      <w:r w:rsidR="00446F17">
        <w:t>café</w:t>
      </w:r>
      <w:r w:rsidR="00A0593D">
        <w:t xml:space="preserve">, </w:t>
      </w:r>
      <w:r w:rsidR="00446F17">
        <w:t>silvicultura, educación, salud, finanzas, administración pública</w:t>
      </w:r>
      <w:r w:rsidR="0088798A">
        <w:t xml:space="preserve">. </w:t>
      </w:r>
      <w:r w:rsidR="00D61810">
        <w:t xml:space="preserve">Básicamente esto se explica a que </w:t>
      </w:r>
      <w:r w:rsidR="003160CF">
        <w:t>la producción</w:t>
      </w:r>
      <w:r w:rsidR="00ED5558">
        <w:t xml:space="preserve"> de los bienes previos</w:t>
      </w:r>
      <w:r w:rsidR="003160CF">
        <w:t xml:space="preserve"> tiene un componente importante en la inversión, la cual se ve frenada al simular un mayor impuesto sobre la renta</w:t>
      </w:r>
      <w:r w:rsidR="00B53BCA">
        <w:t>.</w:t>
      </w:r>
      <w:r w:rsidR="00155E22">
        <w:t xml:space="preserve"> Mientras que los productos y servicios como: alimentos, agricultura, bebidas alcohólicas y tabaco, comunicación,</w:t>
      </w:r>
      <w:r w:rsidR="00B24806">
        <w:t xml:space="preserve"> pesca</w:t>
      </w:r>
      <w:r w:rsidR="00962095">
        <w:t>, hoteles y restaurantes, electricidad</w:t>
      </w:r>
      <w:r w:rsidR="00A700B2">
        <w:t xml:space="preserve"> y</w:t>
      </w:r>
      <w:r w:rsidR="00962095">
        <w:t xml:space="preserve"> textiles</w:t>
      </w:r>
      <w:r w:rsidR="00A700B2">
        <w:t xml:space="preserve"> muestran un crecimiento en la producción</w:t>
      </w:r>
      <w:r w:rsidR="004A6AAA">
        <w:t>.</w:t>
      </w:r>
    </w:p>
    <w:p w14:paraId="41FA854D" w14:textId="4AC5D27E" w:rsidR="008E01C3" w:rsidRDefault="008E01C3" w:rsidP="008E01C3">
      <w:pPr>
        <w:pStyle w:val="Caption"/>
      </w:pPr>
      <w:bookmarkStart w:id="190" w:name="_Ref526928975"/>
      <w:bookmarkStart w:id="191" w:name="_Toc2853733"/>
      <w:r>
        <w:t xml:space="preserve">Figura </w:t>
      </w:r>
      <w:r>
        <w:fldChar w:fldCharType="begin"/>
      </w:r>
      <w:r>
        <w:instrText xml:space="preserve"> SEQ Figura \* ARABIC </w:instrText>
      </w:r>
      <w:r>
        <w:fldChar w:fldCharType="separate"/>
      </w:r>
      <w:r w:rsidR="00A95E32">
        <w:rPr>
          <w:noProof/>
        </w:rPr>
        <w:t>16</w:t>
      </w:r>
      <w:r>
        <w:fldChar w:fldCharType="end"/>
      </w:r>
      <w:bookmarkEnd w:id="190"/>
      <w:r>
        <w:t xml:space="preserve"> </w:t>
      </w:r>
      <w:r>
        <w:br/>
        <w:t>Cambio porcentual respecto al escenario base, en la producción de bienes y servicios</w:t>
      </w:r>
      <w:bookmarkEnd w:id="191"/>
    </w:p>
    <w:p w14:paraId="6EBD085E" w14:textId="730020A8" w:rsidR="00946EEF" w:rsidRDefault="00946EEF" w:rsidP="002C23D0">
      <w:pPr>
        <w:rPr>
          <w:noProof/>
        </w:rPr>
      </w:pPr>
      <w:r>
        <w:rPr>
          <w:noProof/>
        </w:rPr>
        <mc:AlternateContent>
          <mc:Choice Requires="cx1">
            <w:drawing>
              <wp:inline distT="0" distB="0" distL="0" distR="0" wp14:anchorId="66F1B1BC" wp14:editId="717E517D">
                <wp:extent cx="5731510" cy="5320030"/>
                <wp:effectExtent l="0" t="0" r="2540" b="13970"/>
                <wp:docPr id="18" name="Chart 18">
                  <a:extLst xmlns:a="http://schemas.openxmlformats.org/drawingml/2006/main">
                    <a:ext uri="{FF2B5EF4-FFF2-40B4-BE49-F238E27FC236}">
                      <a16:creationId xmlns:a16="http://schemas.microsoft.com/office/drawing/2014/main" id="{D0FCEEE2-8E03-45A3-9684-4A3430D0DC84}"/>
                    </a:ext>
                  </a:extLst>
                </wp:docPr>
                <wp:cNvGraphicFramePr/>
                <a:graphic xmlns:a="http://schemas.openxmlformats.org/drawingml/2006/main">
                  <a:graphicData uri="http://schemas.microsoft.com/office/drawing/2014/chartex">
                    <cx:chart xmlns:cx="http://schemas.microsoft.com/office/drawing/2014/chartex" xmlns:r="http://schemas.openxmlformats.org/officeDocument/2006/relationships" r:id="rId965"/>
                  </a:graphicData>
                </a:graphic>
              </wp:inline>
            </w:drawing>
          </mc:Choice>
          <mc:Fallback>
            <w:drawing>
              <wp:inline distT="0" distB="0" distL="0" distR="0" wp14:anchorId="66F1B1BC" wp14:editId="717E517D">
                <wp:extent cx="5731510" cy="5320030"/>
                <wp:effectExtent l="0" t="0" r="2540" b="13970"/>
                <wp:docPr id="18" name="Chart 18">
                  <a:extLst xmlns:a="http://schemas.openxmlformats.org/drawingml/2006/main">
                    <a:ext uri="{FF2B5EF4-FFF2-40B4-BE49-F238E27FC236}">
                      <a16:creationId xmlns:a16="http://schemas.microsoft.com/office/drawing/2014/main" id="{D0FCEEE2-8E03-45A3-9684-4A3430D0DC84}"/>
                    </a:ext>
                  </a:extLst>
                </wp:docPr>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18" name="Chart 18">
                          <a:extLst>
                            <a:ext uri="{FF2B5EF4-FFF2-40B4-BE49-F238E27FC236}">
                              <a16:creationId xmlns:a16="http://schemas.microsoft.com/office/drawing/2014/main" id="{D0FCEEE2-8E03-45A3-9684-4A3430D0DC84}"/>
                            </a:ext>
                          </a:extLst>
                        </pic:cNvPr>
                        <pic:cNvPicPr>
                          <a:picLocks noGrp="1" noRot="1" noChangeAspect="1" noMove="1" noResize="1" noEditPoints="1" noAdjustHandles="1" noChangeArrowheads="1" noChangeShapeType="1"/>
                        </pic:cNvPicPr>
                      </pic:nvPicPr>
                      <pic:blipFill>
                        <a:blip r:embed="rId966"/>
                        <a:stretch>
                          <a:fillRect/>
                        </a:stretch>
                      </pic:blipFill>
                      <pic:spPr>
                        <a:xfrm>
                          <a:off x="0" y="0"/>
                          <a:ext cx="5731510" cy="5320030"/>
                        </a:xfrm>
                        <a:prstGeom prst="rect">
                          <a:avLst/>
                        </a:prstGeom>
                      </pic:spPr>
                    </pic:pic>
                  </a:graphicData>
                </a:graphic>
              </wp:inline>
            </w:drawing>
          </mc:Fallback>
        </mc:AlternateContent>
      </w:r>
    </w:p>
    <w:p w14:paraId="07B25EB2" w14:textId="48292D56" w:rsidR="002C23D0" w:rsidRPr="002621FC" w:rsidRDefault="002C23D0" w:rsidP="002C23D0">
      <w:r w:rsidRPr="002C23D0">
        <w:rPr>
          <w:rFonts w:eastAsiaTheme="minorHAnsi"/>
          <w:sz w:val="18"/>
        </w:rPr>
        <w:t>Fuente: elaboración propia.</w:t>
      </w:r>
    </w:p>
    <w:p w14:paraId="7C8D6FB4" w14:textId="0077A56B" w:rsidR="00922F71" w:rsidRDefault="00922F71" w:rsidP="007A6967">
      <w:pPr>
        <w:spacing w:line="240" w:lineRule="auto"/>
      </w:pPr>
      <w:r>
        <w:lastRenderedPageBreak/>
        <w:t>Cuando se comparan los escenarios por medio del producto interno bruto</w:t>
      </w:r>
      <w:r w:rsidR="00DD2169">
        <w:t>,</w:t>
      </w:r>
      <w:r>
        <w:t xml:space="preserve"> como se muestra en la </w:t>
      </w:r>
      <w:r w:rsidR="00DD2169">
        <w:fldChar w:fldCharType="begin"/>
      </w:r>
      <w:r w:rsidR="00DD2169">
        <w:instrText xml:space="preserve"> REF _Ref527220637 \h \* lower </w:instrText>
      </w:r>
      <w:r w:rsidR="00DD2169">
        <w:fldChar w:fldCharType="separate"/>
      </w:r>
      <w:r w:rsidR="00A95E32">
        <w:t xml:space="preserve">tabla </w:t>
      </w:r>
      <w:r w:rsidR="00A95E32">
        <w:rPr>
          <w:noProof/>
        </w:rPr>
        <w:t>26</w:t>
      </w:r>
      <w:r w:rsidR="00DD2169">
        <w:fldChar w:fldCharType="end"/>
      </w:r>
      <w:r w:rsidR="00DD2169">
        <w:t xml:space="preserve">, </w:t>
      </w:r>
      <w:r w:rsidR="00E727E7">
        <w:t>se</w:t>
      </w:r>
      <w:r w:rsidR="00DD2169">
        <w:t xml:space="preserve"> observa que para el corto plazo el impacto del cambio en la estructura tributaria tiene un</w:t>
      </w:r>
      <w:r w:rsidR="003519AB">
        <w:t xml:space="preserve"> fuerte</w:t>
      </w:r>
      <w:r w:rsidR="00DD2169">
        <w:t xml:space="preserve"> impacto </w:t>
      </w:r>
      <w:r w:rsidR="003519AB">
        <w:t xml:space="preserve">positivo, con un crecimiento del producto en 3.4%, esto motivado por los cambios en la producción </w:t>
      </w:r>
      <w:r w:rsidR="003C1541">
        <w:t>que se mostraron en el gráfico</w:t>
      </w:r>
      <w:r w:rsidR="00E727E7">
        <w:t xml:space="preserve"> previo</w:t>
      </w:r>
      <w:r w:rsidR="003C1541">
        <w:t xml:space="preserve">, compensando de esta manera los cambios </w:t>
      </w:r>
      <w:r w:rsidR="00855074">
        <w:t>en la</w:t>
      </w:r>
      <w:r w:rsidR="003C1541">
        <w:t xml:space="preserve"> inversión p</w:t>
      </w:r>
      <w:r w:rsidR="005E1D7D">
        <w:t>ropiciados ante el cambio de esquema</w:t>
      </w:r>
      <w:r w:rsidR="00E727E7">
        <w:t xml:space="preserve"> tributario</w:t>
      </w:r>
      <w:r w:rsidR="005E1D7D">
        <w:t>. En el largo plazo se muestra un crecimiento del producto en 1.4%</w:t>
      </w:r>
      <w:r w:rsidR="00855074">
        <w:t xml:space="preserve"> para la simulación 5 y 1.3% en la simulación 3</w:t>
      </w:r>
      <w:r w:rsidR="005E1D7D">
        <w:t xml:space="preserve">, evidenciando que </w:t>
      </w:r>
      <w:r w:rsidR="007A6967">
        <w:t xml:space="preserve">en el estado estacionario el producto mejoraría </w:t>
      </w:r>
      <w:r w:rsidR="00855074">
        <w:t>en ambas propuestas, pero el costo en corto plazo es mayor en términos de producción al generalizar el IVA.</w:t>
      </w:r>
    </w:p>
    <w:p w14:paraId="6B0EEB17" w14:textId="4998C32A" w:rsidR="00DD2169" w:rsidRDefault="00DD2169" w:rsidP="00DD2169">
      <w:pPr>
        <w:pStyle w:val="Caption"/>
      </w:pPr>
      <w:bookmarkStart w:id="192" w:name="_Ref527220637"/>
      <w:bookmarkStart w:id="193" w:name="_Ref527220623"/>
      <w:bookmarkStart w:id="194" w:name="_Toc2853716"/>
      <w:r>
        <w:t xml:space="preserve">Tabla </w:t>
      </w:r>
      <w:r>
        <w:fldChar w:fldCharType="begin"/>
      </w:r>
      <w:r>
        <w:instrText xml:space="preserve"> SEQ Tabla \* ARABIC </w:instrText>
      </w:r>
      <w:r>
        <w:fldChar w:fldCharType="separate"/>
      </w:r>
      <w:r w:rsidR="00A95E32">
        <w:rPr>
          <w:noProof/>
        </w:rPr>
        <w:t>26</w:t>
      </w:r>
      <w:r>
        <w:fldChar w:fldCharType="end"/>
      </w:r>
      <w:bookmarkEnd w:id="192"/>
      <w:r w:rsidR="00E727E7">
        <w:br/>
      </w:r>
      <w:r>
        <w:t>Cambio del PIB en los escenarios 3 y 5</w:t>
      </w:r>
      <w:bookmarkEnd w:id="193"/>
      <w:bookmarkEnd w:id="194"/>
    </w:p>
    <w:tbl>
      <w:tblPr>
        <w:tblW w:w="4106" w:type="dxa"/>
        <w:jc w:val="center"/>
        <w:tblLook w:val="04A0" w:firstRow="1" w:lastRow="0" w:firstColumn="1" w:lastColumn="0" w:noHBand="0" w:noVBand="1"/>
      </w:tblPr>
      <w:tblGrid>
        <w:gridCol w:w="1428"/>
        <w:gridCol w:w="1339"/>
        <w:gridCol w:w="1339"/>
      </w:tblGrid>
      <w:tr w:rsidR="005840F6" w:rsidRPr="005840F6" w14:paraId="496C4C5D" w14:textId="77777777" w:rsidTr="009464BF">
        <w:trPr>
          <w:trHeight w:val="606"/>
          <w:jc w:val="center"/>
        </w:trPr>
        <w:tc>
          <w:tcPr>
            <w:tcW w:w="1428" w:type="dxa"/>
            <w:tcBorders>
              <w:top w:val="nil"/>
              <w:left w:val="nil"/>
              <w:bottom w:val="single" w:sz="4" w:space="0" w:color="auto"/>
              <w:right w:val="nil"/>
            </w:tcBorders>
            <w:shd w:val="clear" w:color="000000" w:fill="FFFFFF"/>
            <w:noWrap/>
            <w:vAlign w:val="bottom"/>
            <w:hideMark/>
          </w:tcPr>
          <w:p w14:paraId="59C94F9D" w14:textId="77777777" w:rsidR="005840F6" w:rsidRPr="005840F6" w:rsidRDefault="005840F6" w:rsidP="005840F6">
            <w:pPr>
              <w:spacing w:after="0" w:line="240" w:lineRule="auto"/>
              <w:jc w:val="left"/>
              <w:rPr>
                <w:rFonts w:cs="Arial"/>
                <w:color w:val="000000"/>
                <w:sz w:val="22"/>
                <w:szCs w:val="22"/>
                <w:lang w:val="en-US" w:eastAsia="en-US"/>
              </w:rPr>
            </w:pPr>
            <w:r w:rsidRPr="005840F6">
              <w:rPr>
                <w:rFonts w:cs="Arial"/>
                <w:color w:val="000000"/>
                <w:sz w:val="22"/>
                <w:szCs w:val="22"/>
                <w:lang w:val="en-US" w:eastAsia="en-US"/>
              </w:rPr>
              <w:t>Variable</w:t>
            </w:r>
          </w:p>
        </w:tc>
        <w:tc>
          <w:tcPr>
            <w:tcW w:w="1339" w:type="dxa"/>
            <w:tcBorders>
              <w:top w:val="nil"/>
              <w:left w:val="single" w:sz="4" w:space="0" w:color="auto"/>
              <w:bottom w:val="single" w:sz="4" w:space="0" w:color="auto"/>
              <w:right w:val="nil"/>
            </w:tcBorders>
            <w:shd w:val="clear" w:color="000000" w:fill="FFFFFF"/>
            <w:noWrap/>
            <w:vAlign w:val="bottom"/>
            <w:hideMark/>
          </w:tcPr>
          <w:p w14:paraId="1B001FCA" w14:textId="77777777" w:rsidR="005840F6" w:rsidRPr="005840F6" w:rsidRDefault="005840F6" w:rsidP="005840F6">
            <w:pPr>
              <w:spacing w:after="0" w:line="240" w:lineRule="auto"/>
              <w:jc w:val="center"/>
              <w:rPr>
                <w:rFonts w:cs="Arial"/>
                <w:color w:val="000000"/>
                <w:sz w:val="22"/>
                <w:szCs w:val="22"/>
                <w:lang w:val="en-US" w:eastAsia="en-US"/>
              </w:rPr>
            </w:pPr>
            <w:r w:rsidRPr="005840F6">
              <w:rPr>
                <w:rFonts w:cs="Arial"/>
                <w:color w:val="000000"/>
                <w:sz w:val="22"/>
                <w:szCs w:val="22"/>
                <w:lang w:val="en-US" w:eastAsia="en-US"/>
              </w:rPr>
              <w:t>sim03</w:t>
            </w:r>
          </w:p>
        </w:tc>
        <w:tc>
          <w:tcPr>
            <w:tcW w:w="1339" w:type="dxa"/>
            <w:tcBorders>
              <w:top w:val="nil"/>
              <w:left w:val="nil"/>
              <w:bottom w:val="single" w:sz="4" w:space="0" w:color="auto"/>
              <w:right w:val="nil"/>
            </w:tcBorders>
            <w:shd w:val="clear" w:color="000000" w:fill="FFFFFF"/>
            <w:noWrap/>
            <w:vAlign w:val="bottom"/>
            <w:hideMark/>
          </w:tcPr>
          <w:p w14:paraId="6ED0557B" w14:textId="77777777" w:rsidR="005840F6" w:rsidRPr="005840F6" w:rsidRDefault="005840F6" w:rsidP="005840F6">
            <w:pPr>
              <w:spacing w:after="0" w:line="240" w:lineRule="auto"/>
              <w:jc w:val="center"/>
              <w:rPr>
                <w:rFonts w:cs="Arial"/>
                <w:color w:val="000000"/>
                <w:sz w:val="22"/>
                <w:szCs w:val="22"/>
                <w:lang w:val="en-US" w:eastAsia="en-US"/>
              </w:rPr>
            </w:pPr>
            <w:r w:rsidRPr="005840F6">
              <w:rPr>
                <w:rFonts w:cs="Arial"/>
                <w:color w:val="000000"/>
                <w:sz w:val="22"/>
                <w:szCs w:val="22"/>
                <w:lang w:val="en-US" w:eastAsia="en-US"/>
              </w:rPr>
              <w:t>sim05</w:t>
            </w:r>
          </w:p>
        </w:tc>
      </w:tr>
      <w:tr w:rsidR="005840F6" w:rsidRPr="005840F6" w14:paraId="243E51AE" w14:textId="77777777" w:rsidTr="009464BF">
        <w:trPr>
          <w:trHeight w:val="606"/>
          <w:jc w:val="center"/>
        </w:trPr>
        <w:tc>
          <w:tcPr>
            <w:tcW w:w="1428" w:type="dxa"/>
            <w:tcBorders>
              <w:top w:val="nil"/>
              <w:left w:val="nil"/>
              <w:bottom w:val="nil"/>
              <w:right w:val="nil"/>
            </w:tcBorders>
            <w:shd w:val="clear" w:color="000000" w:fill="FFFFFF"/>
            <w:noWrap/>
            <w:vAlign w:val="bottom"/>
            <w:hideMark/>
          </w:tcPr>
          <w:p w14:paraId="5ABA6F37" w14:textId="77777777" w:rsidR="005840F6" w:rsidRPr="005840F6" w:rsidRDefault="005840F6" w:rsidP="005840F6">
            <w:pPr>
              <w:spacing w:after="0" w:line="240" w:lineRule="auto"/>
              <w:jc w:val="left"/>
              <w:rPr>
                <w:rFonts w:cs="Arial"/>
                <w:color w:val="000000"/>
                <w:sz w:val="22"/>
                <w:szCs w:val="22"/>
                <w:lang w:val="en-US" w:eastAsia="en-US"/>
              </w:rPr>
            </w:pPr>
            <w:r w:rsidRPr="005840F6">
              <w:rPr>
                <w:rFonts w:cs="Arial"/>
                <w:color w:val="000000"/>
                <w:sz w:val="22"/>
                <w:szCs w:val="22"/>
                <w:lang w:val="en-US" w:eastAsia="en-US"/>
              </w:rPr>
              <w:t>PIB (CP)</w:t>
            </w:r>
          </w:p>
        </w:tc>
        <w:tc>
          <w:tcPr>
            <w:tcW w:w="1339" w:type="dxa"/>
            <w:tcBorders>
              <w:top w:val="nil"/>
              <w:left w:val="single" w:sz="4" w:space="0" w:color="auto"/>
              <w:bottom w:val="nil"/>
              <w:right w:val="nil"/>
            </w:tcBorders>
            <w:shd w:val="clear" w:color="000000" w:fill="FFFFFF"/>
            <w:noWrap/>
            <w:vAlign w:val="bottom"/>
            <w:hideMark/>
          </w:tcPr>
          <w:p w14:paraId="3D496C3E" w14:textId="5942686A" w:rsidR="005840F6" w:rsidRPr="005840F6" w:rsidRDefault="005840F6" w:rsidP="005840F6">
            <w:pPr>
              <w:spacing w:after="0" w:line="240" w:lineRule="auto"/>
              <w:jc w:val="center"/>
              <w:rPr>
                <w:rFonts w:cs="Arial"/>
                <w:color w:val="000000"/>
                <w:sz w:val="22"/>
                <w:szCs w:val="22"/>
                <w:lang w:val="en-US" w:eastAsia="en-US"/>
              </w:rPr>
            </w:pPr>
            <w:r w:rsidRPr="005840F6">
              <w:rPr>
                <w:rFonts w:cs="Arial"/>
                <w:color w:val="000000"/>
                <w:sz w:val="22"/>
                <w:szCs w:val="22"/>
                <w:lang w:val="en-US" w:eastAsia="en-US"/>
              </w:rPr>
              <w:t>-</w:t>
            </w:r>
            <w:r w:rsidR="00855074">
              <w:rPr>
                <w:rFonts w:cs="Arial"/>
                <w:color w:val="000000"/>
                <w:sz w:val="22"/>
                <w:szCs w:val="22"/>
                <w:lang w:val="en-US" w:eastAsia="en-US"/>
              </w:rPr>
              <w:t>1</w:t>
            </w:r>
            <w:r w:rsidRPr="005840F6">
              <w:rPr>
                <w:rFonts w:cs="Arial"/>
                <w:color w:val="000000"/>
                <w:sz w:val="22"/>
                <w:szCs w:val="22"/>
                <w:lang w:val="en-US" w:eastAsia="en-US"/>
              </w:rPr>
              <w:t>.</w:t>
            </w:r>
            <w:r w:rsidR="00855074">
              <w:rPr>
                <w:rFonts w:cs="Arial"/>
                <w:color w:val="000000"/>
                <w:sz w:val="22"/>
                <w:szCs w:val="22"/>
                <w:lang w:val="en-US" w:eastAsia="en-US"/>
              </w:rPr>
              <w:t>64</w:t>
            </w:r>
            <w:r w:rsidRPr="005840F6">
              <w:rPr>
                <w:rFonts w:cs="Arial"/>
                <w:color w:val="000000"/>
                <w:sz w:val="22"/>
                <w:szCs w:val="22"/>
                <w:lang w:val="en-US" w:eastAsia="en-US"/>
              </w:rPr>
              <w:t>%</w:t>
            </w:r>
          </w:p>
        </w:tc>
        <w:tc>
          <w:tcPr>
            <w:tcW w:w="1339" w:type="dxa"/>
            <w:tcBorders>
              <w:top w:val="nil"/>
              <w:left w:val="nil"/>
              <w:bottom w:val="nil"/>
              <w:right w:val="nil"/>
            </w:tcBorders>
            <w:shd w:val="clear" w:color="000000" w:fill="FFFFFF"/>
            <w:noWrap/>
            <w:vAlign w:val="bottom"/>
            <w:hideMark/>
          </w:tcPr>
          <w:p w14:paraId="44CA6981" w14:textId="77777777" w:rsidR="005840F6" w:rsidRPr="005840F6" w:rsidRDefault="005840F6" w:rsidP="005840F6">
            <w:pPr>
              <w:spacing w:after="0" w:line="240" w:lineRule="auto"/>
              <w:jc w:val="center"/>
              <w:rPr>
                <w:rFonts w:cs="Arial"/>
                <w:color w:val="000000"/>
                <w:sz w:val="22"/>
                <w:szCs w:val="22"/>
                <w:lang w:val="en-US" w:eastAsia="en-US"/>
              </w:rPr>
            </w:pPr>
            <w:r w:rsidRPr="005840F6">
              <w:rPr>
                <w:rFonts w:cs="Arial"/>
                <w:color w:val="000000"/>
                <w:sz w:val="22"/>
                <w:szCs w:val="22"/>
                <w:lang w:val="en-US" w:eastAsia="en-US"/>
              </w:rPr>
              <w:t>3.4%</w:t>
            </w:r>
          </w:p>
        </w:tc>
      </w:tr>
      <w:tr w:rsidR="005840F6" w:rsidRPr="005840F6" w14:paraId="486D59B0" w14:textId="77777777" w:rsidTr="009464BF">
        <w:trPr>
          <w:trHeight w:val="606"/>
          <w:jc w:val="center"/>
        </w:trPr>
        <w:tc>
          <w:tcPr>
            <w:tcW w:w="1428" w:type="dxa"/>
            <w:tcBorders>
              <w:top w:val="nil"/>
              <w:left w:val="nil"/>
              <w:bottom w:val="single" w:sz="4" w:space="0" w:color="auto"/>
              <w:right w:val="nil"/>
            </w:tcBorders>
            <w:shd w:val="clear" w:color="000000" w:fill="FFFFFF"/>
            <w:noWrap/>
            <w:vAlign w:val="bottom"/>
            <w:hideMark/>
          </w:tcPr>
          <w:p w14:paraId="05D0558F" w14:textId="77777777" w:rsidR="005840F6" w:rsidRPr="005840F6" w:rsidRDefault="005840F6" w:rsidP="005840F6">
            <w:pPr>
              <w:spacing w:after="0" w:line="240" w:lineRule="auto"/>
              <w:jc w:val="left"/>
              <w:rPr>
                <w:rFonts w:cs="Arial"/>
                <w:color w:val="000000"/>
                <w:sz w:val="22"/>
                <w:szCs w:val="22"/>
                <w:lang w:val="en-US" w:eastAsia="en-US"/>
              </w:rPr>
            </w:pPr>
            <w:r w:rsidRPr="005840F6">
              <w:rPr>
                <w:rFonts w:cs="Arial"/>
                <w:color w:val="000000"/>
                <w:sz w:val="22"/>
                <w:szCs w:val="22"/>
                <w:lang w:val="en-US" w:eastAsia="en-US"/>
              </w:rPr>
              <w:t>PIB (LP)</w:t>
            </w:r>
          </w:p>
        </w:tc>
        <w:tc>
          <w:tcPr>
            <w:tcW w:w="1339" w:type="dxa"/>
            <w:tcBorders>
              <w:top w:val="nil"/>
              <w:left w:val="single" w:sz="4" w:space="0" w:color="auto"/>
              <w:bottom w:val="single" w:sz="4" w:space="0" w:color="auto"/>
              <w:right w:val="nil"/>
            </w:tcBorders>
            <w:shd w:val="clear" w:color="000000" w:fill="FFFFFF"/>
            <w:noWrap/>
            <w:vAlign w:val="bottom"/>
            <w:hideMark/>
          </w:tcPr>
          <w:p w14:paraId="246EFE28" w14:textId="66CAB178" w:rsidR="005840F6" w:rsidRPr="005840F6" w:rsidRDefault="005840F6" w:rsidP="005840F6">
            <w:pPr>
              <w:spacing w:after="0" w:line="240" w:lineRule="auto"/>
              <w:jc w:val="center"/>
              <w:rPr>
                <w:rFonts w:cs="Arial"/>
                <w:color w:val="000000"/>
                <w:sz w:val="22"/>
                <w:szCs w:val="22"/>
                <w:lang w:val="en-US" w:eastAsia="en-US"/>
              </w:rPr>
            </w:pPr>
            <w:r w:rsidRPr="005840F6">
              <w:rPr>
                <w:rFonts w:cs="Arial"/>
                <w:color w:val="000000"/>
                <w:sz w:val="22"/>
                <w:szCs w:val="22"/>
                <w:lang w:val="en-US" w:eastAsia="en-US"/>
              </w:rPr>
              <w:t>1.</w:t>
            </w:r>
            <w:r w:rsidR="00855074">
              <w:rPr>
                <w:rFonts w:cs="Arial"/>
                <w:color w:val="000000"/>
                <w:sz w:val="22"/>
                <w:szCs w:val="22"/>
                <w:lang w:val="en-US" w:eastAsia="en-US"/>
              </w:rPr>
              <w:t>3</w:t>
            </w:r>
            <w:r w:rsidRPr="005840F6">
              <w:rPr>
                <w:rFonts w:cs="Arial"/>
                <w:color w:val="000000"/>
                <w:sz w:val="22"/>
                <w:szCs w:val="22"/>
                <w:lang w:val="en-US" w:eastAsia="en-US"/>
              </w:rPr>
              <w:t>%</w:t>
            </w:r>
          </w:p>
        </w:tc>
        <w:tc>
          <w:tcPr>
            <w:tcW w:w="1339" w:type="dxa"/>
            <w:tcBorders>
              <w:top w:val="nil"/>
              <w:left w:val="nil"/>
              <w:bottom w:val="single" w:sz="4" w:space="0" w:color="auto"/>
              <w:right w:val="nil"/>
            </w:tcBorders>
            <w:shd w:val="clear" w:color="000000" w:fill="FFFFFF"/>
            <w:noWrap/>
            <w:vAlign w:val="bottom"/>
            <w:hideMark/>
          </w:tcPr>
          <w:p w14:paraId="511908A4" w14:textId="77777777" w:rsidR="005840F6" w:rsidRPr="005840F6" w:rsidRDefault="005840F6" w:rsidP="005840F6">
            <w:pPr>
              <w:spacing w:after="0" w:line="240" w:lineRule="auto"/>
              <w:jc w:val="center"/>
              <w:rPr>
                <w:rFonts w:cs="Arial"/>
                <w:color w:val="000000"/>
                <w:sz w:val="22"/>
                <w:szCs w:val="22"/>
                <w:lang w:val="en-US" w:eastAsia="en-US"/>
              </w:rPr>
            </w:pPr>
            <w:r w:rsidRPr="005840F6">
              <w:rPr>
                <w:rFonts w:cs="Arial"/>
                <w:color w:val="000000"/>
                <w:sz w:val="22"/>
                <w:szCs w:val="22"/>
                <w:lang w:val="en-US" w:eastAsia="en-US"/>
              </w:rPr>
              <w:t>1.4%</w:t>
            </w:r>
          </w:p>
        </w:tc>
      </w:tr>
    </w:tbl>
    <w:p w14:paraId="3F5FC233" w14:textId="77777777" w:rsidR="009464BF" w:rsidRPr="002621FC" w:rsidRDefault="009464BF" w:rsidP="009464BF">
      <w:r w:rsidRPr="002C23D0">
        <w:rPr>
          <w:rFonts w:eastAsiaTheme="minorHAnsi"/>
          <w:sz w:val="18"/>
        </w:rPr>
        <w:t>Fuente: elaboración propia.</w:t>
      </w:r>
    </w:p>
    <w:p w14:paraId="7651736F" w14:textId="6161FE6E" w:rsidR="00A0456C" w:rsidRDefault="00A0456C">
      <w:pPr>
        <w:jc w:val="left"/>
      </w:pPr>
      <w:r>
        <w:br w:type="page"/>
      </w:r>
    </w:p>
    <w:p w14:paraId="540B7110" w14:textId="7F75555A" w:rsidR="002B1C02" w:rsidRDefault="00E2201B" w:rsidP="00F87EEA">
      <w:pPr>
        <w:pStyle w:val="Heading1"/>
        <w:spacing w:line="240" w:lineRule="auto"/>
      </w:pPr>
      <w:bookmarkStart w:id="195" w:name="_Toc2853767"/>
      <w:r>
        <w:lastRenderedPageBreak/>
        <w:t>Capítulo V: Conclusiones y Recomendaciones</w:t>
      </w:r>
      <w:bookmarkEnd w:id="195"/>
    </w:p>
    <w:p w14:paraId="2FDD7C7F" w14:textId="31A26DF4" w:rsidR="005E14F0" w:rsidRDefault="005E14F0" w:rsidP="005744C8">
      <w:pPr>
        <w:spacing w:line="240" w:lineRule="auto"/>
      </w:pPr>
      <w:r w:rsidRPr="005744C8">
        <w:t xml:space="preserve">Los Modelos de Equilibrio General Computable son una gran herramienta para analizar </w:t>
      </w:r>
      <w:r w:rsidR="005744C8" w:rsidRPr="005744C8">
        <w:t>las implicaciones fiscales en una economía porque permite integrar tanto variables microeconómicas como macroeconómicas. El contar con una Matriz de Contabilidad Social facilita la implementación del modelo, y la desagregación en deciles propuesta en este proyecto de graduación permite analizar con amplitud el tema de la incidencia fiscal</w:t>
      </w:r>
      <w:r w:rsidR="005744C8">
        <w:t>.</w:t>
      </w:r>
    </w:p>
    <w:p w14:paraId="3F60EDE7" w14:textId="10E24CB5" w:rsidR="005744C8" w:rsidRPr="005744C8" w:rsidRDefault="005744C8" w:rsidP="005744C8">
      <w:pPr>
        <w:spacing w:line="240" w:lineRule="auto"/>
      </w:pPr>
      <w:r>
        <w:t>La calibración del modelo STAGE y la adaptación a la economía de Costa Rica repr</w:t>
      </w:r>
      <w:r w:rsidR="005E1105">
        <w:t>esenta un esfuerzo importante para cuantificar los choques propuestos en el proyecto de graduación, de tal forma que permita acercarse al impacto real de una reforma tributaria en el impuesto de ventas. Aunque es cierto, que existen margen de mejora, como podría incluir el cálculo de elasticidades de manera exógena o implementar un modelo de equilibrio general dinámico recursivo.</w:t>
      </w:r>
    </w:p>
    <w:p w14:paraId="1938FA34" w14:textId="23E83D58" w:rsidR="00F35932" w:rsidRDefault="005840F6" w:rsidP="00C139E7">
      <w:pPr>
        <w:spacing w:line="240" w:lineRule="auto"/>
      </w:pPr>
      <w:r>
        <w:t xml:space="preserve">La transformación del impuesto de ventas </w:t>
      </w:r>
      <w:r w:rsidR="00E727E7">
        <w:t xml:space="preserve">en un impuesto al valor agregado </w:t>
      </w:r>
      <w:r>
        <w:t xml:space="preserve">implica un aumento en la regresividad del sistema tributario. Esto se debe básicamente al aumento </w:t>
      </w:r>
      <w:r w:rsidR="00E93A09">
        <w:t>de la base y el aumento de la alícuota</w:t>
      </w:r>
      <w:r w:rsidR="00EB0054">
        <w:t xml:space="preserve"> </w:t>
      </w:r>
      <w:r w:rsidR="00A201C7">
        <w:t xml:space="preserve">efectiva </w:t>
      </w:r>
      <w:r w:rsidR="00EB0054">
        <w:t xml:space="preserve">que genera el IVA. Cuando se introducen exoneraciones en el sistema es posible contener un poco la regresividad del sistema, </w:t>
      </w:r>
      <w:r w:rsidR="00F33AF4">
        <w:t>pero no</w:t>
      </w:r>
      <w:r w:rsidR="00EB0054">
        <w:t xml:space="preserve"> revertirla</w:t>
      </w:r>
      <w:r w:rsidR="00DF0EAC">
        <w:t>, además conlleva un costo explícito en términos recaudación</w:t>
      </w:r>
      <w:r w:rsidR="00F53085">
        <w:t>.</w:t>
      </w:r>
    </w:p>
    <w:p w14:paraId="6A198981" w14:textId="3865C060" w:rsidR="00A201C7" w:rsidRDefault="00F33AF4" w:rsidP="00C139E7">
      <w:pPr>
        <w:spacing w:line="240" w:lineRule="auto"/>
      </w:pPr>
      <w:r>
        <w:t xml:space="preserve">Los indicadores muestran </w:t>
      </w:r>
      <w:r w:rsidR="0092554E">
        <w:t>que,</w:t>
      </w:r>
      <w:r>
        <w:t xml:space="preserve"> en términos de </w:t>
      </w:r>
      <w:r w:rsidR="00F536FA">
        <w:t>Presión tributaria</w:t>
      </w:r>
      <w:r w:rsidR="00EF0DFD">
        <w:t xml:space="preserve"> y Cost</w:t>
      </w:r>
      <w:r w:rsidR="009464BF">
        <w:t xml:space="preserve">os Marginales </w:t>
      </w:r>
      <w:r w:rsidR="006B5BC7">
        <w:t>de Fondos</w:t>
      </w:r>
      <w:r w:rsidR="00854080">
        <w:t xml:space="preserve"> Públicos</w:t>
      </w:r>
      <w:r w:rsidR="00F53085">
        <w:t>,</w:t>
      </w:r>
      <w:r w:rsidR="00F536FA">
        <w:t xml:space="preserve"> los deciles de menor ingreso tienden a soportar </w:t>
      </w:r>
      <w:r w:rsidR="00C57984">
        <w:t xml:space="preserve">un </w:t>
      </w:r>
      <w:r w:rsidR="00F536FA">
        <w:t xml:space="preserve">mayor </w:t>
      </w:r>
      <w:r w:rsidR="00C57984">
        <w:t>costo ante esta transformación, además la Variación Equivalente</w:t>
      </w:r>
      <w:r w:rsidR="005F0A61">
        <w:t xml:space="preserve"> </w:t>
      </w:r>
      <w:r w:rsidR="0092554E">
        <w:t>de</w:t>
      </w:r>
      <w:r w:rsidR="005F0A61">
        <w:t xml:space="preserve">muestra que existe una perdida en la utilidad </w:t>
      </w:r>
      <w:r w:rsidR="00C03283">
        <w:t>en los mismos</w:t>
      </w:r>
      <w:r w:rsidR="00CF6AF4">
        <w:t xml:space="preserve"> deciles. De esta forma es necesario generar mecanismos que garanticen una mayor progresividad del sistema fiscal,</w:t>
      </w:r>
      <w:r w:rsidR="00A7150D">
        <w:t xml:space="preserve"> aunque ya existen instituciones que tratan de </w:t>
      </w:r>
      <w:r w:rsidR="0007713C">
        <w:t>mejorar la distribución del ingreso por medio del gasto en transferencias</w:t>
      </w:r>
      <w:r w:rsidR="00E60E8F">
        <w:t xml:space="preserve">, la reforma </w:t>
      </w:r>
      <w:r w:rsidR="00A44D20">
        <w:t xml:space="preserve">del IVA </w:t>
      </w:r>
      <w:r w:rsidR="00E60E8F">
        <w:t>ampliar</w:t>
      </w:r>
      <w:r w:rsidR="00A44D20">
        <w:t>á</w:t>
      </w:r>
      <w:r w:rsidR="00E60E8F">
        <w:t xml:space="preserve"> la cantidad de hogares que</w:t>
      </w:r>
      <w:r w:rsidR="00940146">
        <w:t xml:space="preserve"> </w:t>
      </w:r>
      <w:r w:rsidR="00A44D20">
        <w:t xml:space="preserve">las </w:t>
      </w:r>
      <w:r w:rsidR="00940146">
        <w:t>necesit</w:t>
      </w:r>
      <w:r w:rsidR="00E727E7">
        <w:t>arían</w:t>
      </w:r>
      <w:r w:rsidR="00BB55E6">
        <w:t>.</w:t>
      </w:r>
    </w:p>
    <w:p w14:paraId="06BBED00" w14:textId="6818E339" w:rsidR="00B71E26" w:rsidRDefault="00B71E26" w:rsidP="00B71E26">
      <w:pPr>
        <w:spacing w:line="240" w:lineRule="auto"/>
      </w:pPr>
      <w:r>
        <w:t>La</w:t>
      </w:r>
      <w:r w:rsidR="00E727E7">
        <w:t>s</w:t>
      </w:r>
      <w:r>
        <w:t xml:space="preserve"> bajas tasas efectivas del impuesto de ventas evidencian que es necesario actualizar el impuesto para poder incrementar el pago de este tributo. La cantidad de exoneraciones también generan distorsiones en el sistema tributario, pero es necesario revisar el objetivo de la política tributaria, hasta qué punto es necesario introducir exoneraciones mediante la canasta tributaria del IVA</w:t>
      </w:r>
      <w:r w:rsidR="0075671D">
        <w:t>;</w:t>
      </w:r>
      <w:r>
        <w:t xml:space="preserve"> si el objetivo es recaudar </w:t>
      </w:r>
      <w:r w:rsidR="000E0DD0">
        <w:t xml:space="preserve">o si el objetivo es hacer el sistema tributario más </w:t>
      </w:r>
      <w:r w:rsidR="002D346F">
        <w:t>progresivo</w:t>
      </w:r>
      <w:r w:rsidR="005C2F85">
        <w:t>.</w:t>
      </w:r>
    </w:p>
    <w:p w14:paraId="20D77AC9" w14:textId="32BA2488" w:rsidR="000A33B0" w:rsidRDefault="00CE128A" w:rsidP="00B71E26">
      <w:pPr>
        <w:spacing w:line="240" w:lineRule="auto"/>
      </w:pPr>
      <w:r>
        <w:t>Cuando se realizan</w:t>
      </w:r>
      <w:r w:rsidR="00BA6797">
        <w:t xml:space="preserve"> las</w:t>
      </w:r>
      <w:r w:rsidR="000A33B0">
        <w:t xml:space="preserve"> simulaciones del impuesto de ventas sin exoneraciones</w:t>
      </w:r>
      <w:r w:rsidR="00993FF7">
        <w:t>, es decir con una tarifa plana,</w:t>
      </w:r>
      <w:r w:rsidR="000A33B0">
        <w:t xml:space="preserve"> muestran una recaudación tributaria mayor, a costas de penalizar el bienestar de los deciles de menor ingreso.</w:t>
      </w:r>
      <w:r w:rsidR="00993FF7">
        <w:t xml:space="preserve"> Sin embargo, es importante dimensionar que las exoneraciones son un mecanismo que genera filtros para los demás hogares, esto se debe a que son asumibles por cualquier hogar sin importar su nivel de ingreso</w:t>
      </w:r>
      <w:r w:rsidR="006C7EFA">
        <w:t xml:space="preserve">, y tampoco </w:t>
      </w:r>
      <w:r w:rsidR="00AA0D72">
        <w:t>remueve</w:t>
      </w:r>
      <w:r w:rsidR="006C7EFA">
        <w:t xml:space="preserve"> </w:t>
      </w:r>
      <w:r w:rsidR="000A5838">
        <w:t xml:space="preserve">en totalidad </w:t>
      </w:r>
      <w:r w:rsidR="006C7EFA">
        <w:t>la regresividad</w:t>
      </w:r>
      <w:r w:rsidR="000A5838">
        <w:t xml:space="preserve">, aunque puede ser una alternativa </w:t>
      </w:r>
      <w:r w:rsidR="00106DBB">
        <w:t xml:space="preserve">en corto plazo </w:t>
      </w:r>
      <w:r w:rsidR="000A5838">
        <w:t>hasta tener</w:t>
      </w:r>
      <w:r w:rsidR="00106DBB">
        <w:t xml:space="preserve"> un mecanismo en</w:t>
      </w:r>
      <w:r w:rsidR="00AA0D72">
        <w:t xml:space="preserve"> la</w:t>
      </w:r>
      <w:r w:rsidR="00106DBB">
        <w:t xml:space="preserve"> hacienda pública </w:t>
      </w:r>
      <w:r w:rsidR="00CB5F69">
        <w:t xml:space="preserve">que garantice </w:t>
      </w:r>
      <w:r w:rsidR="00165870">
        <w:t xml:space="preserve">reincorporar el pago del impuesto a los hogares </w:t>
      </w:r>
      <w:r w:rsidR="00C41178">
        <w:t>más</w:t>
      </w:r>
      <w:r w:rsidR="00165870">
        <w:t xml:space="preserve"> afectados.</w:t>
      </w:r>
    </w:p>
    <w:p w14:paraId="14A2BC5D" w14:textId="6F9AEC90" w:rsidR="00373303" w:rsidRDefault="002D346F" w:rsidP="00C139E7">
      <w:pPr>
        <w:spacing w:line="240" w:lineRule="auto"/>
      </w:pPr>
      <w:r>
        <w:t xml:space="preserve">Para </w:t>
      </w:r>
      <w:r w:rsidR="004058F4">
        <w:t>hacer la estructura progresiva</w:t>
      </w:r>
      <w:r w:rsidR="00B65B7B">
        <w:t xml:space="preserve"> </w:t>
      </w:r>
      <w:r>
        <w:t xml:space="preserve">es necesario cambiar la importancia </w:t>
      </w:r>
      <w:r w:rsidR="00DD1E09">
        <w:t xml:space="preserve">histórica </w:t>
      </w:r>
      <w:r>
        <w:t xml:space="preserve">que se le ha dado al impuesto ventas y aumentar el porcentaje </w:t>
      </w:r>
      <w:r w:rsidR="00DD1E09">
        <w:t>en</w:t>
      </w:r>
      <w:r>
        <w:t xml:space="preserve"> </w:t>
      </w:r>
      <w:r w:rsidR="00DD1E09">
        <w:t xml:space="preserve">recaudación del impuesto sobre la renta. </w:t>
      </w:r>
      <w:r w:rsidR="00F77E03">
        <w:t>Como se demostró a partir de la simulación 5, cambiar la estructura tributaria en largo plazo puede conllevar en mejoras en la presión tributaria</w:t>
      </w:r>
      <w:r w:rsidR="00EC3795">
        <w:t xml:space="preserve"> </w:t>
      </w:r>
      <w:r w:rsidR="001E5E02">
        <w:t xml:space="preserve">para los deciles de menor ingreso y también </w:t>
      </w:r>
      <w:r w:rsidR="00AA0D72">
        <w:t>incrementa</w:t>
      </w:r>
      <w:r w:rsidR="001E5E02">
        <w:t xml:space="preserve"> producción</w:t>
      </w:r>
      <w:r w:rsidR="00B31785">
        <w:t xml:space="preserve"> del país</w:t>
      </w:r>
      <w:r w:rsidR="00AA0D72">
        <w:t xml:space="preserve"> de </w:t>
      </w:r>
      <w:r w:rsidR="00AA0D72">
        <w:lastRenderedPageBreak/>
        <w:t>manera similar que el IVA</w:t>
      </w:r>
      <w:r w:rsidR="00B31785">
        <w:t xml:space="preserve">. Esto plantea la oportunidad mediante la reforma fiscal de reestructurar </w:t>
      </w:r>
      <w:r w:rsidR="00BB3995">
        <w:t>el sistema.</w:t>
      </w:r>
    </w:p>
    <w:p w14:paraId="12DF2FD5" w14:textId="5DFA6282" w:rsidR="00CE128A" w:rsidRDefault="0034294F" w:rsidP="0034294F">
      <w:pPr>
        <w:spacing w:line="240" w:lineRule="auto"/>
      </w:pPr>
      <w:r>
        <w:t>Además de los efectos que tiene sobre los hogares, la reforma del IVA por su naturaleza restrictiva genera un impacto negativo el en PIB,</w:t>
      </w:r>
      <w:r w:rsidR="00D400A1">
        <w:t xml:space="preserve"> como se demuestra en simulaciones</w:t>
      </w:r>
      <w:r w:rsidR="00ED351E">
        <w:t xml:space="preserve"> de la 1 a la 4</w:t>
      </w:r>
      <w:r w:rsidR="00D400A1">
        <w:t>,</w:t>
      </w:r>
      <w:r>
        <w:t xml:space="preserve"> de tal manera que tanto en corto como en largo plazo la producción cae. Esto se debe a la contracción demanda interna que produce la reforma</w:t>
      </w:r>
      <w:r w:rsidR="0048278D">
        <w:t>, principalmente en los productos que no están gravados, como son los servicios</w:t>
      </w:r>
      <w:r>
        <w:t xml:space="preserve">. </w:t>
      </w:r>
      <w:r w:rsidR="00CE128A">
        <w:t>Ante estos resultados</w:t>
      </w:r>
      <w:r w:rsidR="00C41178">
        <w:t>,</w:t>
      </w:r>
      <w:r w:rsidR="00CE128A">
        <w:t xml:space="preserve"> es importante</w:t>
      </w:r>
      <w:r>
        <w:t xml:space="preserve"> tener una estrategia que permita mitigar los efectos contractivos</w:t>
      </w:r>
      <w:r w:rsidR="0058166A">
        <w:t xml:space="preserve"> de la reforma</w:t>
      </w:r>
      <w:r>
        <w:t>,</w:t>
      </w:r>
      <w:r w:rsidR="0058166A">
        <w:t xml:space="preserve"> </w:t>
      </w:r>
      <w:r w:rsidR="00AA0D72">
        <w:t xml:space="preserve">para no minar </w:t>
      </w:r>
      <w:r w:rsidR="0058166A">
        <w:t>la recaudación de impuestos.</w:t>
      </w:r>
      <w:r w:rsidR="00801040">
        <w:t xml:space="preserve"> U</w:t>
      </w:r>
      <w:r>
        <w:t>na estrategia puede ser mediante un aumento en la inversión pública, la cual se demuestra mediante la MCS que es cercana al 2%.</w:t>
      </w:r>
    </w:p>
    <w:p w14:paraId="7782ADBE" w14:textId="0D6DA8EE" w:rsidR="0056362A" w:rsidRDefault="00BA6797" w:rsidP="0034294F">
      <w:pPr>
        <w:spacing w:line="240" w:lineRule="auto"/>
      </w:pPr>
      <w:r>
        <w:t xml:space="preserve">Por las situaciones planteadas es importante entender que las reformas fiscales necesitan verse desde una perspectiva general, siendo los modelos de equilibrio general una </w:t>
      </w:r>
      <w:r w:rsidR="001A15FC">
        <w:t>buena herramienta para este objetivo. La integralidad</w:t>
      </w:r>
      <w:r w:rsidR="000548EC">
        <w:t xml:space="preserve"> y la gradualidad</w:t>
      </w:r>
      <w:r w:rsidR="001A15FC">
        <w:t xml:space="preserve"> </w:t>
      </w:r>
      <w:r w:rsidR="000548EC">
        <w:t>son características</w:t>
      </w:r>
      <w:r w:rsidR="001A15FC">
        <w:t xml:space="preserve"> fundamental</w:t>
      </w:r>
      <w:r w:rsidR="000548EC">
        <w:t>es</w:t>
      </w:r>
      <w:r w:rsidR="001A15FC">
        <w:t xml:space="preserve"> en</w:t>
      </w:r>
      <w:r w:rsidR="000548EC">
        <w:t xml:space="preserve"> una</w:t>
      </w:r>
      <w:r w:rsidR="001A15FC">
        <w:t xml:space="preserve"> reforma fiscal</w:t>
      </w:r>
      <w:r w:rsidR="000548EC">
        <w:t xml:space="preserve">, </w:t>
      </w:r>
      <w:r w:rsidR="00DA4996">
        <w:t xml:space="preserve">siendo indispensable </w:t>
      </w:r>
      <w:r w:rsidR="0081741F">
        <w:t>para la</w:t>
      </w:r>
      <w:r w:rsidR="00DA4996">
        <w:t xml:space="preserve"> transformación del impuesto de ventas </w:t>
      </w:r>
      <w:r w:rsidR="0081741F">
        <w:t xml:space="preserve">tres aspectos: aumentar la efectividad de la recaudación, de tal forma que permita aumentar las tasas efectivas del impuesto. El segundo aspecto pasa por </w:t>
      </w:r>
      <w:r w:rsidR="0056362A">
        <w:t xml:space="preserve">la transformación del sistema tributario, </w:t>
      </w:r>
      <w:r w:rsidR="00D37B17">
        <w:t>logrando</w:t>
      </w:r>
      <w:r w:rsidR="0056362A">
        <w:t xml:space="preserve"> recargar en mayor medida la recaudación en el impuesto de renta que sobre el impuesto de ventas. Finalmente, la vinculación de</w:t>
      </w:r>
      <w:r w:rsidR="00E727E7">
        <w:t xml:space="preserve"> </w:t>
      </w:r>
      <w:r w:rsidR="0056362A">
        <w:t>l</w:t>
      </w:r>
      <w:r w:rsidR="00E727E7">
        <w:t>a</w:t>
      </w:r>
      <w:r w:rsidR="00271491">
        <w:t xml:space="preserve"> reforma con una propuesta de desarrollo que permita dinamizar la economía para reducir</w:t>
      </w:r>
      <w:r w:rsidR="00E727E7">
        <w:t xml:space="preserve"> sus</w:t>
      </w:r>
      <w:r w:rsidR="00271491">
        <w:t xml:space="preserve"> efectos contractivos</w:t>
      </w:r>
      <w:r w:rsidR="00E727E7">
        <w:t>.</w:t>
      </w:r>
    </w:p>
    <w:p w14:paraId="3B0A6C4F" w14:textId="7F833696" w:rsidR="00EF364B" w:rsidRDefault="00EF364B">
      <w:pPr>
        <w:jc w:val="left"/>
      </w:pPr>
      <w:r>
        <w:br w:type="page"/>
      </w:r>
    </w:p>
    <w:p w14:paraId="3631D5C0" w14:textId="522819A8" w:rsidR="000F7620" w:rsidRDefault="000F7620" w:rsidP="00FE5849">
      <w:pPr>
        <w:pStyle w:val="Heading1"/>
      </w:pPr>
      <w:bookmarkStart w:id="196" w:name="_Toc2853768"/>
      <w:r>
        <w:lastRenderedPageBreak/>
        <w:t>Referencias</w:t>
      </w:r>
      <w:bookmarkEnd w:id="196"/>
    </w:p>
    <w:p w14:paraId="00CAE66B" w14:textId="341C7F6D" w:rsidR="00C977ED" w:rsidRPr="00C977ED" w:rsidRDefault="000F7620" w:rsidP="00C977ED">
      <w:pPr>
        <w:widowControl w:val="0"/>
        <w:autoSpaceDE w:val="0"/>
        <w:autoSpaceDN w:val="0"/>
        <w:adjustRightInd w:val="0"/>
        <w:spacing w:after="0" w:line="240" w:lineRule="auto"/>
        <w:ind w:left="480" w:hanging="480"/>
        <w:rPr>
          <w:rFonts w:cs="Arial"/>
          <w:noProof/>
        </w:rPr>
      </w:pPr>
      <w:r w:rsidRPr="00A409E9">
        <w:rPr>
          <w:rFonts w:cs="Arial"/>
        </w:rPr>
        <w:fldChar w:fldCharType="begin" w:fldLock="1"/>
      </w:r>
      <w:r w:rsidRPr="00A409E9">
        <w:rPr>
          <w:rFonts w:cs="Arial"/>
        </w:rPr>
        <w:instrText xml:space="preserve">ADDIN Mendeley Bibliography CSL_BIBLIOGRAPHY </w:instrText>
      </w:r>
      <w:r w:rsidRPr="00A409E9">
        <w:rPr>
          <w:rFonts w:cs="Arial"/>
        </w:rPr>
        <w:fldChar w:fldCharType="separate"/>
      </w:r>
      <w:r w:rsidR="00C977ED" w:rsidRPr="00C977ED">
        <w:rPr>
          <w:rFonts w:cs="Arial"/>
          <w:noProof/>
        </w:rPr>
        <w:t xml:space="preserve">Barreix, A., Bès, M., &amp; Roca, J. (2010). El IVA Personalizado. Aumentando la recaudación y compensando a los más pobres. </w:t>
      </w:r>
      <w:r w:rsidR="00C977ED" w:rsidRPr="00C977ED">
        <w:rPr>
          <w:rFonts w:cs="Arial"/>
          <w:i/>
          <w:iCs/>
          <w:noProof/>
        </w:rPr>
        <w:t>Banco Interamericano de Desarrollo, Washington, Julio</w:t>
      </w:r>
      <w:r w:rsidR="00C977ED" w:rsidRPr="00C977ED">
        <w:rPr>
          <w:rFonts w:cs="Arial"/>
          <w:noProof/>
        </w:rPr>
        <w:t>. Retrieved from https://goo.gl/WuLgz3</w:t>
      </w:r>
    </w:p>
    <w:p w14:paraId="02F6488D" w14:textId="77777777" w:rsidR="00C977ED" w:rsidRPr="006C158C" w:rsidRDefault="00C977ED" w:rsidP="00C977ED">
      <w:pPr>
        <w:widowControl w:val="0"/>
        <w:autoSpaceDE w:val="0"/>
        <w:autoSpaceDN w:val="0"/>
        <w:adjustRightInd w:val="0"/>
        <w:spacing w:after="0" w:line="240" w:lineRule="auto"/>
        <w:ind w:left="480" w:hanging="480"/>
        <w:rPr>
          <w:rFonts w:cs="Arial"/>
          <w:noProof/>
          <w:lang w:val="en-US"/>
        </w:rPr>
      </w:pPr>
      <w:r w:rsidRPr="00C977ED">
        <w:rPr>
          <w:rFonts w:cs="Arial"/>
          <w:noProof/>
        </w:rPr>
        <w:t xml:space="preserve">BCCR. (2016). Nueva metodología de cálculo de cuentas nacionales dará mayor precisión a datos de producción. </w:t>
      </w:r>
      <w:r w:rsidRPr="006C158C">
        <w:rPr>
          <w:rFonts w:cs="Arial"/>
          <w:noProof/>
          <w:lang w:val="en-US"/>
        </w:rPr>
        <w:t>Retrieved from https://www.bccr.fi.cr/seccion-noticias/Noticia/calculo_cuentas_nacionales.aspx</w:t>
      </w:r>
    </w:p>
    <w:p w14:paraId="3D4A0D1C" w14:textId="77777777" w:rsidR="00C977ED" w:rsidRPr="00C977ED" w:rsidRDefault="00C977ED" w:rsidP="00C977ED">
      <w:pPr>
        <w:widowControl w:val="0"/>
        <w:autoSpaceDE w:val="0"/>
        <w:autoSpaceDN w:val="0"/>
        <w:adjustRightInd w:val="0"/>
        <w:spacing w:after="0" w:line="240" w:lineRule="auto"/>
        <w:ind w:left="480" w:hanging="480"/>
        <w:rPr>
          <w:rFonts w:cs="Arial"/>
          <w:noProof/>
        </w:rPr>
      </w:pPr>
      <w:r w:rsidRPr="00C977ED">
        <w:rPr>
          <w:rFonts w:cs="Arial"/>
          <w:noProof/>
        </w:rPr>
        <w:t xml:space="preserve">Borrajo, J., Bussolo, M., Collado, J., Roland-Host, D., &amp; van der Mensbrugghe, D. (1994). </w:t>
      </w:r>
      <w:r w:rsidRPr="00C977ED">
        <w:rPr>
          <w:rFonts w:cs="Arial"/>
          <w:i/>
          <w:iCs/>
          <w:noProof/>
        </w:rPr>
        <w:t>Un manual de instrumentos económicos para la modelización del equilibrio general en Costa Rica. MIMEGA-COSTA RICA</w:t>
      </w:r>
      <w:r w:rsidRPr="00C977ED">
        <w:rPr>
          <w:rFonts w:cs="Arial"/>
          <w:noProof/>
        </w:rPr>
        <w:t>. San José.</w:t>
      </w:r>
    </w:p>
    <w:p w14:paraId="5CE5BFE0" w14:textId="77777777" w:rsidR="00C977ED" w:rsidRPr="00C977ED" w:rsidRDefault="00C977ED" w:rsidP="00C977ED">
      <w:pPr>
        <w:widowControl w:val="0"/>
        <w:autoSpaceDE w:val="0"/>
        <w:autoSpaceDN w:val="0"/>
        <w:adjustRightInd w:val="0"/>
        <w:spacing w:after="0" w:line="240" w:lineRule="auto"/>
        <w:ind w:left="480" w:hanging="480"/>
        <w:rPr>
          <w:rFonts w:cs="Arial"/>
          <w:noProof/>
        </w:rPr>
      </w:pPr>
      <w:r w:rsidRPr="00C977ED">
        <w:rPr>
          <w:rFonts w:cs="Arial"/>
          <w:noProof/>
        </w:rPr>
        <w:t xml:space="preserve">Cardoza, D., &amp; Vargas, H. (2004). </w:t>
      </w:r>
      <w:r w:rsidRPr="00C977ED">
        <w:rPr>
          <w:rFonts w:cs="Arial"/>
          <w:i/>
          <w:iCs/>
          <w:noProof/>
        </w:rPr>
        <w:t>Incidencia tributaria del impuesto sobre las ventas: el caso de Costa Rica</w:t>
      </w:r>
      <w:r w:rsidRPr="00C977ED">
        <w:rPr>
          <w:rFonts w:cs="Arial"/>
          <w:noProof/>
        </w:rPr>
        <w:t xml:space="preserve">. </w:t>
      </w:r>
      <w:r w:rsidRPr="00C977ED">
        <w:rPr>
          <w:rFonts w:cs="Arial"/>
          <w:i/>
          <w:iCs/>
          <w:noProof/>
        </w:rPr>
        <w:t>INEC</w:t>
      </w:r>
      <w:r w:rsidRPr="00C977ED">
        <w:rPr>
          <w:rFonts w:cs="Arial"/>
          <w:noProof/>
        </w:rPr>
        <w:t>. San José. Retrieved from https://goo.gl/ipVxED</w:t>
      </w:r>
    </w:p>
    <w:p w14:paraId="74FED7A7" w14:textId="77777777" w:rsidR="00C977ED" w:rsidRPr="00C977ED" w:rsidRDefault="00C977ED" w:rsidP="00C977ED">
      <w:pPr>
        <w:widowControl w:val="0"/>
        <w:autoSpaceDE w:val="0"/>
        <w:autoSpaceDN w:val="0"/>
        <w:adjustRightInd w:val="0"/>
        <w:spacing w:after="0" w:line="240" w:lineRule="auto"/>
        <w:ind w:left="480" w:hanging="480"/>
        <w:rPr>
          <w:rFonts w:cs="Arial"/>
          <w:noProof/>
        </w:rPr>
      </w:pPr>
      <w:r w:rsidRPr="00C977ED">
        <w:rPr>
          <w:rFonts w:cs="Arial"/>
          <w:noProof/>
        </w:rPr>
        <w:t xml:space="preserve">Chisari, O., Ferro, G. A., González, M. E., León, S. M., Maquieyra, A., Mastronardi, L. J., … Theller, R. M. (2010). Modelo de Equilibrio General Computado para la Argentina 2006. </w:t>
      </w:r>
      <w:r w:rsidRPr="00C977ED">
        <w:rPr>
          <w:rFonts w:cs="Arial"/>
          <w:i/>
          <w:iCs/>
          <w:noProof/>
        </w:rPr>
        <w:t>Serie de Textos de Discusión 63</w:t>
      </w:r>
      <w:r w:rsidRPr="00C977ED">
        <w:rPr>
          <w:rFonts w:cs="Arial"/>
          <w:noProof/>
        </w:rPr>
        <w:t>. Retrieved from https://goo.gl/kk9JoR</w:t>
      </w:r>
    </w:p>
    <w:p w14:paraId="6FA4155B" w14:textId="77777777" w:rsidR="00C977ED" w:rsidRPr="00C977ED" w:rsidRDefault="00C977ED" w:rsidP="00C977ED">
      <w:pPr>
        <w:widowControl w:val="0"/>
        <w:autoSpaceDE w:val="0"/>
        <w:autoSpaceDN w:val="0"/>
        <w:adjustRightInd w:val="0"/>
        <w:spacing w:after="0" w:line="240" w:lineRule="auto"/>
        <w:ind w:left="480" w:hanging="480"/>
        <w:rPr>
          <w:rFonts w:cs="Arial"/>
          <w:noProof/>
        </w:rPr>
      </w:pPr>
      <w:r w:rsidRPr="00C977ED">
        <w:rPr>
          <w:rFonts w:cs="Arial"/>
          <w:noProof/>
        </w:rPr>
        <w:t xml:space="preserve">Chisari, O., Guillermo, J., Heymann, D., Kawamura, E., Perazzo, R., Romero, C. A., &amp; Zimmermann, M. (2009). </w:t>
      </w:r>
      <w:r w:rsidRPr="00C977ED">
        <w:rPr>
          <w:rFonts w:cs="Arial"/>
          <w:i/>
          <w:iCs/>
          <w:noProof/>
        </w:rPr>
        <w:t>Progresos en Economía Computacional</w:t>
      </w:r>
      <w:r w:rsidRPr="00C977ED">
        <w:rPr>
          <w:rFonts w:cs="Arial"/>
          <w:noProof/>
        </w:rPr>
        <w:t xml:space="preserve"> (1a ed.). Buenos Aires: Temas Grupo Editorial.</w:t>
      </w:r>
    </w:p>
    <w:p w14:paraId="04D42F49" w14:textId="77777777" w:rsidR="00C977ED" w:rsidRPr="006C158C" w:rsidRDefault="00C977ED" w:rsidP="00C977ED">
      <w:pPr>
        <w:widowControl w:val="0"/>
        <w:autoSpaceDE w:val="0"/>
        <w:autoSpaceDN w:val="0"/>
        <w:adjustRightInd w:val="0"/>
        <w:spacing w:after="0" w:line="240" w:lineRule="auto"/>
        <w:ind w:left="480" w:hanging="480"/>
        <w:rPr>
          <w:rFonts w:cs="Arial"/>
          <w:noProof/>
          <w:lang w:val="en-US"/>
        </w:rPr>
      </w:pPr>
      <w:r w:rsidRPr="00C977ED">
        <w:rPr>
          <w:rFonts w:cs="Arial"/>
          <w:noProof/>
        </w:rPr>
        <w:t xml:space="preserve">Chisari, O., Maquieyra, J. A., &amp; Miller, S. J. (2012). Manual sobre Modelos de Equilibrio General Computado para Económico del Cambio Climático Manual sobre Modelos de Equilibrio General Computado para Economías de LAC con Énfasis en el Análisis Económico del Cambio Climático. </w:t>
      </w:r>
      <w:r w:rsidRPr="006C158C">
        <w:rPr>
          <w:rFonts w:cs="Arial"/>
          <w:i/>
          <w:iCs/>
          <w:noProof/>
          <w:lang w:val="en-US"/>
        </w:rPr>
        <w:t>BID</w:t>
      </w:r>
      <w:r w:rsidRPr="006C158C">
        <w:rPr>
          <w:rFonts w:cs="Arial"/>
          <w:noProof/>
          <w:lang w:val="en-US"/>
        </w:rPr>
        <w:t>, 261. Retrieved from https://goo.gl/1NDx5A</w:t>
      </w:r>
    </w:p>
    <w:p w14:paraId="5B26B44C" w14:textId="77777777" w:rsidR="00C977ED" w:rsidRPr="00C977ED" w:rsidRDefault="00C977ED" w:rsidP="00C977ED">
      <w:pPr>
        <w:widowControl w:val="0"/>
        <w:autoSpaceDE w:val="0"/>
        <w:autoSpaceDN w:val="0"/>
        <w:adjustRightInd w:val="0"/>
        <w:spacing w:after="0" w:line="240" w:lineRule="auto"/>
        <w:ind w:left="480" w:hanging="480"/>
        <w:rPr>
          <w:rFonts w:cs="Arial"/>
          <w:noProof/>
        </w:rPr>
      </w:pPr>
      <w:r w:rsidRPr="006C158C">
        <w:rPr>
          <w:rFonts w:cs="Arial"/>
          <w:noProof/>
          <w:lang w:val="en-US"/>
        </w:rPr>
        <w:t xml:space="preserve">Chisari, O. O., &amp; Romero, C. A. (1996). </w:t>
      </w:r>
      <w:r w:rsidRPr="00C977ED">
        <w:rPr>
          <w:rFonts w:cs="Arial"/>
          <w:noProof/>
        </w:rPr>
        <w:t xml:space="preserve">Distribución del ingreso, asignación de recursos y shocks macroeconómicos: un modelo de equilibrio general computado para la Argentina en 1993. </w:t>
      </w:r>
      <w:r w:rsidRPr="00C977ED">
        <w:rPr>
          <w:rFonts w:cs="Arial"/>
          <w:i/>
          <w:iCs/>
          <w:noProof/>
        </w:rPr>
        <w:t>Serie Política Fiscal</w:t>
      </w:r>
      <w:r w:rsidRPr="00C977ED">
        <w:rPr>
          <w:rFonts w:cs="Arial"/>
          <w:noProof/>
        </w:rPr>
        <w:t>. Retrieved from https://goo.gl/GqAZ2W</w:t>
      </w:r>
    </w:p>
    <w:p w14:paraId="76DFAAF6" w14:textId="77777777" w:rsidR="00C977ED" w:rsidRPr="00C977ED" w:rsidRDefault="00C977ED" w:rsidP="00C977ED">
      <w:pPr>
        <w:widowControl w:val="0"/>
        <w:autoSpaceDE w:val="0"/>
        <w:autoSpaceDN w:val="0"/>
        <w:adjustRightInd w:val="0"/>
        <w:spacing w:after="0" w:line="240" w:lineRule="auto"/>
        <w:ind w:left="480" w:hanging="480"/>
        <w:rPr>
          <w:rFonts w:cs="Arial"/>
          <w:noProof/>
        </w:rPr>
      </w:pPr>
      <w:r w:rsidRPr="00C977ED">
        <w:rPr>
          <w:rFonts w:cs="Arial"/>
          <w:noProof/>
        </w:rPr>
        <w:t xml:space="preserve">Cicowiez, M. (2009). La evaluación cuantitativa de Políticas Económicas: El enfoque Macro-Micro. In </w:t>
      </w:r>
      <w:r w:rsidRPr="00C977ED">
        <w:rPr>
          <w:rFonts w:cs="Arial"/>
          <w:i/>
          <w:iCs/>
          <w:noProof/>
        </w:rPr>
        <w:t>Progresos en Economía Computacional</w:t>
      </w:r>
      <w:r w:rsidRPr="00C977ED">
        <w:rPr>
          <w:rFonts w:cs="Arial"/>
          <w:noProof/>
        </w:rPr>
        <w:t>. Buenos Aires: Temas Grupo Editorial.</w:t>
      </w:r>
    </w:p>
    <w:p w14:paraId="7DAE9A05" w14:textId="77777777" w:rsidR="00C977ED" w:rsidRPr="006C158C" w:rsidRDefault="00C977ED" w:rsidP="00C977ED">
      <w:pPr>
        <w:widowControl w:val="0"/>
        <w:autoSpaceDE w:val="0"/>
        <w:autoSpaceDN w:val="0"/>
        <w:adjustRightInd w:val="0"/>
        <w:spacing w:after="0" w:line="240" w:lineRule="auto"/>
        <w:ind w:left="480" w:hanging="480"/>
        <w:rPr>
          <w:rFonts w:cs="Arial"/>
          <w:noProof/>
          <w:lang w:val="en-US"/>
        </w:rPr>
      </w:pPr>
      <w:r w:rsidRPr="00C977ED">
        <w:rPr>
          <w:rFonts w:cs="Arial"/>
          <w:noProof/>
        </w:rPr>
        <w:t xml:space="preserve">Cicowiez, M., Sánchez, M. V., &amp; Saborío, G. (2016). </w:t>
      </w:r>
      <w:r w:rsidRPr="00C977ED">
        <w:rPr>
          <w:rFonts w:cs="Arial"/>
          <w:i/>
          <w:iCs/>
          <w:noProof/>
        </w:rPr>
        <w:t>Matriz de contabilidad social Costa Rica 2012, fundamentos metodológicos de su construcción</w:t>
      </w:r>
      <w:r w:rsidRPr="00C977ED">
        <w:rPr>
          <w:rFonts w:cs="Arial"/>
          <w:noProof/>
        </w:rPr>
        <w:t xml:space="preserve">. </w:t>
      </w:r>
      <w:r w:rsidRPr="006C158C">
        <w:rPr>
          <w:rFonts w:cs="Arial"/>
          <w:noProof/>
          <w:lang w:val="en-US"/>
        </w:rPr>
        <w:t>San José.</w:t>
      </w:r>
    </w:p>
    <w:p w14:paraId="2E57BF5B" w14:textId="77777777" w:rsidR="00C977ED" w:rsidRPr="006C158C" w:rsidRDefault="00C977ED" w:rsidP="00C977ED">
      <w:pPr>
        <w:widowControl w:val="0"/>
        <w:autoSpaceDE w:val="0"/>
        <w:autoSpaceDN w:val="0"/>
        <w:adjustRightInd w:val="0"/>
        <w:spacing w:after="0" w:line="240" w:lineRule="auto"/>
        <w:ind w:left="480" w:hanging="480"/>
        <w:rPr>
          <w:rFonts w:cs="Arial"/>
          <w:noProof/>
          <w:lang w:val="en-US"/>
        </w:rPr>
      </w:pPr>
      <w:r w:rsidRPr="006C158C">
        <w:rPr>
          <w:rFonts w:cs="Arial"/>
          <w:noProof/>
          <w:lang w:val="en-US"/>
        </w:rPr>
        <w:t xml:space="preserve">Condon, T., Dahl, H., &amp; Devarajan, S. (1987). Implementing a Computable General Equilibrium Model in GAMS: The Careroon Model: Development Research Department. </w:t>
      </w:r>
      <w:r w:rsidRPr="006C158C">
        <w:rPr>
          <w:rFonts w:cs="Arial"/>
          <w:i/>
          <w:iCs/>
          <w:noProof/>
          <w:lang w:val="en-US"/>
        </w:rPr>
        <w:t>Economics and Research Staff, World Bank</w:t>
      </w:r>
      <w:r w:rsidRPr="006C158C">
        <w:rPr>
          <w:rFonts w:cs="Arial"/>
          <w:noProof/>
          <w:lang w:val="en-US"/>
        </w:rPr>
        <w:t>. Retrieved from https://goo.gl/ACZMk6</w:t>
      </w:r>
    </w:p>
    <w:p w14:paraId="7754E48A" w14:textId="77777777" w:rsidR="00C977ED" w:rsidRPr="00C977ED" w:rsidRDefault="00C977ED" w:rsidP="00C977ED">
      <w:pPr>
        <w:widowControl w:val="0"/>
        <w:autoSpaceDE w:val="0"/>
        <w:autoSpaceDN w:val="0"/>
        <w:adjustRightInd w:val="0"/>
        <w:spacing w:after="0" w:line="240" w:lineRule="auto"/>
        <w:ind w:left="480" w:hanging="480"/>
        <w:rPr>
          <w:rFonts w:cs="Arial"/>
          <w:noProof/>
        </w:rPr>
      </w:pPr>
      <w:r w:rsidRPr="00C977ED">
        <w:rPr>
          <w:rFonts w:cs="Arial"/>
          <w:noProof/>
        </w:rPr>
        <w:t xml:space="preserve">Cornick, J. (1998). </w:t>
      </w:r>
      <w:r w:rsidRPr="00C977ED">
        <w:rPr>
          <w:rFonts w:cs="Arial"/>
          <w:i/>
          <w:iCs/>
          <w:noProof/>
        </w:rPr>
        <w:t>La reforma del sistema tributario en Costa Rica 1994-1997; logros y tareas pendientes</w:t>
      </w:r>
      <w:r w:rsidRPr="00C977ED">
        <w:rPr>
          <w:rFonts w:cs="Arial"/>
          <w:noProof/>
        </w:rPr>
        <w:t>. San José: EureKa Comunicación.</w:t>
      </w:r>
    </w:p>
    <w:p w14:paraId="0ED08436" w14:textId="77777777" w:rsidR="00C977ED" w:rsidRPr="006C158C" w:rsidRDefault="00C977ED" w:rsidP="00C977ED">
      <w:pPr>
        <w:widowControl w:val="0"/>
        <w:autoSpaceDE w:val="0"/>
        <w:autoSpaceDN w:val="0"/>
        <w:adjustRightInd w:val="0"/>
        <w:spacing w:after="0" w:line="240" w:lineRule="auto"/>
        <w:ind w:left="480" w:hanging="480"/>
        <w:rPr>
          <w:rFonts w:cs="Arial"/>
          <w:noProof/>
          <w:lang w:val="en-US"/>
        </w:rPr>
      </w:pPr>
      <w:r w:rsidRPr="00C977ED">
        <w:rPr>
          <w:rFonts w:cs="Arial"/>
          <w:noProof/>
        </w:rPr>
        <w:t xml:space="preserve">Cornick, J. (2005). Costa Rica: política tributaria para el desarrollo humano. In </w:t>
      </w:r>
      <w:r w:rsidRPr="00C977ED">
        <w:rPr>
          <w:rFonts w:cs="Arial"/>
          <w:i/>
          <w:iCs/>
          <w:noProof/>
        </w:rPr>
        <w:t>Recaudar Para Crecer, Bases para la reforma tributaria en Centroamérica</w:t>
      </w:r>
      <w:r w:rsidRPr="00C977ED">
        <w:rPr>
          <w:rFonts w:cs="Arial"/>
          <w:noProof/>
        </w:rPr>
        <w:t xml:space="preserve"> (pp. 75–116). </w:t>
      </w:r>
      <w:r w:rsidRPr="006C158C">
        <w:rPr>
          <w:rFonts w:cs="Arial"/>
          <w:noProof/>
          <w:lang w:val="en-US"/>
        </w:rPr>
        <w:t>Washington D.C: BID.</w:t>
      </w:r>
    </w:p>
    <w:p w14:paraId="706CCBAE" w14:textId="77777777" w:rsidR="00C977ED" w:rsidRPr="006C158C" w:rsidRDefault="00C977ED" w:rsidP="00C977ED">
      <w:pPr>
        <w:widowControl w:val="0"/>
        <w:autoSpaceDE w:val="0"/>
        <w:autoSpaceDN w:val="0"/>
        <w:adjustRightInd w:val="0"/>
        <w:spacing w:after="0" w:line="240" w:lineRule="auto"/>
        <w:ind w:left="480" w:hanging="480"/>
        <w:rPr>
          <w:rFonts w:cs="Arial"/>
          <w:noProof/>
          <w:lang w:val="en-US"/>
        </w:rPr>
      </w:pPr>
      <w:r w:rsidRPr="006C158C">
        <w:rPr>
          <w:rFonts w:cs="Arial"/>
          <w:noProof/>
          <w:lang w:val="en-US"/>
        </w:rPr>
        <w:t>Dervis, K., de Melo, J., &amp; Robinson, S. (1982). General equilibrium models for development policy.</w:t>
      </w:r>
    </w:p>
    <w:p w14:paraId="18CEB7AB" w14:textId="77777777" w:rsidR="00C977ED" w:rsidRPr="00C977ED" w:rsidRDefault="00C977ED" w:rsidP="00C977ED">
      <w:pPr>
        <w:widowControl w:val="0"/>
        <w:autoSpaceDE w:val="0"/>
        <w:autoSpaceDN w:val="0"/>
        <w:adjustRightInd w:val="0"/>
        <w:spacing w:after="0" w:line="240" w:lineRule="auto"/>
        <w:ind w:left="480" w:hanging="480"/>
        <w:rPr>
          <w:rFonts w:cs="Arial"/>
          <w:noProof/>
        </w:rPr>
      </w:pPr>
      <w:r w:rsidRPr="00C977ED">
        <w:rPr>
          <w:rFonts w:cs="Arial"/>
          <w:noProof/>
        </w:rPr>
        <w:t xml:space="preserve">Guardia, J., Ordoñez, J., Torrealba, A., &amp; Villasuso, J. (2004, May 2). Siete ajustes urgentes. </w:t>
      </w:r>
      <w:r w:rsidRPr="00C977ED">
        <w:rPr>
          <w:rFonts w:cs="Arial"/>
          <w:i/>
          <w:iCs/>
          <w:noProof/>
        </w:rPr>
        <w:t>La Nación</w:t>
      </w:r>
      <w:r w:rsidRPr="00C977ED">
        <w:rPr>
          <w:rFonts w:cs="Arial"/>
          <w:noProof/>
        </w:rPr>
        <w:t>. Retrieved from https://goo.gl/6ljWFX</w:t>
      </w:r>
    </w:p>
    <w:p w14:paraId="4D68CC80" w14:textId="77777777" w:rsidR="00C977ED" w:rsidRPr="00C977ED" w:rsidRDefault="00C977ED" w:rsidP="00C977ED">
      <w:pPr>
        <w:widowControl w:val="0"/>
        <w:autoSpaceDE w:val="0"/>
        <w:autoSpaceDN w:val="0"/>
        <w:adjustRightInd w:val="0"/>
        <w:spacing w:after="0" w:line="240" w:lineRule="auto"/>
        <w:ind w:left="480" w:hanging="480"/>
        <w:rPr>
          <w:rFonts w:cs="Arial"/>
          <w:noProof/>
        </w:rPr>
      </w:pPr>
      <w:r w:rsidRPr="00C977ED">
        <w:rPr>
          <w:rFonts w:cs="Arial"/>
          <w:noProof/>
        </w:rPr>
        <w:t xml:space="preserve">Hernandez Sampieri, R., Fernandez Collado, C., &amp; Baptista Lucio, M. del P. (1991). </w:t>
      </w:r>
      <w:r w:rsidRPr="00C977ED">
        <w:rPr>
          <w:rFonts w:cs="Arial"/>
          <w:i/>
          <w:iCs/>
          <w:noProof/>
        </w:rPr>
        <w:t>Metodología de la investigación</w:t>
      </w:r>
      <w:r w:rsidRPr="00C977ED">
        <w:rPr>
          <w:rFonts w:cs="Arial"/>
          <w:noProof/>
        </w:rPr>
        <w:t>. México: McGraw-Hill. https://doi.org/- ISBN 978-92-75-32913-9</w:t>
      </w:r>
    </w:p>
    <w:p w14:paraId="487A18E0" w14:textId="77777777" w:rsidR="00C977ED" w:rsidRPr="006C158C" w:rsidRDefault="00C977ED" w:rsidP="00C977ED">
      <w:pPr>
        <w:widowControl w:val="0"/>
        <w:autoSpaceDE w:val="0"/>
        <w:autoSpaceDN w:val="0"/>
        <w:adjustRightInd w:val="0"/>
        <w:spacing w:after="0" w:line="240" w:lineRule="auto"/>
        <w:ind w:left="480" w:hanging="480"/>
        <w:rPr>
          <w:rFonts w:cs="Arial"/>
          <w:noProof/>
          <w:lang w:val="en-US"/>
        </w:rPr>
      </w:pPr>
      <w:r w:rsidRPr="00C977ED">
        <w:rPr>
          <w:rFonts w:cs="Arial"/>
          <w:noProof/>
        </w:rPr>
        <w:lastRenderedPageBreak/>
        <w:t xml:space="preserve">INEC. (2018). Tasa de desempleo se situó en 9,3%. </w:t>
      </w:r>
      <w:r w:rsidRPr="006C158C">
        <w:rPr>
          <w:rFonts w:cs="Arial"/>
          <w:noProof/>
          <w:lang w:val="en-US"/>
        </w:rPr>
        <w:t>Retrieved from https://goo.gl/eaSzNL</w:t>
      </w:r>
    </w:p>
    <w:p w14:paraId="0F192311" w14:textId="77777777" w:rsidR="00C977ED" w:rsidRPr="00C977ED" w:rsidRDefault="00C977ED" w:rsidP="00C977ED">
      <w:pPr>
        <w:widowControl w:val="0"/>
        <w:autoSpaceDE w:val="0"/>
        <w:autoSpaceDN w:val="0"/>
        <w:adjustRightInd w:val="0"/>
        <w:spacing w:after="0" w:line="240" w:lineRule="auto"/>
        <w:ind w:left="480" w:hanging="480"/>
        <w:rPr>
          <w:rFonts w:cs="Arial"/>
          <w:noProof/>
        </w:rPr>
      </w:pPr>
      <w:r w:rsidRPr="00C977ED">
        <w:rPr>
          <w:rFonts w:cs="Arial"/>
          <w:noProof/>
        </w:rPr>
        <w:t xml:space="preserve">Jiménez Zeledón, M., &amp; Rojas Saborio, I. (2010). La reforma tributaria posible en Costa Rica. </w:t>
      </w:r>
      <w:r w:rsidRPr="00C977ED">
        <w:rPr>
          <w:rFonts w:cs="Arial"/>
          <w:i/>
          <w:iCs/>
          <w:noProof/>
        </w:rPr>
        <w:t>Revista de Ciencias Económicas</w:t>
      </w:r>
      <w:r w:rsidRPr="00C977ED">
        <w:rPr>
          <w:rFonts w:cs="Arial"/>
          <w:noProof/>
        </w:rPr>
        <w:t xml:space="preserve">, </w:t>
      </w:r>
      <w:r w:rsidRPr="00C977ED">
        <w:rPr>
          <w:rFonts w:cs="Arial"/>
          <w:i/>
          <w:iCs/>
          <w:noProof/>
        </w:rPr>
        <w:t>28</w:t>
      </w:r>
      <w:r w:rsidRPr="00C977ED">
        <w:rPr>
          <w:rFonts w:cs="Arial"/>
          <w:noProof/>
        </w:rPr>
        <w:t>. Retrieved from https://goo.gl/EXjYiv</w:t>
      </w:r>
    </w:p>
    <w:p w14:paraId="526306E9" w14:textId="77777777" w:rsidR="00C977ED" w:rsidRPr="00C977ED" w:rsidRDefault="00C977ED" w:rsidP="00C977ED">
      <w:pPr>
        <w:widowControl w:val="0"/>
        <w:autoSpaceDE w:val="0"/>
        <w:autoSpaceDN w:val="0"/>
        <w:adjustRightInd w:val="0"/>
        <w:spacing w:after="0" w:line="240" w:lineRule="auto"/>
        <w:ind w:left="480" w:hanging="480"/>
        <w:rPr>
          <w:rFonts w:cs="Arial"/>
          <w:noProof/>
        </w:rPr>
      </w:pPr>
      <w:r w:rsidRPr="00C977ED">
        <w:rPr>
          <w:rFonts w:cs="Arial"/>
          <w:noProof/>
        </w:rPr>
        <w:t xml:space="preserve">Kehoe, T. J., &amp; Serra-Puche, J. (1983). </w:t>
      </w:r>
      <w:r w:rsidRPr="006C158C">
        <w:rPr>
          <w:rFonts w:cs="Arial"/>
          <w:noProof/>
          <w:lang w:val="en-US"/>
        </w:rPr>
        <w:t xml:space="preserve">A computational general equilibrium model with endogenous unemployment: An analysis of the 1980 fiscal reform in Mexico. </w:t>
      </w:r>
      <w:r w:rsidRPr="00C977ED">
        <w:rPr>
          <w:rFonts w:cs="Arial"/>
          <w:i/>
          <w:iCs/>
          <w:noProof/>
        </w:rPr>
        <w:t>Journal of Public Economics</w:t>
      </w:r>
      <w:r w:rsidRPr="00C977ED">
        <w:rPr>
          <w:rFonts w:cs="Arial"/>
          <w:noProof/>
        </w:rPr>
        <w:t xml:space="preserve">, </w:t>
      </w:r>
      <w:r w:rsidRPr="00C977ED">
        <w:rPr>
          <w:rFonts w:cs="Arial"/>
          <w:i/>
          <w:iCs/>
          <w:noProof/>
        </w:rPr>
        <w:t>22</w:t>
      </w:r>
      <w:r w:rsidRPr="00C977ED">
        <w:rPr>
          <w:rFonts w:cs="Arial"/>
          <w:noProof/>
        </w:rPr>
        <w:t>(1), 1–26. https://doi.org/10.1016/0047-2727(83)90054-3</w:t>
      </w:r>
    </w:p>
    <w:p w14:paraId="3C0CFA47" w14:textId="77777777" w:rsidR="00C977ED" w:rsidRPr="00C977ED" w:rsidRDefault="00C977ED" w:rsidP="00C977ED">
      <w:pPr>
        <w:widowControl w:val="0"/>
        <w:autoSpaceDE w:val="0"/>
        <w:autoSpaceDN w:val="0"/>
        <w:adjustRightInd w:val="0"/>
        <w:spacing w:after="0" w:line="240" w:lineRule="auto"/>
        <w:ind w:left="480" w:hanging="480"/>
        <w:rPr>
          <w:rFonts w:cs="Arial"/>
          <w:noProof/>
        </w:rPr>
      </w:pPr>
      <w:r w:rsidRPr="00C977ED">
        <w:rPr>
          <w:rFonts w:cs="Arial"/>
          <w:noProof/>
        </w:rPr>
        <w:t xml:space="preserve">Lora, E. (1995). Los modelos de equilibrio general computable en análisis de incidencia fiscal. </w:t>
      </w:r>
      <w:r w:rsidRPr="00C977ED">
        <w:rPr>
          <w:rFonts w:cs="Arial"/>
          <w:i/>
          <w:iCs/>
          <w:noProof/>
        </w:rPr>
        <w:t>El Trimestre Económico</w:t>
      </w:r>
      <w:r w:rsidRPr="00C977ED">
        <w:rPr>
          <w:rFonts w:cs="Arial"/>
          <w:noProof/>
        </w:rPr>
        <w:t>, 21–78. Retrieved from https://goo.gl/gk6JPo</w:t>
      </w:r>
    </w:p>
    <w:p w14:paraId="58EA4345" w14:textId="77777777" w:rsidR="00C977ED" w:rsidRPr="006C158C" w:rsidRDefault="00C977ED" w:rsidP="00C977ED">
      <w:pPr>
        <w:widowControl w:val="0"/>
        <w:autoSpaceDE w:val="0"/>
        <w:autoSpaceDN w:val="0"/>
        <w:adjustRightInd w:val="0"/>
        <w:spacing w:after="0" w:line="240" w:lineRule="auto"/>
        <w:ind w:left="480" w:hanging="480"/>
        <w:rPr>
          <w:rFonts w:cs="Arial"/>
          <w:noProof/>
          <w:lang w:val="en-US"/>
        </w:rPr>
      </w:pPr>
      <w:r w:rsidRPr="00C977ED">
        <w:rPr>
          <w:rFonts w:cs="Arial"/>
          <w:noProof/>
        </w:rPr>
        <w:t xml:space="preserve">Lora, E., &amp; Herrera, A. (1994). </w:t>
      </w:r>
      <w:r w:rsidRPr="006C158C">
        <w:rPr>
          <w:rFonts w:cs="Arial"/>
          <w:noProof/>
          <w:lang w:val="en-US"/>
        </w:rPr>
        <w:t xml:space="preserve">A tax incidence in Colombia: a general equilibrium analysis. </w:t>
      </w:r>
      <w:r w:rsidRPr="006C158C">
        <w:rPr>
          <w:rFonts w:cs="Arial"/>
          <w:i/>
          <w:iCs/>
          <w:noProof/>
          <w:lang w:val="en-US"/>
        </w:rPr>
        <w:t>Fedesarrollo</w:t>
      </w:r>
      <w:r w:rsidRPr="006C158C">
        <w:rPr>
          <w:rFonts w:cs="Arial"/>
          <w:noProof/>
          <w:lang w:val="en-US"/>
        </w:rPr>
        <w:t>. Retrieved from https://goo.gl/nenpGL</w:t>
      </w:r>
    </w:p>
    <w:p w14:paraId="2E2380DD" w14:textId="77777777" w:rsidR="00C977ED" w:rsidRPr="006C158C" w:rsidRDefault="00C977ED" w:rsidP="00C977ED">
      <w:pPr>
        <w:widowControl w:val="0"/>
        <w:autoSpaceDE w:val="0"/>
        <w:autoSpaceDN w:val="0"/>
        <w:adjustRightInd w:val="0"/>
        <w:spacing w:after="0" w:line="240" w:lineRule="auto"/>
        <w:ind w:left="480" w:hanging="480"/>
        <w:rPr>
          <w:rFonts w:cs="Arial"/>
          <w:noProof/>
          <w:lang w:val="en-US"/>
        </w:rPr>
      </w:pPr>
      <w:r w:rsidRPr="006C158C">
        <w:rPr>
          <w:rFonts w:cs="Arial"/>
          <w:noProof/>
          <w:lang w:val="en-US"/>
        </w:rPr>
        <w:t xml:space="preserve">McDonald, S., &amp; Thierfelder, K. (2017). </w:t>
      </w:r>
      <w:r w:rsidRPr="006C158C">
        <w:rPr>
          <w:rFonts w:cs="Arial"/>
          <w:i/>
          <w:iCs/>
          <w:noProof/>
          <w:lang w:val="en-US"/>
        </w:rPr>
        <w:t>A Static Applied General Equilibrium Model: Technical Documentation - STAGE_int Version</w:t>
      </w:r>
      <w:r w:rsidRPr="006C158C">
        <w:rPr>
          <w:rFonts w:cs="Arial"/>
          <w:noProof/>
          <w:lang w:val="en-US"/>
        </w:rPr>
        <w:t>.</w:t>
      </w:r>
    </w:p>
    <w:p w14:paraId="23136D1D" w14:textId="77777777" w:rsidR="00C977ED" w:rsidRPr="00C977ED" w:rsidRDefault="00C977ED" w:rsidP="00C977ED">
      <w:pPr>
        <w:widowControl w:val="0"/>
        <w:autoSpaceDE w:val="0"/>
        <w:autoSpaceDN w:val="0"/>
        <w:adjustRightInd w:val="0"/>
        <w:spacing w:after="0" w:line="240" w:lineRule="auto"/>
        <w:ind w:left="480" w:hanging="480"/>
        <w:rPr>
          <w:rFonts w:cs="Arial"/>
          <w:noProof/>
        </w:rPr>
      </w:pPr>
      <w:r w:rsidRPr="00C977ED">
        <w:rPr>
          <w:rFonts w:cs="Arial"/>
          <w:noProof/>
        </w:rPr>
        <w:t xml:space="preserve">Morales, E. (2013, December 15). Impuesto de ventas ha sufrido más reformas en los últimos 26 años. </w:t>
      </w:r>
      <w:r w:rsidRPr="00C977ED">
        <w:rPr>
          <w:rFonts w:cs="Arial"/>
          <w:i/>
          <w:iCs/>
          <w:noProof/>
        </w:rPr>
        <w:t>El Financiero</w:t>
      </w:r>
      <w:r w:rsidRPr="00C977ED">
        <w:rPr>
          <w:rFonts w:cs="Arial"/>
          <w:noProof/>
        </w:rPr>
        <w:t>. Retrieved from https://goo.gl/FJBx5h</w:t>
      </w:r>
    </w:p>
    <w:p w14:paraId="3B4DA84F" w14:textId="77777777" w:rsidR="00C977ED" w:rsidRPr="00C977ED" w:rsidRDefault="00C977ED" w:rsidP="00C977ED">
      <w:pPr>
        <w:widowControl w:val="0"/>
        <w:autoSpaceDE w:val="0"/>
        <w:autoSpaceDN w:val="0"/>
        <w:adjustRightInd w:val="0"/>
        <w:spacing w:after="0" w:line="240" w:lineRule="auto"/>
        <w:ind w:left="480" w:hanging="480"/>
        <w:rPr>
          <w:rFonts w:cs="Arial"/>
          <w:noProof/>
        </w:rPr>
      </w:pPr>
      <w:r w:rsidRPr="00C977ED">
        <w:rPr>
          <w:rFonts w:cs="Arial"/>
          <w:noProof/>
        </w:rPr>
        <w:t xml:space="preserve">Morán, D., &amp; Pecho, M. (2016). La tributación en América Latina en los últimos cincuenta años. </w:t>
      </w:r>
      <w:r w:rsidRPr="00C977ED">
        <w:rPr>
          <w:rFonts w:cs="Arial"/>
          <w:i/>
          <w:iCs/>
          <w:noProof/>
        </w:rPr>
        <w:t>Documentos-Instituto de Estudios Fiscales</w:t>
      </w:r>
      <w:r w:rsidRPr="00C977ED">
        <w:rPr>
          <w:rFonts w:cs="Arial"/>
          <w:noProof/>
        </w:rPr>
        <w:t>, (18), 1–42. Retrieved from https://goo.gl/5k52xP</w:t>
      </w:r>
    </w:p>
    <w:p w14:paraId="2D3EB013" w14:textId="77777777" w:rsidR="00C977ED" w:rsidRPr="006C158C" w:rsidRDefault="00C977ED" w:rsidP="00C977ED">
      <w:pPr>
        <w:widowControl w:val="0"/>
        <w:autoSpaceDE w:val="0"/>
        <w:autoSpaceDN w:val="0"/>
        <w:adjustRightInd w:val="0"/>
        <w:spacing w:after="0" w:line="240" w:lineRule="auto"/>
        <w:ind w:left="480" w:hanging="480"/>
        <w:rPr>
          <w:rFonts w:cs="Arial"/>
          <w:noProof/>
          <w:lang w:val="en-US"/>
        </w:rPr>
      </w:pPr>
      <w:r w:rsidRPr="006C158C">
        <w:rPr>
          <w:rFonts w:cs="Arial"/>
          <w:noProof/>
          <w:lang w:val="en-US"/>
        </w:rPr>
        <w:t xml:space="preserve">Petersen, T. W. (1997). An introduction to CGE-modelling and an illustrative application to Eastern European Integration with the EU. </w:t>
      </w:r>
      <w:r w:rsidRPr="006C158C">
        <w:rPr>
          <w:rFonts w:cs="Arial"/>
          <w:i/>
          <w:iCs/>
          <w:noProof/>
          <w:lang w:val="en-US"/>
        </w:rPr>
        <w:t>Kobenhavns Universitet, Ekonomisk Institut</w:t>
      </w:r>
      <w:r w:rsidRPr="006C158C">
        <w:rPr>
          <w:rFonts w:cs="Arial"/>
          <w:noProof/>
          <w:lang w:val="en-US"/>
        </w:rPr>
        <w:t xml:space="preserve">, </w:t>
      </w:r>
      <w:r w:rsidRPr="006C158C">
        <w:rPr>
          <w:rFonts w:cs="Arial"/>
          <w:i/>
          <w:iCs/>
          <w:noProof/>
          <w:lang w:val="en-US"/>
        </w:rPr>
        <w:t>98</w:t>
      </w:r>
      <w:r w:rsidRPr="006C158C">
        <w:rPr>
          <w:rFonts w:cs="Arial"/>
          <w:noProof/>
          <w:lang w:val="en-US"/>
        </w:rPr>
        <w:t>(4), 1–19. Retrieved from https://goo.gl/027BAU</w:t>
      </w:r>
    </w:p>
    <w:p w14:paraId="58F5866B" w14:textId="77777777" w:rsidR="00C977ED" w:rsidRPr="00C977ED" w:rsidRDefault="00C977ED" w:rsidP="00C977ED">
      <w:pPr>
        <w:widowControl w:val="0"/>
        <w:autoSpaceDE w:val="0"/>
        <w:autoSpaceDN w:val="0"/>
        <w:adjustRightInd w:val="0"/>
        <w:spacing w:after="0" w:line="240" w:lineRule="auto"/>
        <w:ind w:left="480" w:hanging="480"/>
        <w:rPr>
          <w:rFonts w:cs="Arial"/>
          <w:noProof/>
        </w:rPr>
      </w:pPr>
      <w:r w:rsidRPr="006C158C">
        <w:rPr>
          <w:rFonts w:cs="Arial"/>
          <w:noProof/>
          <w:lang w:val="en-US"/>
        </w:rPr>
        <w:t xml:space="preserve">Polo, C., &amp; Sancho, F. (1991). </w:t>
      </w:r>
      <w:r w:rsidRPr="00C977ED">
        <w:rPr>
          <w:rFonts w:cs="Arial"/>
          <w:noProof/>
        </w:rPr>
        <w:t xml:space="preserve">Equivalencia recaudatoria y asignación de recursos: Un análisis de simulación. </w:t>
      </w:r>
      <w:r w:rsidRPr="00C977ED">
        <w:rPr>
          <w:rFonts w:cs="Arial"/>
          <w:i/>
          <w:iCs/>
          <w:noProof/>
        </w:rPr>
        <w:t>Cuadernos Económicos de ICE</w:t>
      </w:r>
      <w:r w:rsidRPr="00C977ED">
        <w:rPr>
          <w:rFonts w:cs="Arial"/>
          <w:noProof/>
        </w:rPr>
        <w:t xml:space="preserve">, </w:t>
      </w:r>
      <w:r w:rsidRPr="00C977ED">
        <w:rPr>
          <w:rFonts w:cs="Arial"/>
          <w:i/>
          <w:iCs/>
          <w:noProof/>
        </w:rPr>
        <w:t>2</w:t>
      </w:r>
      <w:r w:rsidRPr="00C977ED">
        <w:rPr>
          <w:rFonts w:cs="Arial"/>
          <w:noProof/>
        </w:rPr>
        <w:t>(48), 239–252.</w:t>
      </w:r>
    </w:p>
    <w:p w14:paraId="5E329594" w14:textId="77777777" w:rsidR="00C977ED" w:rsidRPr="00C977ED" w:rsidRDefault="00C977ED" w:rsidP="00C977ED">
      <w:pPr>
        <w:widowControl w:val="0"/>
        <w:autoSpaceDE w:val="0"/>
        <w:autoSpaceDN w:val="0"/>
        <w:adjustRightInd w:val="0"/>
        <w:spacing w:after="0" w:line="240" w:lineRule="auto"/>
        <w:ind w:left="480" w:hanging="480"/>
        <w:rPr>
          <w:rFonts w:cs="Arial"/>
          <w:noProof/>
        </w:rPr>
      </w:pPr>
      <w:r w:rsidRPr="00C977ED">
        <w:rPr>
          <w:rFonts w:cs="Arial"/>
          <w:noProof/>
        </w:rPr>
        <w:t>Proyecto de Ley de Solaridad Tributaria, Pub. L. No. 18.261 (2011). San José: La Gaceta diario oficial de Costa Rica.</w:t>
      </w:r>
    </w:p>
    <w:p w14:paraId="55A13F62" w14:textId="77777777" w:rsidR="00C977ED" w:rsidRPr="00C977ED" w:rsidRDefault="00C977ED" w:rsidP="00C977ED">
      <w:pPr>
        <w:widowControl w:val="0"/>
        <w:autoSpaceDE w:val="0"/>
        <w:autoSpaceDN w:val="0"/>
        <w:adjustRightInd w:val="0"/>
        <w:spacing w:after="0" w:line="240" w:lineRule="auto"/>
        <w:ind w:left="480" w:hanging="480"/>
        <w:rPr>
          <w:rFonts w:cs="Arial"/>
          <w:noProof/>
        </w:rPr>
      </w:pPr>
      <w:r w:rsidRPr="00C977ED">
        <w:rPr>
          <w:rFonts w:cs="Arial"/>
          <w:noProof/>
        </w:rPr>
        <w:t>Proyecto de Ley del Impuesto sobre el Valor Agregado, Pub. L. No. 19.678 (2015). San José: La Gaceta diario oficial de Costa. Retrieved from https://goo.gl/5i7fdZ</w:t>
      </w:r>
    </w:p>
    <w:p w14:paraId="26096CAB" w14:textId="77777777" w:rsidR="00C977ED" w:rsidRPr="006C158C" w:rsidRDefault="00C977ED" w:rsidP="00C977ED">
      <w:pPr>
        <w:widowControl w:val="0"/>
        <w:autoSpaceDE w:val="0"/>
        <w:autoSpaceDN w:val="0"/>
        <w:adjustRightInd w:val="0"/>
        <w:spacing w:after="0" w:line="240" w:lineRule="auto"/>
        <w:ind w:left="480" w:hanging="480"/>
        <w:rPr>
          <w:rFonts w:cs="Arial"/>
          <w:noProof/>
          <w:lang w:val="en-US"/>
        </w:rPr>
      </w:pPr>
      <w:r w:rsidRPr="00C977ED">
        <w:rPr>
          <w:rFonts w:cs="Arial"/>
          <w:noProof/>
        </w:rPr>
        <w:t xml:space="preserve">Romero, C. A. (2009). Calibración de modelos de equilibrio general computado: métodos y práctica usual. </w:t>
      </w:r>
      <w:r w:rsidRPr="006C158C">
        <w:rPr>
          <w:rFonts w:cs="Arial"/>
          <w:i/>
          <w:iCs/>
          <w:noProof/>
          <w:lang w:val="en-US"/>
        </w:rPr>
        <w:t>MPRA Paper</w:t>
      </w:r>
      <w:r w:rsidRPr="006C158C">
        <w:rPr>
          <w:rFonts w:cs="Arial"/>
          <w:noProof/>
          <w:lang w:val="en-US"/>
        </w:rPr>
        <w:t>. Retrieved from https://goo.gl/6axTZS</w:t>
      </w:r>
    </w:p>
    <w:p w14:paraId="529A9C55" w14:textId="77777777" w:rsidR="00C977ED" w:rsidRPr="006C158C" w:rsidRDefault="00C977ED" w:rsidP="00C977ED">
      <w:pPr>
        <w:widowControl w:val="0"/>
        <w:autoSpaceDE w:val="0"/>
        <w:autoSpaceDN w:val="0"/>
        <w:adjustRightInd w:val="0"/>
        <w:spacing w:after="0" w:line="240" w:lineRule="auto"/>
        <w:ind w:left="480" w:hanging="480"/>
        <w:rPr>
          <w:rFonts w:cs="Arial"/>
          <w:noProof/>
          <w:lang w:val="en-US"/>
        </w:rPr>
      </w:pPr>
      <w:r w:rsidRPr="006C158C">
        <w:rPr>
          <w:rFonts w:cs="Arial"/>
          <w:noProof/>
          <w:lang w:val="en-US"/>
        </w:rPr>
        <w:t xml:space="preserve">Rutherford, T., &amp; Light, M. (2002). A General Equilibrium Model for Tax Policy Analysis in Colombia: The MEGATAX model. </w:t>
      </w:r>
      <w:r w:rsidRPr="006C158C">
        <w:rPr>
          <w:rFonts w:cs="Arial"/>
          <w:i/>
          <w:iCs/>
          <w:noProof/>
          <w:lang w:val="en-US"/>
        </w:rPr>
        <w:t>MPRA Paper</w:t>
      </w:r>
      <w:r w:rsidRPr="006C158C">
        <w:rPr>
          <w:rFonts w:cs="Arial"/>
          <w:noProof/>
          <w:lang w:val="en-US"/>
        </w:rPr>
        <w:t>. Retrieved from https://goo.gl/cqSsBs</w:t>
      </w:r>
    </w:p>
    <w:p w14:paraId="106C5C46" w14:textId="77777777" w:rsidR="00C977ED" w:rsidRPr="006C158C" w:rsidRDefault="00C977ED" w:rsidP="00C977ED">
      <w:pPr>
        <w:widowControl w:val="0"/>
        <w:autoSpaceDE w:val="0"/>
        <w:autoSpaceDN w:val="0"/>
        <w:adjustRightInd w:val="0"/>
        <w:spacing w:after="0" w:line="240" w:lineRule="auto"/>
        <w:ind w:left="480" w:hanging="480"/>
        <w:rPr>
          <w:rFonts w:cs="Arial"/>
          <w:noProof/>
          <w:lang w:val="en-US"/>
        </w:rPr>
      </w:pPr>
      <w:r w:rsidRPr="006C158C">
        <w:rPr>
          <w:rFonts w:cs="Arial"/>
          <w:noProof/>
          <w:lang w:val="en-US"/>
        </w:rPr>
        <w:t xml:space="preserve">Sánchez, M. V. (2004). </w:t>
      </w:r>
      <w:r w:rsidRPr="006C158C">
        <w:rPr>
          <w:rFonts w:cs="Arial"/>
          <w:i/>
          <w:iCs/>
          <w:noProof/>
          <w:lang w:val="en-US"/>
        </w:rPr>
        <w:t>Rising inequality and falling poverty in Costa Rica’s agriculture during trade reform: a macro-micro general equilibrium analysis.</w:t>
      </w:r>
      <w:r w:rsidRPr="006C158C">
        <w:rPr>
          <w:rFonts w:cs="Arial"/>
          <w:noProof/>
          <w:lang w:val="en-US"/>
        </w:rPr>
        <w:t xml:space="preserve"> Maastricht: Shaker.</w:t>
      </w:r>
    </w:p>
    <w:p w14:paraId="281C926B" w14:textId="77777777" w:rsidR="00C977ED" w:rsidRPr="006C158C" w:rsidRDefault="00C977ED" w:rsidP="00C977ED">
      <w:pPr>
        <w:widowControl w:val="0"/>
        <w:autoSpaceDE w:val="0"/>
        <w:autoSpaceDN w:val="0"/>
        <w:adjustRightInd w:val="0"/>
        <w:spacing w:after="0" w:line="240" w:lineRule="auto"/>
        <w:ind w:left="480" w:hanging="480"/>
        <w:rPr>
          <w:rFonts w:cs="Arial"/>
          <w:noProof/>
          <w:lang w:val="en-US"/>
        </w:rPr>
      </w:pPr>
      <w:r w:rsidRPr="006C158C">
        <w:rPr>
          <w:rFonts w:cs="Arial"/>
          <w:noProof/>
          <w:lang w:val="en-US"/>
        </w:rPr>
        <w:t xml:space="preserve">Shoven, J., &amp; Whalley, J. (1984). Applied General-Equilibrium Models of Taxation and International Trade: An Introduction and Survey. </w:t>
      </w:r>
      <w:r w:rsidRPr="006C158C">
        <w:rPr>
          <w:rFonts w:cs="Arial"/>
          <w:i/>
          <w:iCs/>
          <w:noProof/>
          <w:lang w:val="en-US"/>
        </w:rPr>
        <w:t>Journal of Economic Literature</w:t>
      </w:r>
      <w:r w:rsidRPr="006C158C">
        <w:rPr>
          <w:rFonts w:cs="Arial"/>
          <w:noProof/>
          <w:lang w:val="en-US"/>
        </w:rPr>
        <w:t xml:space="preserve">, </w:t>
      </w:r>
      <w:r w:rsidRPr="006C158C">
        <w:rPr>
          <w:rFonts w:cs="Arial"/>
          <w:i/>
          <w:iCs/>
          <w:noProof/>
          <w:lang w:val="en-US"/>
        </w:rPr>
        <w:t>22</w:t>
      </w:r>
      <w:r w:rsidRPr="006C158C">
        <w:rPr>
          <w:rFonts w:cs="Arial"/>
          <w:noProof/>
          <w:lang w:val="en-US"/>
        </w:rPr>
        <w:t>(3), 1007–1051. https://doi.org/10.2307/2725306</w:t>
      </w:r>
    </w:p>
    <w:p w14:paraId="6B29D40E" w14:textId="77777777" w:rsidR="00C977ED" w:rsidRPr="006C158C" w:rsidRDefault="00C977ED" w:rsidP="00C977ED">
      <w:pPr>
        <w:widowControl w:val="0"/>
        <w:autoSpaceDE w:val="0"/>
        <w:autoSpaceDN w:val="0"/>
        <w:adjustRightInd w:val="0"/>
        <w:spacing w:after="0" w:line="240" w:lineRule="auto"/>
        <w:ind w:left="480" w:hanging="480"/>
        <w:rPr>
          <w:rFonts w:cs="Arial"/>
          <w:noProof/>
          <w:lang w:val="en-US"/>
        </w:rPr>
      </w:pPr>
      <w:r w:rsidRPr="006C158C">
        <w:rPr>
          <w:rFonts w:cs="Arial"/>
          <w:noProof/>
          <w:lang w:val="en-US"/>
        </w:rPr>
        <w:t xml:space="preserve">Stiglitz, J. (2000). </w:t>
      </w:r>
      <w:r w:rsidRPr="006C158C">
        <w:rPr>
          <w:rFonts w:cs="Arial"/>
          <w:i/>
          <w:iCs/>
          <w:noProof/>
          <w:lang w:val="en-US"/>
        </w:rPr>
        <w:t>Economics of the public sector</w:t>
      </w:r>
      <w:r w:rsidRPr="006C158C">
        <w:rPr>
          <w:rFonts w:cs="Arial"/>
          <w:noProof/>
          <w:lang w:val="en-US"/>
        </w:rPr>
        <w:t>. New York: W.W. Norton New York.</w:t>
      </w:r>
    </w:p>
    <w:p w14:paraId="3EB91E56" w14:textId="77777777" w:rsidR="00C977ED" w:rsidRPr="006C158C" w:rsidRDefault="00C977ED" w:rsidP="00C977ED">
      <w:pPr>
        <w:widowControl w:val="0"/>
        <w:autoSpaceDE w:val="0"/>
        <w:autoSpaceDN w:val="0"/>
        <w:adjustRightInd w:val="0"/>
        <w:spacing w:after="0" w:line="240" w:lineRule="auto"/>
        <w:ind w:left="480" w:hanging="480"/>
        <w:rPr>
          <w:rFonts w:cs="Arial"/>
          <w:noProof/>
          <w:lang w:val="en-US"/>
        </w:rPr>
      </w:pPr>
      <w:r w:rsidRPr="006C158C">
        <w:rPr>
          <w:rFonts w:cs="Arial"/>
          <w:noProof/>
          <w:lang w:val="en-US"/>
        </w:rPr>
        <w:t xml:space="preserve">Tanzi, V., &amp; Zee, H. H. (2001). </w:t>
      </w:r>
      <w:r w:rsidRPr="006C158C">
        <w:rPr>
          <w:rFonts w:cs="Arial"/>
          <w:i/>
          <w:iCs/>
          <w:noProof/>
          <w:lang w:val="en-US"/>
        </w:rPr>
        <w:t>Tax policy for developing countries</w:t>
      </w:r>
      <w:r w:rsidRPr="006C158C">
        <w:rPr>
          <w:rFonts w:cs="Arial"/>
          <w:noProof/>
          <w:lang w:val="en-US"/>
        </w:rPr>
        <w:t xml:space="preserve"> (Vol. 27). International Monetary Fund. Retrieved from https://goo.gl/5fMnpe</w:t>
      </w:r>
    </w:p>
    <w:p w14:paraId="5ECDAFD1" w14:textId="77777777" w:rsidR="00C977ED" w:rsidRPr="00C977ED" w:rsidRDefault="00C977ED" w:rsidP="00C977ED">
      <w:pPr>
        <w:widowControl w:val="0"/>
        <w:autoSpaceDE w:val="0"/>
        <w:autoSpaceDN w:val="0"/>
        <w:adjustRightInd w:val="0"/>
        <w:spacing w:after="0" w:line="240" w:lineRule="auto"/>
        <w:ind w:left="480" w:hanging="480"/>
        <w:rPr>
          <w:rFonts w:cs="Arial"/>
          <w:noProof/>
        </w:rPr>
      </w:pPr>
      <w:r w:rsidRPr="006C158C">
        <w:rPr>
          <w:rFonts w:cs="Arial"/>
          <w:noProof/>
          <w:lang w:val="en-US"/>
        </w:rPr>
        <w:t xml:space="preserve">Valerio, M. V. (2016). </w:t>
      </w:r>
      <w:r w:rsidRPr="00C977ED">
        <w:rPr>
          <w:rFonts w:cs="Arial"/>
          <w:noProof/>
        </w:rPr>
        <w:t xml:space="preserve">Un Modelo de Equilibrio General Dinámico Estocástico Estimado para la Economía Costarricense (2006-2014). </w:t>
      </w:r>
      <w:r w:rsidRPr="00C977ED">
        <w:rPr>
          <w:rFonts w:cs="Arial"/>
          <w:i/>
          <w:iCs/>
          <w:noProof/>
        </w:rPr>
        <w:t>Economía &amp; Sociedad</w:t>
      </w:r>
      <w:r w:rsidRPr="00C977ED">
        <w:rPr>
          <w:rFonts w:cs="Arial"/>
          <w:noProof/>
        </w:rPr>
        <w:t xml:space="preserve">, </w:t>
      </w:r>
      <w:r w:rsidRPr="00C977ED">
        <w:rPr>
          <w:rFonts w:cs="Arial"/>
          <w:i/>
          <w:iCs/>
          <w:noProof/>
        </w:rPr>
        <w:t>21</w:t>
      </w:r>
      <w:r w:rsidRPr="00C977ED">
        <w:rPr>
          <w:rFonts w:cs="Arial"/>
          <w:noProof/>
        </w:rPr>
        <w:t>, 1–33. https://doi.org/10.15359/eys.21-50.2</w:t>
      </w:r>
    </w:p>
    <w:p w14:paraId="13DED852" w14:textId="77777777" w:rsidR="00C977ED" w:rsidRPr="00C977ED" w:rsidRDefault="00C977ED" w:rsidP="00C977ED">
      <w:pPr>
        <w:widowControl w:val="0"/>
        <w:autoSpaceDE w:val="0"/>
        <w:autoSpaceDN w:val="0"/>
        <w:adjustRightInd w:val="0"/>
        <w:spacing w:after="0" w:line="240" w:lineRule="auto"/>
        <w:ind w:left="480" w:hanging="480"/>
        <w:rPr>
          <w:rFonts w:cs="Arial"/>
          <w:noProof/>
        </w:rPr>
      </w:pPr>
      <w:r w:rsidRPr="00C977ED">
        <w:rPr>
          <w:rFonts w:cs="Arial"/>
          <w:noProof/>
        </w:rPr>
        <w:t xml:space="preserve">Vives, M. (2014, April 4). El cada vez más vicioso ciclo de la reforma fiscal. </w:t>
      </w:r>
      <w:r w:rsidRPr="00C977ED">
        <w:rPr>
          <w:rFonts w:cs="Arial"/>
          <w:i/>
          <w:iCs/>
          <w:noProof/>
        </w:rPr>
        <w:t>El Financiero</w:t>
      </w:r>
      <w:r w:rsidRPr="00C977ED">
        <w:rPr>
          <w:rFonts w:cs="Arial"/>
          <w:noProof/>
        </w:rPr>
        <w:t>. Retrieved from https://goo.gl/rDaIVl</w:t>
      </w:r>
    </w:p>
    <w:p w14:paraId="6A93D581" w14:textId="2CCF5F94" w:rsidR="009C1D45" w:rsidRDefault="000F7620" w:rsidP="00C139E7">
      <w:pPr>
        <w:spacing w:line="240" w:lineRule="auto"/>
        <w:rPr>
          <w:rFonts w:cs="Arial"/>
        </w:rPr>
      </w:pPr>
      <w:r w:rsidRPr="00A409E9">
        <w:rPr>
          <w:rFonts w:cs="Arial"/>
        </w:rPr>
        <w:fldChar w:fldCharType="end"/>
      </w:r>
    </w:p>
    <w:p w14:paraId="014E68B4" w14:textId="77C2B739" w:rsidR="0097197B" w:rsidRPr="00FE5849" w:rsidRDefault="0082383E" w:rsidP="00FE5849">
      <w:pPr>
        <w:pStyle w:val="Heading1"/>
      </w:pPr>
      <w:bookmarkStart w:id="197" w:name="_Toc2853769"/>
      <w:r>
        <w:lastRenderedPageBreak/>
        <w:t>A</w:t>
      </w:r>
      <w:r w:rsidR="002754AF">
        <w:t>nexos</w:t>
      </w:r>
      <w:bookmarkEnd w:id="197"/>
    </w:p>
    <w:p w14:paraId="26BE52DD" w14:textId="2FDE60A9" w:rsidR="00DF23FD" w:rsidRDefault="00A96043" w:rsidP="00500A51">
      <w:pPr>
        <w:pStyle w:val="Heading2"/>
      </w:pPr>
      <w:bookmarkStart w:id="198" w:name="_Ref527137343"/>
      <w:bookmarkStart w:id="199" w:name="_Toc2853770"/>
      <w:r>
        <w:t xml:space="preserve">Anexo </w:t>
      </w:r>
      <w:r>
        <w:fldChar w:fldCharType="begin"/>
      </w:r>
      <w:r>
        <w:instrText xml:space="preserve"> SEQ Anexo \* ALPHABETIC </w:instrText>
      </w:r>
      <w:r>
        <w:fldChar w:fldCharType="separate"/>
      </w:r>
      <w:r w:rsidR="00A95E32">
        <w:rPr>
          <w:noProof/>
        </w:rPr>
        <w:t>A</w:t>
      </w:r>
      <w:r>
        <w:fldChar w:fldCharType="end"/>
      </w:r>
      <w:bookmarkEnd w:id="198"/>
      <w:r w:rsidR="00DF23FD">
        <w:t xml:space="preserve">. Expansión de la </w:t>
      </w:r>
      <w:r w:rsidR="00673F53">
        <w:t>MCS</w:t>
      </w:r>
      <w:r w:rsidR="00DF23FD">
        <w:t xml:space="preserve"> a deciles</w:t>
      </w:r>
      <w:bookmarkEnd w:id="199"/>
      <w:r w:rsidR="00DF23FD">
        <w:t xml:space="preserve"> </w:t>
      </w:r>
    </w:p>
    <w:p w14:paraId="302D62C7" w14:textId="208C3613" w:rsidR="00DF23FD" w:rsidRDefault="00DF23FD" w:rsidP="00DF23FD">
      <w:pPr>
        <w:spacing w:line="240" w:lineRule="auto"/>
      </w:pPr>
      <w:r>
        <w:t xml:space="preserve">La matriz originalmente </w:t>
      </w:r>
      <w:r w:rsidR="00F73D08">
        <w:t>está</w:t>
      </w:r>
      <w:r>
        <w:t xml:space="preserve"> identificada por dos tipos de hogares: rurales y urbanos, de tal manera que para el análisis de incidencia la identificación original es insuficiente para hablar de regresividad o progresividad del sistema impositivo. La propuesta es cambiar del proyecto de tesis es dividir l</w:t>
      </w:r>
      <w:r w:rsidR="00E727E7">
        <w:t>os hogares según</w:t>
      </w:r>
      <w:r>
        <w:t xml:space="preserve"> </w:t>
      </w:r>
      <w:r w:rsidR="00E727E7">
        <w:t>decil de ingreso.</w:t>
      </w:r>
    </w:p>
    <w:p w14:paraId="092D115B" w14:textId="08F1703F" w:rsidR="00DF23FD" w:rsidRDefault="00DF23FD" w:rsidP="00DF23FD">
      <w:pPr>
        <w:spacing w:line="240" w:lineRule="auto"/>
      </w:pPr>
      <w:r>
        <w:t xml:space="preserve">Ante este caso se </w:t>
      </w:r>
      <w:r w:rsidR="005503BD">
        <w:t>procedió</w:t>
      </w:r>
      <w:r>
        <w:t xml:space="preserve"> a identificar la submatrices asociadas al consumo e ingreso de los hogares, los cuales podemos dividir en tres bloques, bloque de consumo en bienes y servicios, bloque de transferencias entre instituciones</w:t>
      </w:r>
      <w:r w:rsidR="005503BD">
        <w:t xml:space="preserve"> e ingresos provenientes de los factores.</w:t>
      </w:r>
    </w:p>
    <w:p w14:paraId="242313B7" w14:textId="4365C055" w:rsidR="00482178" w:rsidRDefault="00DB7284" w:rsidP="00DF23FD">
      <w:pPr>
        <w:spacing w:line="240" w:lineRule="auto"/>
      </w:pPr>
      <w:r>
        <w:t xml:space="preserve">La primera matriz corresponde al gasto que realizan los hogares </w:t>
      </w:r>
      <w:r w:rsidR="004B5425">
        <w:t>en</w:t>
      </w:r>
      <w:r>
        <w:t xml:space="preserve"> bienes y servicios</w:t>
      </w:r>
      <w:r w:rsidR="004B5425">
        <w:t xml:space="preserve">, de tal forma se </w:t>
      </w:r>
      <w:r w:rsidR="00C27AD8">
        <w:t>solicitó</w:t>
      </w:r>
      <w:r w:rsidR="004B5425">
        <w:t xml:space="preserve"> al Banco Central de Costa Rica un </w:t>
      </w:r>
      <w:r w:rsidR="00E727E7">
        <w:t>cuadro con las clasificaciones</w:t>
      </w:r>
      <w:r w:rsidR="004B5425">
        <w:t xml:space="preserve"> correlativa</w:t>
      </w:r>
      <w:r w:rsidR="00E727E7">
        <w:t>s</w:t>
      </w:r>
      <w:r w:rsidR="004B5425">
        <w:t xml:space="preserve"> entre la nomenclatura de productos usadas en Cuentas Nacionales </w:t>
      </w:r>
      <w:r w:rsidR="00471D43">
        <w:t>(año referencia 2012) y los códigos ENIGH 2012.</w:t>
      </w:r>
      <w:r>
        <w:t xml:space="preserve"> </w:t>
      </w:r>
      <w:r w:rsidR="00471D43">
        <w:t>Como los consumos no son comparables por fuente de procedencia</w:t>
      </w:r>
      <w:r w:rsidR="005D26F7">
        <w:t xml:space="preserve">, </w:t>
      </w:r>
      <w:r w:rsidR="00D41367">
        <w:t>primeramente,</w:t>
      </w:r>
      <w:r w:rsidR="005D1052">
        <w:t xml:space="preserve"> </w:t>
      </w:r>
      <w:r w:rsidR="005D26F7">
        <w:t>se sumaron los consumos de los hogares de la matriz original</w:t>
      </w:r>
      <w:r w:rsidR="00306A7F">
        <w:t>, como se muestra en la ecuación A.1</w:t>
      </w:r>
      <w:r w:rsidR="00482178">
        <w:t>:</w:t>
      </w:r>
    </w:p>
    <w:p w14:paraId="198DE4C9" w14:textId="77777777" w:rsidR="00482178" w:rsidRDefault="00482178" w:rsidP="00DF23FD">
      <w:pPr>
        <w:spacing w:line="240" w:lineRule="auto"/>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5"/>
        <w:gridCol w:w="3006"/>
      </w:tblGrid>
      <w:tr w:rsidR="00306A7F" w14:paraId="64F9F115" w14:textId="77777777" w:rsidTr="00482178">
        <w:tc>
          <w:tcPr>
            <w:tcW w:w="3005" w:type="dxa"/>
          </w:tcPr>
          <w:p w14:paraId="7C944380" w14:textId="755BD1B4" w:rsidR="00306A7F" w:rsidRPr="00233B4A" w:rsidRDefault="00DB4247" w:rsidP="00306A7F">
            <w:pPr>
              <w:rPr>
                <w:rFonts w:ascii="Arial" w:cs="Arial"/>
              </w:rPr>
            </w:pPr>
            <w:r w:rsidRPr="00233B4A">
              <w:rPr>
                <w:rFonts w:ascii="Arial" w:cs="Arial"/>
              </w:rPr>
              <w:t>A.1</w:t>
            </w:r>
          </w:p>
        </w:tc>
        <w:tc>
          <w:tcPr>
            <w:tcW w:w="3005" w:type="dxa"/>
          </w:tcPr>
          <w:p w14:paraId="5EEE7298" w14:textId="6F2A1B4C" w:rsidR="00306A7F" w:rsidRDefault="00306A7F" w:rsidP="00306A7F">
            <w:r w:rsidRPr="00306A7F">
              <w:rPr>
                <w:rFonts w:ascii="Arial" w:eastAsia="Times New Roman" w:cs="Times New Roman"/>
                <w:position w:val="-14"/>
                <w:lang w:eastAsia="es-ES"/>
              </w:rPr>
              <w:object w:dxaOrig="2680" w:dyaOrig="380" w14:anchorId="63A2948F">
                <v:shape id="_x0000_i1503" type="#_x0000_t75" style="width:138.75pt;height:20.25pt" o:ole="">
                  <v:imagedata r:id="rId967" o:title=""/>
                </v:shape>
                <o:OLEObject Type="Embed" ProgID="Equation.DSMT4" ShapeID="_x0000_i1503" DrawAspect="Content" ObjectID="_1706015184" r:id="rId968"/>
              </w:object>
            </w:r>
          </w:p>
        </w:tc>
        <w:tc>
          <w:tcPr>
            <w:tcW w:w="3006" w:type="dxa"/>
          </w:tcPr>
          <w:p w14:paraId="7CAF1D0A" w14:textId="77777777" w:rsidR="00306A7F" w:rsidRDefault="00306A7F" w:rsidP="00306A7F"/>
        </w:tc>
      </w:tr>
    </w:tbl>
    <w:p w14:paraId="459B6505" w14:textId="77777777" w:rsidR="00482178" w:rsidRDefault="00482178" w:rsidP="00306A7F">
      <w:pPr>
        <w:spacing w:line="240" w:lineRule="auto"/>
      </w:pPr>
    </w:p>
    <w:p w14:paraId="22C0F256" w14:textId="750F9706" w:rsidR="00C27AD8" w:rsidRDefault="005D1052" w:rsidP="00306A7F">
      <w:pPr>
        <w:spacing w:line="240" w:lineRule="auto"/>
      </w:pPr>
      <w:r>
        <w:t>do</w:t>
      </w:r>
      <w:r w:rsidR="00482178">
        <w:t>nde</w:t>
      </w:r>
      <w:r w:rsidR="004E72DF" w:rsidRPr="004E72DF">
        <w:rPr>
          <w:position w:val="-6"/>
        </w:rPr>
        <w:object w:dxaOrig="300" w:dyaOrig="279" w14:anchorId="4A544BC7">
          <v:shape id="_x0000_i1504" type="#_x0000_t75" style="width:15.75pt;height:15.75pt" o:ole="">
            <v:imagedata r:id="rId969" o:title=""/>
          </v:shape>
          <o:OLEObject Type="Embed" ProgID="Equation.DSMT4" ShapeID="_x0000_i1504" DrawAspect="Content" ObjectID="_1706015185" r:id="rId970"/>
        </w:object>
      </w:r>
      <w:r w:rsidR="00482178">
        <w:t>y</w:t>
      </w:r>
      <w:r w:rsidR="004E72DF" w:rsidRPr="004E72DF">
        <w:rPr>
          <w:position w:val="-6"/>
        </w:rPr>
        <w:object w:dxaOrig="320" w:dyaOrig="279" w14:anchorId="01B848A8">
          <v:shape id="_x0000_i1505" type="#_x0000_t75" style="width:15.75pt;height:15.75pt" o:ole="">
            <v:imagedata r:id="rId971" o:title=""/>
          </v:shape>
          <o:OLEObject Type="Embed" ProgID="Equation.DSMT4" ShapeID="_x0000_i1505" DrawAspect="Content" ObjectID="_1706015186" r:id="rId972"/>
        </w:object>
      </w:r>
      <w:r w:rsidR="00482178">
        <w:t>corresponden</w:t>
      </w:r>
      <w:r w:rsidR="00C27AD8">
        <w:t xml:space="preserve"> </w:t>
      </w:r>
      <w:r w:rsidR="00482178">
        <w:t>respectivamente a los hogares rurales y urbanos</w:t>
      </w:r>
      <w:r>
        <w:t xml:space="preserve">. </w:t>
      </w:r>
      <w:r w:rsidR="00D41367">
        <w:t xml:space="preserve">Posteriormente, se extrajeron los porcentajes de consumo de los bienes y servicios </w:t>
      </w:r>
      <w:r w:rsidR="00866BD5">
        <w:t xml:space="preserve">por decil </w:t>
      </w:r>
      <w:r w:rsidR="00D41367">
        <w:t>de la ENIGH,</w:t>
      </w:r>
      <w:r w:rsidR="00866BD5">
        <w:t xml:space="preserve"> obteniendo así el consumo </w:t>
      </w:r>
      <w:r w:rsidR="009E0BC7">
        <w:t>por decil</w:t>
      </w:r>
      <w:r w:rsidR="00932486">
        <w:t xml:space="preserve">, como se muestra en la ecuación A.2, donde </w:t>
      </w:r>
      <w:r w:rsidR="00932486" w:rsidRPr="00932486">
        <w:rPr>
          <w:position w:val="-6"/>
        </w:rPr>
        <w:object w:dxaOrig="139" w:dyaOrig="260" w14:anchorId="7660C3B0">
          <v:shape id="_x0000_i1506" type="#_x0000_t75" style="width:5.25pt;height:15.75pt" o:ole="">
            <v:imagedata r:id="rId973" o:title=""/>
          </v:shape>
          <o:OLEObject Type="Embed" ProgID="Equation.DSMT4" ShapeID="_x0000_i1506" DrawAspect="Content" ObjectID="_1706015187" r:id="rId974"/>
        </w:object>
      </w:r>
      <w:r w:rsidR="00932486">
        <w:t xml:space="preserve"> </w:t>
      </w:r>
      <w:r w:rsidR="004D66D5">
        <w:t>es decil</w:t>
      </w:r>
      <w:r w:rsidR="009E0BC7">
        <w:t xml:space="preserve">. </w:t>
      </w:r>
    </w:p>
    <w:p w14:paraId="32F42F9B" w14:textId="77777777" w:rsidR="00A41C93" w:rsidRDefault="00A41C93" w:rsidP="00306A7F">
      <w:pPr>
        <w:spacing w:line="240" w:lineRule="auto"/>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5"/>
        <w:gridCol w:w="3006"/>
      </w:tblGrid>
      <w:tr w:rsidR="008E6329" w14:paraId="53D7A3AA" w14:textId="77777777" w:rsidTr="007907D5">
        <w:tc>
          <w:tcPr>
            <w:tcW w:w="3005" w:type="dxa"/>
          </w:tcPr>
          <w:p w14:paraId="4DE6C28C" w14:textId="74B05D28" w:rsidR="008E6329" w:rsidRPr="00233B4A" w:rsidRDefault="008E6329" w:rsidP="007907D5">
            <w:pPr>
              <w:rPr>
                <w:rFonts w:ascii="Arial" w:cs="Arial"/>
              </w:rPr>
            </w:pPr>
            <w:r w:rsidRPr="00233B4A">
              <w:rPr>
                <w:rFonts w:ascii="Arial" w:cs="Arial"/>
              </w:rPr>
              <w:t>A.2</w:t>
            </w:r>
          </w:p>
        </w:tc>
        <w:tc>
          <w:tcPr>
            <w:tcW w:w="3005" w:type="dxa"/>
          </w:tcPr>
          <w:p w14:paraId="28C24B1B" w14:textId="1AB5FF15" w:rsidR="008E6329" w:rsidRDefault="00932486" w:rsidP="00F11766">
            <w:pPr>
              <w:jc w:val="center"/>
            </w:pPr>
            <w:r w:rsidRPr="00306A7F">
              <w:rPr>
                <w:rFonts w:ascii="Arial" w:eastAsia="Times New Roman" w:cs="Times New Roman"/>
                <w:position w:val="-14"/>
                <w:lang w:eastAsia="es-ES"/>
              </w:rPr>
              <w:object w:dxaOrig="2180" w:dyaOrig="380" w14:anchorId="5F835F2A">
                <v:shape id="_x0000_i1507" type="#_x0000_t75" style="width:108pt;height:20.25pt" o:ole="">
                  <v:imagedata r:id="rId975" o:title=""/>
                </v:shape>
                <o:OLEObject Type="Embed" ProgID="Equation.DSMT4" ShapeID="_x0000_i1507" DrawAspect="Content" ObjectID="_1706015188" r:id="rId976"/>
              </w:object>
            </w:r>
          </w:p>
        </w:tc>
        <w:tc>
          <w:tcPr>
            <w:tcW w:w="3006" w:type="dxa"/>
          </w:tcPr>
          <w:p w14:paraId="40C800E8" w14:textId="77777777" w:rsidR="008E6329" w:rsidRDefault="008E6329" w:rsidP="007907D5"/>
        </w:tc>
      </w:tr>
    </w:tbl>
    <w:p w14:paraId="0A5B7EF5" w14:textId="77777777" w:rsidR="00C27AD8" w:rsidRDefault="00C27AD8" w:rsidP="00306A7F">
      <w:pPr>
        <w:spacing w:line="240" w:lineRule="auto"/>
      </w:pPr>
    </w:p>
    <w:p w14:paraId="316BCF45" w14:textId="5E89712E" w:rsidR="00DB7284" w:rsidRDefault="009E0BC7" w:rsidP="00306A7F">
      <w:pPr>
        <w:spacing w:line="240" w:lineRule="auto"/>
      </w:pPr>
      <w:r>
        <w:t>Es necesario aclarar que algunos porcentajes se tuvieron que modificar de manera que siguieran un orden lógico para implementar en la matriz</w:t>
      </w:r>
      <w:r w:rsidR="006321D4">
        <w:t>, mientras en otros casos no hubo correspondencia entre</w:t>
      </w:r>
      <w:r w:rsidR="00AE5146">
        <w:t xml:space="preserve"> los bienes y servicios de ambas fuentes, por </w:t>
      </w:r>
      <w:r w:rsidR="004D66D5">
        <w:t>tanto,</w:t>
      </w:r>
      <w:r w:rsidR="00AE5146">
        <w:t xml:space="preserve"> se utilizaron variables proxy</w:t>
      </w:r>
      <w:r w:rsidR="004D66D5">
        <w:t xml:space="preserve">, las cuales se muestran en la </w:t>
      </w:r>
      <w:r w:rsidR="00D45B00">
        <w:fldChar w:fldCharType="begin"/>
      </w:r>
      <w:r w:rsidR="00D45B00">
        <w:instrText xml:space="preserve"> REF _Ref526953555 \h </w:instrText>
      </w:r>
      <w:r w:rsidR="00D45B00" w:rsidRPr="00D45B00">
        <w:instrText>\</w:instrText>
      </w:r>
      <w:r w:rsidR="00D45B00">
        <w:instrText xml:space="preserve">* lower </w:instrText>
      </w:r>
      <w:r w:rsidR="00D45B00">
        <w:fldChar w:fldCharType="separate"/>
      </w:r>
      <w:r w:rsidR="00A95E32">
        <w:t xml:space="preserve">tabla </w:t>
      </w:r>
      <w:r w:rsidR="00A95E32">
        <w:rPr>
          <w:noProof/>
        </w:rPr>
        <w:t>27</w:t>
      </w:r>
      <w:r w:rsidR="00D45B00">
        <w:fldChar w:fldCharType="end"/>
      </w:r>
      <w:r w:rsidR="008A6D7A">
        <w:t>.</w:t>
      </w:r>
    </w:p>
    <w:p w14:paraId="6C1AC247" w14:textId="2A709191" w:rsidR="004D66D5" w:rsidRDefault="004D66D5" w:rsidP="004D66D5">
      <w:pPr>
        <w:pStyle w:val="Caption"/>
      </w:pPr>
      <w:bookmarkStart w:id="200" w:name="_Ref526953555"/>
      <w:bookmarkStart w:id="201" w:name="_Toc2853717"/>
      <w:r>
        <w:t xml:space="preserve">Tabla </w:t>
      </w:r>
      <w:r>
        <w:fldChar w:fldCharType="begin"/>
      </w:r>
      <w:r>
        <w:instrText xml:space="preserve"> SEQ Tabla \* ARABIC </w:instrText>
      </w:r>
      <w:r>
        <w:fldChar w:fldCharType="separate"/>
      </w:r>
      <w:r w:rsidR="00A95E32">
        <w:rPr>
          <w:noProof/>
        </w:rPr>
        <w:t>27</w:t>
      </w:r>
      <w:r>
        <w:fldChar w:fldCharType="end"/>
      </w:r>
      <w:bookmarkEnd w:id="200"/>
      <w:r>
        <w:t xml:space="preserve"> </w:t>
      </w:r>
      <w:r>
        <w:br/>
        <w:t>Variables proxy</w:t>
      </w:r>
      <w:r w:rsidR="00673F53">
        <w:t xml:space="preserve"> </w:t>
      </w:r>
      <w:r w:rsidR="00D742D0">
        <w:t>para bienes en la MCS</w:t>
      </w:r>
      <w:bookmarkEnd w:id="201"/>
      <w:r w:rsidR="00D742D0">
        <w:t xml:space="preserv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8"/>
        <w:gridCol w:w="4508"/>
      </w:tblGrid>
      <w:tr w:rsidR="00FA72C3" w:rsidRPr="009678A2" w14:paraId="3B63DC3B" w14:textId="77777777" w:rsidTr="00031E55">
        <w:tc>
          <w:tcPr>
            <w:tcW w:w="4508" w:type="dxa"/>
            <w:tcBorders>
              <w:bottom w:val="single" w:sz="4" w:space="0" w:color="auto"/>
              <w:right w:val="single" w:sz="4" w:space="0" w:color="auto"/>
            </w:tcBorders>
          </w:tcPr>
          <w:p w14:paraId="53BE18F0" w14:textId="542BA9E8" w:rsidR="00FA72C3" w:rsidRPr="009678A2" w:rsidRDefault="00FA72C3" w:rsidP="00306A7F">
            <w:pPr>
              <w:rPr>
                <w:rFonts w:ascii="Arial" w:cs="Arial"/>
              </w:rPr>
            </w:pPr>
            <w:r w:rsidRPr="009678A2">
              <w:rPr>
                <w:rFonts w:ascii="Arial" w:cs="Arial"/>
              </w:rPr>
              <w:t>Variable</w:t>
            </w:r>
          </w:p>
        </w:tc>
        <w:tc>
          <w:tcPr>
            <w:tcW w:w="4508" w:type="dxa"/>
            <w:tcBorders>
              <w:left w:val="single" w:sz="4" w:space="0" w:color="auto"/>
              <w:bottom w:val="single" w:sz="4" w:space="0" w:color="auto"/>
            </w:tcBorders>
          </w:tcPr>
          <w:p w14:paraId="3ECF8D13" w14:textId="1ACC4F36" w:rsidR="00FA72C3" w:rsidRPr="009678A2" w:rsidRDefault="00FA72C3" w:rsidP="00306A7F">
            <w:pPr>
              <w:rPr>
                <w:rFonts w:ascii="Arial" w:cs="Arial"/>
              </w:rPr>
            </w:pPr>
            <w:r w:rsidRPr="009678A2">
              <w:rPr>
                <w:rFonts w:ascii="Arial" w:cs="Arial"/>
              </w:rPr>
              <w:t>Variable Proxy</w:t>
            </w:r>
          </w:p>
        </w:tc>
      </w:tr>
      <w:tr w:rsidR="004D66D5" w:rsidRPr="009678A2" w14:paraId="1DF36EBC" w14:textId="77777777" w:rsidTr="00031E55">
        <w:tc>
          <w:tcPr>
            <w:tcW w:w="4508" w:type="dxa"/>
            <w:tcBorders>
              <w:top w:val="single" w:sz="4" w:space="0" w:color="auto"/>
              <w:right w:val="single" w:sz="4" w:space="0" w:color="auto"/>
            </w:tcBorders>
          </w:tcPr>
          <w:p w14:paraId="770B1799" w14:textId="78CDF643" w:rsidR="004D66D5" w:rsidRPr="009678A2" w:rsidRDefault="004D66D5" w:rsidP="00306A7F">
            <w:pPr>
              <w:rPr>
                <w:rFonts w:ascii="Arial" w:cs="Arial"/>
              </w:rPr>
            </w:pPr>
            <w:r w:rsidRPr="009678A2">
              <w:rPr>
                <w:rFonts w:ascii="Arial" w:cs="Arial"/>
              </w:rPr>
              <w:t>Ganado Porcino</w:t>
            </w:r>
            <w:r w:rsidR="008E4FEB" w:rsidRPr="009678A2">
              <w:rPr>
                <w:rFonts w:ascii="Arial" w:cs="Arial"/>
              </w:rPr>
              <w:t xml:space="preserve"> </w:t>
            </w:r>
          </w:p>
        </w:tc>
        <w:tc>
          <w:tcPr>
            <w:tcW w:w="4508" w:type="dxa"/>
            <w:tcBorders>
              <w:top w:val="single" w:sz="4" w:space="0" w:color="auto"/>
              <w:left w:val="single" w:sz="4" w:space="0" w:color="auto"/>
            </w:tcBorders>
          </w:tcPr>
          <w:p w14:paraId="7F954E8D" w14:textId="7C14192B" w:rsidR="004D66D5" w:rsidRPr="009678A2" w:rsidRDefault="00FA72C3" w:rsidP="00306A7F">
            <w:pPr>
              <w:rPr>
                <w:rFonts w:ascii="Arial" w:cs="Arial"/>
              </w:rPr>
            </w:pPr>
            <w:r w:rsidRPr="009678A2">
              <w:rPr>
                <w:rFonts w:ascii="Arial" w:cs="Arial"/>
              </w:rPr>
              <w:t>Otros animales</w:t>
            </w:r>
          </w:p>
        </w:tc>
      </w:tr>
      <w:tr w:rsidR="004D66D5" w:rsidRPr="009678A2" w14:paraId="1BC4CB1A" w14:textId="77777777" w:rsidTr="00031E55">
        <w:tc>
          <w:tcPr>
            <w:tcW w:w="4508" w:type="dxa"/>
            <w:tcBorders>
              <w:right w:val="single" w:sz="4" w:space="0" w:color="auto"/>
            </w:tcBorders>
          </w:tcPr>
          <w:p w14:paraId="1EEBF159" w14:textId="20871218" w:rsidR="004D66D5" w:rsidRPr="009678A2" w:rsidRDefault="008E4FEB" w:rsidP="00306A7F">
            <w:pPr>
              <w:rPr>
                <w:rFonts w:ascii="Arial" w:cs="Arial"/>
              </w:rPr>
            </w:pPr>
            <w:r w:rsidRPr="009678A2">
              <w:rPr>
                <w:rFonts w:ascii="Arial" w:cs="Arial"/>
              </w:rPr>
              <w:t>Pollo en pie</w:t>
            </w:r>
          </w:p>
        </w:tc>
        <w:tc>
          <w:tcPr>
            <w:tcW w:w="4508" w:type="dxa"/>
            <w:tcBorders>
              <w:left w:val="single" w:sz="4" w:space="0" w:color="auto"/>
            </w:tcBorders>
          </w:tcPr>
          <w:p w14:paraId="5C96AF02" w14:textId="77777777" w:rsidR="004D66D5" w:rsidRPr="009678A2" w:rsidRDefault="004D66D5" w:rsidP="00306A7F">
            <w:pPr>
              <w:rPr>
                <w:rFonts w:ascii="Arial" w:cs="Arial"/>
              </w:rPr>
            </w:pPr>
          </w:p>
        </w:tc>
      </w:tr>
      <w:tr w:rsidR="004D66D5" w:rsidRPr="009678A2" w14:paraId="544272E1" w14:textId="77777777" w:rsidTr="00031E55">
        <w:tc>
          <w:tcPr>
            <w:tcW w:w="4508" w:type="dxa"/>
            <w:tcBorders>
              <w:right w:val="single" w:sz="4" w:space="0" w:color="auto"/>
            </w:tcBorders>
          </w:tcPr>
          <w:p w14:paraId="67B06315" w14:textId="2C7602DB" w:rsidR="004D66D5" w:rsidRPr="009678A2" w:rsidRDefault="008E4FEB" w:rsidP="00306A7F">
            <w:pPr>
              <w:rPr>
                <w:rFonts w:ascii="Arial" w:cs="Arial"/>
              </w:rPr>
            </w:pPr>
            <w:r w:rsidRPr="009678A2">
              <w:rPr>
                <w:rFonts w:ascii="Arial" w:cs="Arial"/>
              </w:rPr>
              <w:t>Productos de acuicultura</w:t>
            </w:r>
          </w:p>
        </w:tc>
        <w:tc>
          <w:tcPr>
            <w:tcW w:w="4508" w:type="dxa"/>
            <w:tcBorders>
              <w:left w:val="single" w:sz="4" w:space="0" w:color="auto"/>
            </w:tcBorders>
          </w:tcPr>
          <w:p w14:paraId="74D61722" w14:textId="0B32634B" w:rsidR="004D66D5" w:rsidRPr="009678A2" w:rsidRDefault="00AD61D0" w:rsidP="00306A7F">
            <w:pPr>
              <w:rPr>
                <w:rFonts w:ascii="Arial" w:cs="Arial"/>
              </w:rPr>
            </w:pPr>
            <w:r w:rsidRPr="009678A2">
              <w:rPr>
                <w:rFonts w:ascii="Arial" w:cs="Arial"/>
              </w:rPr>
              <w:t xml:space="preserve">Productos </w:t>
            </w:r>
            <w:r w:rsidR="009A1B98" w:rsidRPr="009678A2">
              <w:rPr>
                <w:rFonts w:ascii="Arial" w:cs="Arial"/>
              </w:rPr>
              <w:t>de la pesca</w:t>
            </w:r>
          </w:p>
        </w:tc>
      </w:tr>
      <w:tr w:rsidR="004D66D5" w:rsidRPr="009678A2" w14:paraId="0AA86F55" w14:textId="77777777" w:rsidTr="00031E55">
        <w:tc>
          <w:tcPr>
            <w:tcW w:w="4508" w:type="dxa"/>
            <w:tcBorders>
              <w:right w:val="single" w:sz="4" w:space="0" w:color="auto"/>
            </w:tcBorders>
          </w:tcPr>
          <w:p w14:paraId="143E0193" w14:textId="12EA67B0" w:rsidR="004D66D5" w:rsidRPr="009678A2" w:rsidRDefault="00CD4CAD" w:rsidP="00306A7F">
            <w:pPr>
              <w:rPr>
                <w:rFonts w:ascii="Arial" w:cs="Arial"/>
              </w:rPr>
            </w:pPr>
            <w:r w:rsidRPr="009678A2">
              <w:rPr>
                <w:rFonts w:ascii="Arial" w:cs="Arial"/>
              </w:rPr>
              <w:t>Servicios de radio, de televisión, películas, videos y otros afines</w:t>
            </w:r>
          </w:p>
        </w:tc>
        <w:tc>
          <w:tcPr>
            <w:tcW w:w="4508" w:type="dxa"/>
            <w:tcBorders>
              <w:left w:val="single" w:sz="4" w:space="0" w:color="auto"/>
            </w:tcBorders>
          </w:tcPr>
          <w:p w14:paraId="29CF2418" w14:textId="24590A4D" w:rsidR="004D66D5" w:rsidRPr="009678A2" w:rsidRDefault="00CD4CAD" w:rsidP="00306A7F">
            <w:pPr>
              <w:rPr>
                <w:rFonts w:ascii="Arial" w:cs="Arial"/>
              </w:rPr>
            </w:pPr>
            <w:r w:rsidRPr="009678A2">
              <w:rPr>
                <w:rFonts w:ascii="Arial" w:cs="Arial"/>
              </w:rPr>
              <w:t>Servicios de telefonía</w:t>
            </w:r>
          </w:p>
        </w:tc>
      </w:tr>
      <w:tr w:rsidR="004D66D5" w:rsidRPr="009678A2" w14:paraId="520B759C" w14:textId="77777777" w:rsidTr="00031E55">
        <w:tc>
          <w:tcPr>
            <w:tcW w:w="4508" w:type="dxa"/>
            <w:tcBorders>
              <w:right w:val="single" w:sz="4" w:space="0" w:color="auto"/>
            </w:tcBorders>
          </w:tcPr>
          <w:p w14:paraId="7AC3D5B5" w14:textId="760A0080" w:rsidR="004D66D5" w:rsidRPr="009678A2" w:rsidRDefault="00E944CF" w:rsidP="00306A7F">
            <w:pPr>
              <w:rPr>
                <w:rFonts w:ascii="Arial" w:cs="Arial"/>
              </w:rPr>
            </w:pPr>
            <w:r w:rsidRPr="009678A2">
              <w:rPr>
                <w:rFonts w:ascii="Arial" w:cs="Arial"/>
              </w:rPr>
              <w:t>Otros servicios explícitos de intermediación monetaria</w:t>
            </w:r>
          </w:p>
        </w:tc>
        <w:tc>
          <w:tcPr>
            <w:tcW w:w="4508" w:type="dxa"/>
            <w:tcBorders>
              <w:left w:val="single" w:sz="4" w:space="0" w:color="auto"/>
            </w:tcBorders>
          </w:tcPr>
          <w:p w14:paraId="45EA8C0C" w14:textId="5715A164" w:rsidR="004D66D5" w:rsidRPr="009678A2" w:rsidRDefault="009678A2" w:rsidP="00306A7F">
            <w:pPr>
              <w:rPr>
                <w:rFonts w:ascii="Arial" w:cs="Arial"/>
              </w:rPr>
            </w:pPr>
            <w:r w:rsidRPr="009678A2">
              <w:rPr>
                <w:rFonts w:ascii="Arial" w:cs="Arial"/>
              </w:rPr>
              <w:t>Servicios de seguros, reaseguros y fondos de pensiones</w:t>
            </w:r>
          </w:p>
        </w:tc>
      </w:tr>
      <w:tr w:rsidR="004D66D5" w:rsidRPr="009678A2" w14:paraId="7812FC87" w14:textId="77777777" w:rsidTr="00031E55">
        <w:tc>
          <w:tcPr>
            <w:tcW w:w="4508" w:type="dxa"/>
            <w:tcBorders>
              <w:right w:val="single" w:sz="4" w:space="0" w:color="auto"/>
            </w:tcBorders>
          </w:tcPr>
          <w:p w14:paraId="1CABC5EE" w14:textId="2E142891" w:rsidR="004D66D5" w:rsidRPr="009678A2" w:rsidRDefault="00E944CF" w:rsidP="00306A7F">
            <w:pPr>
              <w:rPr>
                <w:rFonts w:ascii="Arial" w:cs="Arial"/>
              </w:rPr>
            </w:pPr>
            <w:r w:rsidRPr="009678A2">
              <w:rPr>
                <w:rFonts w:ascii="Arial" w:cs="Arial"/>
              </w:rPr>
              <w:lastRenderedPageBreak/>
              <w:t>Servicios de intermediación financiera medidos indirectamente (SIFMI)</w:t>
            </w:r>
          </w:p>
        </w:tc>
        <w:tc>
          <w:tcPr>
            <w:tcW w:w="4508" w:type="dxa"/>
            <w:tcBorders>
              <w:left w:val="single" w:sz="4" w:space="0" w:color="auto"/>
            </w:tcBorders>
          </w:tcPr>
          <w:p w14:paraId="04D4F04A" w14:textId="77777777" w:rsidR="004D66D5" w:rsidRPr="009678A2" w:rsidRDefault="004D66D5" w:rsidP="00306A7F">
            <w:pPr>
              <w:rPr>
                <w:rFonts w:ascii="Arial" w:cs="Arial"/>
              </w:rPr>
            </w:pPr>
          </w:p>
        </w:tc>
      </w:tr>
      <w:tr w:rsidR="00583818" w:rsidRPr="009678A2" w14:paraId="56869F5B" w14:textId="77777777" w:rsidTr="00031E55">
        <w:tc>
          <w:tcPr>
            <w:tcW w:w="4508" w:type="dxa"/>
            <w:tcBorders>
              <w:right w:val="single" w:sz="4" w:space="0" w:color="auto"/>
            </w:tcBorders>
          </w:tcPr>
          <w:p w14:paraId="6AB14526" w14:textId="0DDE89EC" w:rsidR="00583818" w:rsidRPr="009678A2" w:rsidRDefault="00583818" w:rsidP="00306A7F">
            <w:pPr>
              <w:rPr>
                <w:rFonts w:ascii="Arial" w:cs="Arial"/>
              </w:rPr>
            </w:pPr>
            <w:r w:rsidRPr="009678A2">
              <w:rPr>
                <w:rFonts w:ascii="Arial" w:cs="Arial"/>
              </w:rPr>
              <w:t>Otros servicios financieros y de banca de inversión</w:t>
            </w:r>
          </w:p>
        </w:tc>
        <w:tc>
          <w:tcPr>
            <w:tcW w:w="4508" w:type="dxa"/>
            <w:tcBorders>
              <w:left w:val="single" w:sz="4" w:space="0" w:color="auto"/>
            </w:tcBorders>
          </w:tcPr>
          <w:p w14:paraId="2DB6BD3D" w14:textId="77777777" w:rsidR="00583818" w:rsidRPr="009678A2" w:rsidRDefault="00583818" w:rsidP="00306A7F">
            <w:pPr>
              <w:rPr>
                <w:rFonts w:ascii="Arial" w:cs="Arial"/>
              </w:rPr>
            </w:pPr>
          </w:p>
        </w:tc>
      </w:tr>
      <w:tr w:rsidR="00583818" w:rsidRPr="009678A2" w14:paraId="4F9E3C0C" w14:textId="77777777" w:rsidTr="00031E55">
        <w:tc>
          <w:tcPr>
            <w:tcW w:w="4508" w:type="dxa"/>
            <w:tcBorders>
              <w:right w:val="single" w:sz="4" w:space="0" w:color="auto"/>
            </w:tcBorders>
          </w:tcPr>
          <w:p w14:paraId="3F64C77E" w14:textId="1A64DE4A" w:rsidR="00583818" w:rsidRPr="009678A2" w:rsidRDefault="00583818" w:rsidP="00306A7F">
            <w:pPr>
              <w:rPr>
                <w:rFonts w:ascii="Arial" w:cs="Arial"/>
              </w:rPr>
            </w:pPr>
            <w:r w:rsidRPr="009678A2">
              <w:rPr>
                <w:rFonts w:ascii="Arial" w:cs="Arial"/>
              </w:rPr>
              <w:t>Servicios auxiliares de la intermediación monetaria y financiera</w:t>
            </w:r>
          </w:p>
        </w:tc>
        <w:tc>
          <w:tcPr>
            <w:tcW w:w="4508" w:type="dxa"/>
            <w:tcBorders>
              <w:left w:val="single" w:sz="4" w:space="0" w:color="auto"/>
            </w:tcBorders>
          </w:tcPr>
          <w:p w14:paraId="1845FA41" w14:textId="77777777" w:rsidR="00583818" w:rsidRPr="009678A2" w:rsidRDefault="00583818" w:rsidP="00306A7F">
            <w:pPr>
              <w:rPr>
                <w:rFonts w:ascii="Arial" w:cs="Arial"/>
              </w:rPr>
            </w:pPr>
          </w:p>
        </w:tc>
      </w:tr>
      <w:tr w:rsidR="00583818" w:rsidRPr="009678A2" w14:paraId="329E0FFE" w14:textId="77777777" w:rsidTr="00031E55">
        <w:tc>
          <w:tcPr>
            <w:tcW w:w="4508" w:type="dxa"/>
            <w:tcBorders>
              <w:right w:val="single" w:sz="4" w:space="0" w:color="auto"/>
            </w:tcBorders>
          </w:tcPr>
          <w:p w14:paraId="04726730" w14:textId="0D4496E3" w:rsidR="00583818" w:rsidRPr="009678A2" w:rsidRDefault="0015747B" w:rsidP="00306A7F">
            <w:pPr>
              <w:rPr>
                <w:rFonts w:ascii="Arial" w:cs="Arial"/>
              </w:rPr>
            </w:pPr>
            <w:r w:rsidRPr="009678A2">
              <w:rPr>
                <w:rFonts w:ascii="Arial" w:cs="Arial"/>
              </w:rPr>
              <w:t>Servicios auxiliares de seguros y fondos de pensiones</w:t>
            </w:r>
          </w:p>
        </w:tc>
        <w:tc>
          <w:tcPr>
            <w:tcW w:w="4508" w:type="dxa"/>
            <w:tcBorders>
              <w:left w:val="single" w:sz="4" w:space="0" w:color="auto"/>
            </w:tcBorders>
          </w:tcPr>
          <w:p w14:paraId="33ED5336" w14:textId="77777777" w:rsidR="00583818" w:rsidRPr="009678A2" w:rsidRDefault="00583818" w:rsidP="00306A7F">
            <w:pPr>
              <w:rPr>
                <w:rFonts w:ascii="Arial" w:cs="Arial"/>
              </w:rPr>
            </w:pPr>
          </w:p>
        </w:tc>
      </w:tr>
      <w:tr w:rsidR="00583818" w:rsidRPr="009678A2" w14:paraId="061EB6FA" w14:textId="77777777" w:rsidTr="00031E55">
        <w:tc>
          <w:tcPr>
            <w:tcW w:w="4508" w:type="dxa"/>
            <w:tcBorders>
              <w:bottom w:val="single" w:sz="4" w:space="0" w:color="auto"/>
              <w:right w:val="single" w:sz="4" w:space="0" w:color="auto"/>
            </w:tcBorders>
          </w:tcPr>
          <w:p w14:paraId="74D840C9" w14:textId="434FAA5B" w:rsidR="00583818" w:rsidRPr="009678A2" w:rsidRDefault="007528C2" w:rsidP="00306A7F">
            <w:pPr>
              <w:rPr>
                <w:rFonts w:ascii="Arial" w:cs="Arial"/>
              </w:rPr>
            </w:pPr>
            <w:r w:rsidRPr="009678A2">
              <w:rPr>
                <w:rFonts w:ascii="Arial" w:cs="Arial"/>
              </w:rPr>
              <w:t>Servicios a la comunidad en general</w:t>
            </w:r>
          </w:p>
        </w:tc>
        <w:tc>
          <w:tcPr>
            <w:tcW w:w="4508" w:type="dxa"/>
            <w:tcBorders>
              <w:left w:val="single" w:sz="4" w:space="0" w:color="auto"/>
              <w:bottom w:val="single" w:sz="4" w:space="0" w:color="auto"/>
            </w:tcBorders>
          </w:tcPr>
          <w:p w14:paraId="273A6418" w14:textId="08BBA2B3" w:rsidR="00583818" w:rsidRPr="009678A2" w:rsidRDefault="007528C2" w:rsidP="00306A7F">
            <w:pPr>
              <w:rPr>
                <w:rFonts w:ascii="Arial" w:cs="Arial"/>
              </w:rPr>
            </w:pPr>
            <w:r w:rsidRPr="009678A2">
              <w:rPr>
                <w:rFonts w:ascii="Arial" w:cs="Arial"/>
              </w:rPr>
              <w:t>Servicios públicos generales del gobierno</w:t>
            </w:r>
          </w:p>
        </w:tc>
      </w:tr>
    </w:tbl>
    <w:p w14:paraId="28674C94" w14:textId="77777777" w:rsidR="00031E55" w:rsidRDefault="00031E55" w:rsidP="00031E55">
      <w:pPr>
        <w:rPr>
          <w:rFonts w:eastAsiaTheme="minorHAnsi" w:cs="Arial"/>
          <w:sz w:val="18"/>
          <w:szCs w:val="20"/>
        </w:rPr>
      </w:pPr>
      <w:r w:rsidRPr="009161F1">
        <w:rPr>
          <w:rFonts w:eastAsiaTheme="minorHAnsi" w:cs="Arial"/>
          <w:sz w:val="18"/>
          <w:szCs w:val="20"/>
        </w:rPr>
        <w:t>Fuente: elaboración propia</w:t>
      </w:r>
      <w:r>
        <w:rPr>
          <w:rFonts w:eastAsiaTheme="minorHAnsi" w:cs="Arial"/>
          <w:sz w:val="18"/>
          <w:szCs w:val="20"/>
        </w:rPr>
        <w:t>.</w:t>
      </w:r>
    </w:p>
    <w:p w14:paraId="0F891164" w14:textId="658DA5C3" w:rsidR="00482178" w:rsidRDefault="00BD3AD1" w:rsidP="00306A7F">
      <w:pPr>
        <w:spacing w:line="240" w:lineRule="auto"/>
      </w:pPr>
      <w:r>
        <w:t xml:space="preserve">Para el segundo bloque, los hogares </w:t>
      </w:r>
      <w:r w:rsidR="00B67E22">
        <w:t>reciben ingresos de las instituciones</w:t>
      </w:r>
      <w:r w:rsidR="003861ED">
        <w:t xml:space="preserve"> y los porcentajes siguen la lógica la anterior. L</w:t>
      </w:r>
      <w:r w:rsidR="00FC0600">
        <w:t>as</w:t>
      </w:r>
      <w:r w:rsidR="009D2685">
        <w:t xml:space="preserve"> </w:t>
      </w:r>
      <w:r w:rsidR="00FC0600">
        <w:t>e</w:t>
      </w:r>
      <w:r w:rsidR="009D2685">
        <w:t xml:space="preserve">mpresas, las cuales se aproximan mediante la variable </w:t>
      </w:r>
      <w:r w:rsidR="00FC0600">
        <w:t>H1</w:t>
      </w:r>
      <w:r w:rsidR="009775D1">
        <w:t>50</w:t>
      </w:r>
      <w:r w:rsidR="00E727E7">
        <w:t xml:space="preserve"> de la ENIGH</w:t>
      </w:r>
      <w:r w:rsidR="00A5629E">
        <w:t>, pago de dividendos</w:t>
      </w:r>
      <w:r w:rsidR="00FC0600">
        <w:t xml:space="preserve">. Para las transferencias entre hogares se </w:t>
      </w:r>
      <w:r w:rsidR="009775D1">
        <w:t>aproximó</w:t>
      </w:r>
      <w:r w:rsidR="00FC0600">
        <w:t xml:space="preserve"> mediante </w:t>
      </w:r>
      <w:r w:rsidR="009775D1">
        <w:t>la variable H166, los porcentajes de gobierno se obtuvieron del H164</w:t>
      </w:r>
      <w:r w:rsidR="00C544ED">
        <w:t>, transferencias por ayudas públicas</w:t>
      </w:r>
      <w:r w:rsidR="009775D1">
        <w:t xml:space="preserve"> y las transferencias del resto mundo con la variable H167</w:t>
      </w:r>
      <w:r w:rsidR="00C544ED">
        <w:t xml:space="preserve">, transferencia por ayuda </w:t>
      </w:r>
      <w:r w:rsidR="007D1134">
        <w:t>de otras personas fuera del país</w:t>
      </w:r>
      <w:r w:rsidR="00655B23">
        <w:t xml:space="preserve">. También en este bloque se pagan los impuestos directos, es decir, impuesto sobre la renta, </w:t>
      </w:r>
      <w:r w:rsidR="00310026">
        <w:t xml:space="preserve">para cual se realizaron simulaciones para ver cómo se </w:t>
      </w:r>
      <w:r w:rsidR="00E727E7">
        <w:t>distribuyó</w:t>
      </w:r>
      <w:r w:rsidR="00310026">
        <w:t xml:space="preserve"> el pago del impuesto por deciles.</w:t>
      </w:r>
      <w:r w:rsidR="007501AF">
        <w:t xml:space="preserve"> </w:t>
      </w:r>
      <w:r w:rsidR="004D0FB4">
        <w:t xml:space="preserve">El ahorro se </w:t>
      </w:r>
      <w:r w:rsidR="00E727E7">
        <w:t>calculó</w:t>
      </w:r>
      <w:r w:rsidR="004D0FB4">
        <w:t xml:space="preserve"> de forma residual, de igual manera que en la matriz original.</w:t>
      </w:r>
    </w:p>
    <w:p w14:paraId="2CA13945" w14:textId="1A4812C2" w:rsidR="00A336AD" w:rsidRDefault="00A336AD" w:rsidP="00306A7F">
      <w:pPr>
        <w:spacing w:line="240" w:lineRule="auto"/>
      </w:pPr>
      <w:r>
        <w:t>Finalmente</w:t>
      </w:r>
      <w:r w:rsidR="00C073D3">
        <w:t xml:space="preserve">, </w:t>
      </w:r>
      <w:r w:rsidR="004D0FB4">
        <w:t xml:space="preserve">para </w:t>
      </w:r>
      <w:r w:rsidR="002F64AD">
        <w:t>la simulación del pago de los factores, se utilizaron las variables:</w:t>
      </w:r>
      <w:r w:rsidR="002F64AD" w:rsidRPr="002F64AD">
        <w:t xml:space="preserve"> </w:t>
      </w:r>
      <w:r w:rsidR="00E833BB">
        <w:t xml:space="preserve">H138, H142, H199, H145 y H292, los cuales representan el pago asalariado, </w:t>
      </w:r>
      <w:r w:rsidR="00EB14D3">
        <w:t xml:space="preserve">ingresos </w:t>
      </w:r>
      <w:r w:rsidR="00E833BB">
        <w:t>autónomo</w:t>
      </w:r>
      <w:r w:rsidR="00EB14D3">
        <w:t>s</w:t>
      </w:r>
      <w:r w:rsidR="00E833BB">
        <w:t>, ingresos de capital</w:t>
      </w:r>
      <w:r w:rsidR="00516D9F">
        <w:t xml:space="preserve">, </w:t>
      </w:r>
      <w:r w:rsidR="00376A1D">
        <w:t>alqui</w:t>
      </w:r>
      <w:r w:rsidR="001D7376">
        <w:t xml:space="preserve">ler de tierras y yacimientos. </w:t>
      </w:r>
      <w:r w:rsidR="00E727E7">
        <w:t>De e</w:t>
      </w:r>
      <w:r w:rsidR="001D7376">
        <w:t>stas variables</w:t>
      </w:r>
      <w:r w:rsidR="00E727E7">
        <w:t xml:space="preserve">, </w:t>
      </w:r>
      <w:r w:rsidR="001D7376">
        <w:t xml:space="preserve"> </w:t>
      </w:r>
      <w:r w:rsidR="00EB14D3">
        <w:t xml:space="preserve">se </w:t>
      </w:r>
      <w:r w:rsidR="00E727E7">
        <w:t xml:space="preserve">obtuvieron </w:t>
      </w:r>
      <w:r w:rsidR="00A5629E">
        <w:t xml:space="preserve">los porcentajes </w:t>
      </w:r>
      <w:r w:rsidR="00006C14">
        <w:t xml:space="preserve">para </w:t>
      </w:r>
      <w:r w:rsidR="00F6243E">
        <w:t>aproximar el pago de factores</w:t>
      </w:r>
      <w:r w:rsidR="00A5629E">
        <w:t xml:space="preserve"> por deciles</w:t>
      </w:r>
      <w:r w:rsidR="00F6243E">
        <w:t>.</w:t>
      </w:r>
    </w:p>
    <w:p w14:paraId="130BED32" w14:textId="42850DCC" w:rsidR="00F528A8" w:rsidRDefault="00471739" w:rsidP="00471739">
      <w:pPr>
        <w:pStyle w:val="Heading2"/>
      </w:pPr>
      <w:bookmarkStart w:id="202" w:name="_Ref527137349"/>
      <w:bookmarkStart w:id="203" w:name="_Toc2853771"/>
      <w:r>
        <w:t xml:space="preserve">Anexo </w:t>
      </w:r>
      <w:r>
        <w:fldChar w:fldCharType="begin"/>
      </w:r>
      <w:r>
        <w:instrText xml:space="preserve"> SEQ Anexo \* ALPHABETIC </w:instrText>
      </w:r>
      <w:r>
        <w:fldChar w:fldCharType="separate"/>
      </w:r>
      <w:r w:rsidR="00A95E32">
        <w:rPr>
          <w:noProof/>
        </w:rPr>
        <w:t>B</w:t>
      </w:r>
      <w:r>
        <w:fldChar w:fldCharType="end"/>
      </w:r>
      <w:bookmarkEnd w:id="202"/>
      <w:r>
        <w:t>.</w:t>
      </w:r>
      <w:r w:rsidR="00826B4F">
        <w:t xml:space="preserve"> </w:t>
      </w:r>
      <w:r w:rsidR="00F528A8">
        <w:t xml:space="preserve">Convergencia de la función CES a la función </w:t>
      </w:r>
      <w:r w:rsidR="00FD3F64">
        <w:t>C-D.</w:t>
      </w:r>
      <w:bookmarkEnd w:id="203"/>
    </w:p>
    <w:p w14:paraId="300FBB77" w14:textId="7FED02B0" w:rsidR="00F528A8" w:rsidRPr="00F528A8" w:rsidRDefault="00F528A8" w:rsidP="00F528A8">
      <w:r>
        <w:t>Si tomamos una función CES de la siguiente forma</w:t>
      </w:r>
      <w:r w:rsidR="00233B4A">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79"/>
        <w:gridCol w:w="3715"/>
        <w:gridCol w:w="2632"/>
      </w:tblGrid>
      <w:tr w:rsidR="00233B4A" w14:paraId="11BDA8A6" w14:textId="77777777" w:rsidTr="007907D5">
        <w:tc>
          <w:tcPr>
            <w:tcW w:w="3005" w:type="dxa"/>
          </w:tcPr>
          <w:p w14:paraId="404EEE6E" w14:textId="53987CFD" w:rsidR="00233B4A" w:rsidRPr="00233B4A" w:rsidRDefault="00233B4A" w:rsidP="007907D5">
            <w:pPr>
              <w:rPr>
                <w:rFonts w:ascii="Arial" w:cs="Arial"/>
              </w:rPr>
            </w:pPr>
            <w:r>
              <w:rPr>
                <w:rFonts w:ascii="Arial" w:cs="Arial"/>
              </w:rPr>
              <w:t>B</w:t>
            </w:r>
            <w:r w:rsidRPr="00233B4A">
              <w:rPr>
                <w:rFonts w:ascii="Arial" w:cs="Arial"/>
              </w:rPr>
              <w:t>.1</w:t>
            </w:r>
            <w:r w:rsidR="00A23C7F">
              <w:rPr>
                <w:rFonts w:ascii="Arial" w:cs="Arial"/>
              </w:rPr>
              <w:t xml:space="preserve"> </w:t>
            </w:r>
          </w:p>
        </w:tc>
        <w:tc>
          <w:tcPr>
            <w:tcW w:w="3005" w:type="dxa"/>
          </w:tcPr>
          <w:p w14:paraId="2F1DD218" w14:textId="1A4DD394" w:rsidR="00233B4A" w:rsidRDefault="00B80111" w:rsidP="007907D5">
            <w:r w:rsidRPr="00B80111">
              <w:rPr>
                <w:rFonts w:ascii="Arial" w:eastAsia="Times New Roman" w:cs="Times New Roman"/>
                <w:position w:val="-32"/>
                <w:lang w:eastAsia="es-ES"/>
              </w:rPr>
              <w:object w:dxaOrig="3400" w:dyaOrig="900" w14:anchorId="4459B3AE">
                <v:shape id="_x0000_i1508" type="#_x0000_t75" style="width:174.75pt;height:41.25pt" o:ole="">
                  <v:imagedata r:id="rId977" o:title=""/>
                </v:shape>
                <o:OLEObject Type="Embed" ProgID="Equation.DSMT4" ShapeID="_x0000_i1508" DrawAspect="Content" ObjectID="_1706015189" r:id="rId978"/>
              </w:object>
            </w:r>
          </w:p>
        </w:tc>
        <w:tc>
          <w:tcPr>
            <w:tcW w:w="3006" w:type="dxa"/>
          </w:tcPr>
          <w:p w14:paraId="2611BE48" w14:textId="77777777" w:rsidR="00233B4A" w:rsidRDefault="00233B4A" w:rsidP="007907D5"/>
        </w:tc>
      </w:tr>
    </w:tbl>
    <w:p w14:paraId="0A05EEA3" w14:textId="77777777" w:rsidR="000D6F88" w:rsidRDefault="000D6F88" w:rsidP="00306A7F">
      <w:pPr>
        <w:spacing w:line="240" w:lineRule="auto"/>
      </w:pPr>
    </w:p>
    <w:p w14:paraId="053A45AB" w14:textId="7D04519C" w:rsidR="00826B4F" w:rsidRDefault="00EA3E64" w:rsidP="00306A7F">
      <w:pPr>
        <w:spacing w:line="240" w:lineRule="auto"/>
      </w:pPr>
      <w:r>
        <w:t xml:space="preserve">La cual es </w:t>
      </w:r>
      <w:r w:rsidR="004B3274">
        <w:t>ejemplo</w:t>
      </w:r>
      <w:r>
        <w:t xml:space="preserve"> de las funciones presentes en el modelo</w:t>
      </w:r>
      <w:r w:rsidR="00895A62">
        <w:t xml:space="preserve"> (</w:t>
      </w:r>
      <w:r>
        <w:t xml:space="preserve">como </w:t>
      </w:r>
      <w:r w:rsidR="00E876B2">
        <w:t xml:space="preserve">la presente en la </w:t>
      </w:r>
      <w:r w:rsidR="00E876B2">
        <w:fldChar w:fldCharType="begin"/>
      </w:r>
      <w:r w:rsidR="00E876B2">
        <w:instrText xml:space="preserve"> REF _Ref524803886 \h </w:instrText>
      </w:r>
      <w:r w:rsidR="00E876B2" w:rsidRPr="00E876B2">
        <w:instrText>\</w:instrText>
      </w:r>
      <w:r w:rsidR="00E876B2">
        <w:instrText xml:space="preserve">* lower </w:instrText>
      </w:r>
      <w:r w:rsidR="00E876B2">
        <w:fldChar w:fldCharType="separate"/>
      </w:r>
      <w:r w:rsidR="00A95E32">
        <w:t xml:space="preserve">tabla </w:t>
      </w:r>
      <w:r w:rsidR="00A95E32">
        <w:rPr>
          <w:noProof/>
        </w:rPr>
        <w:t>7</w:t>
      </w:r>
      <w:r w:rsidR="00E876B2">
        <w:fldChar w:fldCharType="end"/>
      </w:r>
      <w:r w:rsidR="00895A62">
        <w:t xml:space="preserve">, </w:t>
      </w:r>
      <w:r w:rsidR="00F514BF">
        <w:t>ecuación</w:t>
      </w:r>
      <w:r w:rsidR="00F514BF" w:rsidRPr="00895A62">
        <w:rPr>
          <w:position w:val="-10"/>
        </w:rPr>
        <w:object w:dxaOrig="1359" w:dyaOrig="320" w14:anchorId="7229C380">
          <v:shape id="_x0000_i1509" type="#_x0000_t75" style="width:66.75pt;height:15.75pt" o:ole="">
            <v:imagedata r:id="rId979" o:title=""/>
          </v:shape>
          <o:OLEObject Type="Embed" ProgID="Equation.DSMT4" ShapeID="_x0000_i1509" DrawAspect="Content" ObjectID="_1706015190" r:id="rId980"/>
        </w:object>
      </w:r>
      <w:r w:rsidR="00895A62">
        <w:t xml:space="preserve">), </w:t>
      </w:r>
      <w:r w:rsidR="00F514BF">
        <w:t>d</w:t>
      </w:r>
      <w:r w:rsidR="00B80111">
        <w:t>onde se utilizan dos factores</w:t>
      </w:r>
      <w:r w:rsidR="004B3274">
        <w:t>:</w:t>
      </w:r>
      <w:r w:rsidR="00B80111">
        <w:t xml:space="preserve"> el trabajo y el capital</w:t>
      </w:r>
      <w:r w:rsidR="0043273C">
        <w:t xml:space="preserve"> (</w:t>
      </w:r>
      <w:r w:rsidR="007E60C2" w:rsidRPr="000D6F88">
        <w:rPr>
          <w:position w:val="-10"/>
        </w:rPr>
        <w:object w:dxaOrig="499" w:dyaOrig="320" w14:anchorId="40D839FC">
          <v:shape id="_x0000_i1510" type="#_x0000_t75" style="width:30.75pt;height:15.75pt" o:ole="">
            <v:imagedata r:id="rId981" o:title=""/>
          </v:shape>
          <o:OLEObject Type="Embed" ProgID="Equation.DSMT4" ShapeID="_x0000_i1510" DrawAspect="Content" ObjectID="_1706015191" r:id="rId982"/>
        </w:object>
      </w:r>
      <w:r w:rsidR="0043273C">
        <w:t>)</w:t>
      </w:r>
      <w:r w:rsidR="00B80111">
        <w:t>,</w:t>
      </w:r>
      <w:r w:rsidR="0043273C">
        <w:t xml:space="preserve"> </w:t>
      </w:r>
      <w:r w:rsidR="004B3274">
        <w:t xml:space="preserve">están determinados una </w:t>
      </w:r>
      <w:r w:rsidR="00F850ED">
        <w:t>elasticidad de sustitución es</w:t>
      </w:r>
      <w:r w:rsidR="00D501F0">
        <w:t xml:space="preserve"> </w:t>
      </w:r>
      <w:r w:rsidR="00914734" w:rsidRPr="00914734">
        <w:rPr>
          <w:position w:val="-6"/>
        </w:rPr>
        <w:object w:dxaOrig="240" w:dyaOrig="220" w14:anchorId="5ED34A5E">
          <v:shape id="_x0000_i1511" type="#_x0000_t75" style="width:5.25pt;height:5.25pt" o:ole="">
            <v:imagedata r:id="rId983" o:title=""/>
          </v:shape>
          <o:OLEObject Type="Embed" ProgID="Equation.DSMT4" ShapeID="_x0000_i1511" DrawAspect="Content" ObjectID="_1706015192" r:id="rId984"/>
        </w:object>
      </w:r>
      <w:r w:rsidR="00914734">
        <w:t xml:space="preserve"> </w:t>
      </w:r>
      <w:r w:rsidR="006750A3">
        <w:t xml:space="preserve">y un parámetro ponderador </w:t>
      </w:r>
      <w:r w:rsidR="000D6F88" w:rsidRPr="000D6F88">
        <w:rPr>
          <w:position w:val="-10"/>
        </w:rPr>
        <w:object w:dxaOrig="200" w:dyaOrig="260" w14:anchorId="56A0CCF7">
          <v:shape id="_x0000_i1512" type="#_x0000_t75" style="width:5.25pt;height:15.75pt" o:ole="">
            <v:imagedata r:id="rId985" o:title=""/>
          </v:shape>
          <o:OLEObject Type="Embed" ProgID="Equation.DSMT4" ShapeID="_x0000_i1512" DrawAspect="Content" ObjectID="_1706015193" r:id="rId986"/>
        </w:object>
      </w:r>
      <w:r w:rsidR="000D6F88">
        <w:t>.</w:t>
      </w:r>
      <w:r w:rsidR="00CC01DA">
        <w:t xml:space="preserve"> Se puede </w:t>
      </w:r>
      <w:r w:rsidR="004B3274">
        <w:t>inferir</w:t>
      </w:r>
      <w:r w:rsidR="000D6F88">
        <w:t xml:space="preserve"> que cuando la ela</w:t>
      </w:r>
      <w:r w:rsidR="007E60C2">
        <w:t xml:space="preserve">sticidad de sustitución tiende a 1, la función se comporta como una función del tipo Cobb Douglas, para esto tomamos el logaritmo </w:t>
      </w:r>
      <w:r w:rsidR="006D5308">
        <w:t xml:space="preserve">natural </w:t>
      </w:r>
      <w:r w:rsidR="007E60C2">
        <w:t>de la función</w:t>
      </w:r>
      <w:r w:rsidR="006D5308">
        <w:t xml:space="preserve"> B.1:</w:t>
      </w:r>
    </w:p>
    <w:p w14:paraId="1E6171BE" w14:textId="77777777" w:rsidR="006D5308" w:rsidRDefault="006D5308" w:rsidP="00306A7F">
      <w:pPr>
        <w:spacing w:line="240" w:lineRule="auto"/>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8"/>
        <w:gridCol w:w="4425"/>
        <w:gridCol w:w="2253"/>
      </w:tblGrid>
      <w:tr w:rsidR="006D5308" w14:paraId="56A1ED80" w14:textId="77777777" w:rsidTr="007907D5">
        <w:tc>
          <w:tcPr>
            <w:tcW w:w="3005" w:type="dxa"/>
          </w:tcPr>
          <w:p w14:paraId="77F50A0D" w14:textId="763264EE" w:rsidR="006D5308" w:rsidRPr="00233B4A" w:rsidRDefault="006D5308" w:rsidP="007907D5">
            <w:pPr>
              <w:rPr>
                <w:rFonts w:ascii="Arial" w:cs="Arial"/>
              </w:rPr>
            </w:pPr>
            <w:r>
              <w:rPr>
                <w:rFonts w:ascii="Arial" w:cs="Arial"/>
              </w:rPr>
              <w:t>B</w:t>
            </w:r>
            <w:r w:rsidRPr="00233B4A">
              <w:rPr>
                <w:rFonts w:ascii="Arial" w:cs="Arial"/>
              </w:rPr>
              <w:t>.</w:t>
            </w:r>
            <w:r w:rsidR="000E4107">
              <w:rPr>
                <w:rFonts w:ascii="Arial" w:cs="Arial"/>
              </w:rPr>
              <w:t>2</w:t>
            </w:r>
          </w:p>
        </w:tc>
        <w:tc>
          <w:tcPr>
            <w:tcW w:w="3005" w:type="dxa"/>
          </w:tcPr>
          <w:p w14:paraId="0E8F7DDA" w14:textId="52EF2FFB" w:rsidR="006D5308" w:rsidRDefault="000E4107" w:rsidP="007907D5">
            <w:r w:rsidRPr="00B80111">
              <w:rPr>
                <w:rFonts w:ascii="Arial" w:eastAsia="Times New Roman" w:cs="Times New Roman"/>
                <w:position w:val="-32"/>
                <w:lang w:eastAsia="es-ES"/>
              </w:rPr>
              <w:object w:dxaOrig="4260" w:dyaOrig="760" w14:anchorId="753E7400">
                <v:shape id="_x0000_i1513" type="#_x0000_t75" style="width:210.75pt;height:36pt" o:ole="">
                  <v:imagedata r:id="rId987" o:title=""/>
                </v:shape>
                <o:OLEObject Type="Embed" ProgID="Equation.DSMT4" ShapeID="_x0000_i1513" DrawAspect="Content" ObjectID="_1706015194" r:id="rId988"/>
              </w:object>
            </w:r>
          </w:p>
        </w:tc>
        <w:tc>
          <w:tcPr>
            <w:tcW w:w="3006" w:type="dxa"/>
          </w:tcPr>
          <w:p w14:paraId="31DBC1AE" w14:textId="77777777" w:rsidR="006D5308" w:rsidRDefault="006D5308" w:rsidP="007907D5"/>
        </w:tc>
      </w:tr>
    </w:tbl>
    <w:p w14:paraId="0082E1C6" w14:textId="4D006B90" w:rsidR="000E4107" w:rsidRDefault="006D561D" w:rsidP="00306A7F">
      <w:pPr>
        <w:spacing w:line="240" w:lineRule="auto"/>
        <w:rPr>
          <w:rFonts w:cs="Arial"/>
        </w:rPr>
      </w:pPr>
      <w:r>
        <w:lastRenderedPageBreak/>
        <w:t xml:space="preserve">Mediante </w:t>
      </w:r>
      <w:r w:rsidR="000E4107">
        <w:t xml:space="preserve">la </w:t>
      </w:r>
      <w:r w:rsidR="00061DEF">
        <w:t>regla</w:t>
      </w:r>
      <w:r w:rsidR="000E4107">
        <w:t xml:space="preserve"> de</w:t>
      </w:r>
      <w:r w:rsidR="000E4107" w:rsidRPr="003F430F">
        <w:rPr>
          <w:rFonts w:cs="Arial"/>
        </w:rPr>
        <w:t xml:space="preserve"> L’h</w:t>
      </w:r>
      <w:r w:rsidR="003F430F" w:rsidRPr="003F430F">
        <w:rPr>
          <w:rFonts w:cs="Arial"/>
          <w:bCs/>
        </w:rPr>
        <w:t>ô</w:t>
      </w:r>
      <w:r w:rsidR="000E4107" w:rsidRPr="003F430F">
        <w:rPr>
          <w:rFonts w:cs="Arial"/>
        </w:rPr>
        <w:t>spital</w:t>
      </w:r>
      <w:r>
        <w:rPr>
          <w:rFonts w:cs="Arial"/>
        </w:rPr>
        <w:t xml:space="preserve"> se verifica que</w:t>
      </w:r>
      <w:r w:rsidR="003F430F">
        <w:rPr>
          <w:rFonts w:cs="Arial"/>
        </w:rPr>
        <w:t xml:space="preserve"> la indeterminación del cual es del tipo </w:t>
      </w:r>
      <w:r w:rsidR="001D47E4" w:rsidRPr="00841349">
        <w:rPr>
          <w:rFonts w:cs="Arial"/>
          <w:position w:val="-24"/>
        </w:rPr>
        <w:object w:dxaOrig="220" w:dyaOrig="620" w14:anchorId="368EF884">
          <v:shape id="_x0000_i1514" type="#_x0000_t75" style="width:10.5pt;height:30.75pt" o:ole="">
            <v:imagedata r:id="rId989" o:title=""/>
          </v:shape>
          <o:OLEObject Type="Embed" ProgID="Equation.DSMT4" ShapeID="_x0000_i1514" DrawAspect="Content" ObjectID="_1706015195" r:id="rId990"/>
        </w:object>
      </w:r>
      <w:r w:rsidR="00D7280B">
        <w:rPr>
          <w:rFonts w:cs="Arial"/>
        </w:rPr>
        <w:t xml:space="preserve"> </w:t>
      </w:r>
      <w:r w:rsidR="00841349">
        <w:rPr>
          <w:rFonts w:cs="Arial"/>
        </w:rPr>
        <w:t xml:space="preserve">, por tanto, se </w:t>
      </w:r>
      <w:r w:rsidR="00CC01DA">
        <w:rPr>
          <w:rFonts w:cs="Arial"/>
        </w:rPr>
        <w:t xml:space="preserve">puede </w:t>
      </w:r>
      <w:proofErr w:type="gramStart"/>
      <w:r w:rsidR="00841349">
        <w:rPr>
          <w:rFonts w:cs="Arial"/>
        </w:rPr>
        <w:t>procede</w:t>
      </w:r>
      <w:r w:rsidR="00CC01DA">
        <w:rPr>
          <w:rFonts w:cs="Arial"/>
        </w:rPr>
        <w:t>r</w:t>
      </w:r>
      <w:r w:rsidR="00841349">
        <w:rPr>
          <w:rFonts w:cs="Arial"/>
        </w:rPr>
        <w:t xml:space="preserve"> a </w:t>
      </w:r>
      <w:r w:rsidR="009E2FEE">
        <w:rPr>
          <w:rFonts w:cs="Arial"/>
        </w:rPr>
        <w:t>tomar</w:t>
      </w:r>
      <w:proofErr w:type="gramEnd"/>
      <w:r w:rsidR="009E2FEE">
        <w:rPr>
          <w:rFonts w:cs="Arial"/>
        </w:rPr>
        <w:t xml:space="preserve"> el límite de</w:t>
      </w:r>
      <w:r w:rsidR="00841349">
        <w:rPr>
          <w:rFonts w:cs="Arial"/>
        </w:rPr>
        <w:t xml:space="preserve"> la ecuación B.2.</w:t>
      </w:r>
    </w:p>
    <w:p w14:paraId="00A72B65" w14:textId="77777777" w:rsidR="00841349" w:rsidRDefault="00841349" w:rsidP="00306A7F">
      <w:pPr>
        <w:spacing w:line="240" w:lineRule="auto"/>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15"/>
        <w:gridCol w:w="5354"/>
        <w:gridCol w:w="1757"/>
      </w:tblGrid>
      <w:tr w:rsidR="00841349" w14:paraId="2C7B2BF2" w14:textId="77777777" w:rsidTr="007907D5">
        <w:tc>
          <w:tcPr>
            <w:tcW w:w="3005" w:type="dxa"/>
          </w:tcPr>
          <w:p w14:paraId="52E06675" w14:textId="1B8078D0" w:rsidR="00841349" w:rsidRPr="00233B4A" w:rsidRDefault="00841349" w:rsidP="007907D5">
            <w:pPr>
              <w:rPr>
                <w:rFonts w:ascii="Arial" w:cs="Arial"/>
              </w:rPr>
            </w:pPr>
            <w:r>
              <w:rPr>
                <w:rFonts w:ascii="Arial" w:cs="Arial"/>
              </w:rPr>
              <w:t>B</w:t>
            </w:r>
            <w:r w:rsidRPr="00233B4A">
              <w:rPr>
                <w:rFonts w:ascii="Arial" w:cs="Arial"/>
              </w:rPr>
              <w:t>.</w:t>
            </w:r>
            <w:r w:rsidR="009E2FEE">
              <w:rPr>
                <w:rFonts w:ascii="Arial" w:cs="Arial"/>
              </w:rPr>
              <w:t>3</w:t>
            </w:r>
          </w:p>
        </w:tc>
        <w:tc>
          <w:tcPr>
            <w:tcW w:w="3005" w:type="dxa"/>
          </w:tcPr>
          <w:p w14:paraId="05C7822E" w14:textId="2325BEC7" w:rsidR="00841349" w:rsidRDefault="00E66657" w:rsidP="007907D5">
            <w:r w:rsidRPr="00E66657">
              <w:rPr>
                <w:rFonts w:ascii="Arial" w:eastAsia="Times New Roman" w:cs="Times New Roman"/>
                <w:position w:val="-54"/>
                <w:lang w:eastAsia="es-ES"/>
              </w:rPr>
              <w:object w:dxaOrig="5200" w:dyaOrig="1719" w14:anchorId="08918D24">
                <v:shape id="_x0000_i1515" type="#_x0000_t75" style="width:257.25pt;height:87.75pt" o:ole="">
                  <v:imagedata r:id="rId991" o:title=""/>
                </v:shape>
                <o:OLEObject Type="Embed" ProgID="Equation.DSMT4" ShapeID="_x0000_i1515" DrawAspect="Content" ObjectID="_1706015196" r:id="rId992"/>
              </w:object>
            </w:r>
          </w:p>
        </w:tc>
        <w:tc>
          <w:tcPr>
            <w:tcW w:w="3006" w:type="dxa"/>
          </w:tcPr>
          <w:p w14:paraId="51D9D2DC" w14:textId="77777777" w:rsidR="00841349" w:rsidRDefault="00841349" w:rsidP="007907D5"/>
        </w:tc>
      </w:tr>
    </w:tbl>
    <w:p w14:paraId="176390EE" w14:textId="77777777" w:rsidR="00D2468F" w:rsidRDefault="00D2468F" w:rsidP="00306A7F">
      <w:pPr>
        <w:spacing w:line="240" w:lineRule="auto"/>
      </w:pPr>
    </w:p>
    <w:p w14:paraId="2F6936BA" w14:textId="54C31642" w:rsidR="006D5308" w:rsidRDefault="006D561D" w:rsidP="00306A7F">
      <w:pPr>
        <w:spacing w:line="240" w:lineRule="auto"/>
      </w:pPr>
      <w:r>
        <w:t xml:space="preserve">Cuando se </w:t>
      </w:r>
      <w:r w:rsidR="00CC01DA">
        <w:t>evalúa</w:t>
      </w:r>
      <w:r>
        <w:t xml:space="preserve"> la ecuación B.3 en 1</w:t>
      </w:r>
      <w:r w:rsidR="00CC01DA">
        <w:t>, se obt</w:t>
      </w:r>
      <w:r w:rsidR="00D2468F">
        <w:t>iene la siguiente ecuación:</w:t>
      </w:r>
    </w:p>
    <w:p w14:paraId="5B39CCBF" w14:textId="77777777" w:rsidR="00E82E55" w:rsidRDefault="00E82E55" w:rsidP="00306A7F">
      <w:pPr>
        <w:spacing w:line="240" w:lineRule="auto"/>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82"/>
        <w:gridCol w:w="4137"/>
        <w:gridCol w:w="2407"/>
      </w:tblGrid>
      <w:tr w:rsidR="00D2468F" w14:paraId="32C7EF54" w14:textId="77777777" w:rsidTr="007907D5">
        <w:tc>
          <w:tcPr>
            <w:tcW w:w="3005" w:type="dxa"/>
          </w:tcPr>
          <w:p w14:paraId="6C68A4C7" w14:textId="5D79FDE1" w:rsidR="00D2468F" w:rsidRPr="00233B4A" w:rsidRDefault="00D2468F" w:rsidP="007907D5">
            <w:pPr>
              <w:rPr>
                <w:rFonts w:ascii="Arial" w:cs="Arial"/>
              </w:rPr>
            </w:pPr>
            <w:r>
              <w:rPr>
                <w:rFonts w:ascii="Arial" w:cs="Arial"/>
              </w:rPr>
              <w:t>B</w:t>
            </w:r>
            <w:r w:rsidRPr="00233B4A">
              <w:rPr>
                <w:rFonts w:ascii="Arial" w:cs="Arial"/>
              </w:rPr>
              <w:t>.</w:t>
            </w:r>
            <w:r>
              <w:rPr>
                <w:rFonts w:ascii="Arial" w:cs="Arial"/>
              </w:rPr>
              <w:t>4</w:t>
            </w:r>
          </w:p>
        </w:tc>
        <w:tc>
          <w:tcPr>
            <w:tcW w:w="3005" w:type="dxa"/>
          </w:tcPr>
          <w:p w14:paraId="05865783" w14:textId="3F331F9F" w:rsidR="00D2468F" w:rsidRDefault="00C941E3" w:rsidP="007907D5">
            <w:r w:rsidRPr="00C941E3">
              <w:rPr>
                <w:rFonts w:ascii="Arial" w:eastAsia="Times New Roman" w:cs="Times New Roman"/>
                <w:position w:val="-20"/>
                <w:lang w:eastAsia="es-ES"/>
              </w:rPr>
              <w:object w:dxaOrig="3940" w:dyaOrig="440" w14:anchorId="1BF3A0B3">
                <v:shape id="_x0000_i1516" type="#_x0000_t75" style="width:195.75pt;height:20.25pt" o:ole="">
                  <v:imagedata r:id="rId993" o:title=""/>
                </v:shape>
                <o:OLEObject Type="Embed" ProgID="Equation.DSMT4" ShapeID="_x0000_i1516" DrawAspect="Content" ObjectID="_1706015197" r:id="rId994"/>
              </w:object>
            </w:r>
          </w:p>
        </w:tc>
        <w:tc>
          <w:tcPr>
            <w:tcW w:w="3006" w:type="dxa"/>
          </w:tcPr>
          <w:p w14:paraId="0DD801C1" w14:textId="77777777" w:rsidR="00D2468F" w:rsidRDefault="00D2468F" w:rsidP="007907D5"/>
        </w:tc>
      </w:tr>
    </w:tbl>
    <w:p w14:paraId="2E194EE0" w14:textId="2750DCE5" w:rsidR="00D2468F" w:rsidRDefault="00D2468F" w:rsidP="00306A7F">
      <w:pPr>
        <w:spacing w:line="240" w:lineRule="auto"/>
      </w:pPr>
    </w:p>
    <w:p w14:paraId="643717A1" w14:textId="236DFE68" w:rsidR="00C941E3" w:rsidRDefault="00C941E3" w:rsidP="00306A7F">
      <w:pPr>
        <w:spacing w:line="240" w:lineRule="auto"/>
      </w:pPr>
      <w:r>
        <w:t xml:space="preserve">Finalmente, si se </w:t>
      </w:r>
      <w:r w:rsidR="005F7E22">
        <w:t>elimina el logaritmo</w:t>
      </w:r>
      <w:r w:rsidR="00E82E55">
        <w:t>:</w:t>
      </w:r>
    </w:p>
    <w:p w14:paraId="4DC59374" w14:textId="77777777" w:rsidR="00E82E55" w:rsidRDefault="00E82E55" w:rsidP="00306A7F">
      <w:pPr>
        <w:spacing w:line="240" w:lineRule="auto"/>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46"/>
        <w:gridCol w:w="4216"/>
        <w:gridCol w:w="2364"/>
      </w:tblGrid>
      <w:tr w:rsidR="00E82E55" w14:paraId="5E2097D7" w14:textId="77777777" w:rsidTr="007907D5">
        <w:tc>
          <w:tcPr>
            <w:tcW w:w="3005" w:type="dxa"/>
          </w:tcPr>
          <w:p w14:paraId="2098A52C" w14:textId="38957CBC" w:rsidR="00E82E55" w:rsidRPr="00233B4A" w:rsidRDefault="00E82E55" w:rsidP="007907D5">
            <w:pPr>
              <w:rPr>
                <w:rFonts w:ascii="Arial" w:cs="Arial"/>
              </w:rPr>
            </w:pPr>
            <w:r>
              <w:rPr>
                <w:rFonts w:ascii="Arial" w:cs="Arial"/>
              </w:rPr>
              <w:t>B</w:t>
            </w:r>
            <w:r w:rsidRPr="00233B4A">
              <w:rPr>
                <w:rFonts w:ascii="Arial" w:cs="Arial"/>
              </w:rPr>
              <w:t>.</w:t>
            </w:r>
            <w:r>
              <w:rPr>
                <w:rFonts w:ascii="Arial" w:cs="Arial"/>
              </w:rPr>
              <w:t>5</w:t>
            </w:r>
          </w:p>
        </w:tc>
        <w:tc>
          <w:tcPr>
            <w:tcW w:w="3005" w:type="dxa"/>
          </w:tcPr>
          <w:p w14:paraId="1B0549F3" w14:textId="3AA666B2" w:rsidR="00E82E55" w:rsidRDefault="001D47E4" w:rsidP="007907D5">
            <w:r w:rsidRPr="001D47E4">
              <w:rPr>
                <w:rFonts w:ascii="Arial" w:eastAsia="Times New Roman" w:cs="Times New Roman"/>
                <w:position w:val="-20"/>
                <w:lang w:eastAsia="es-ES"/>
              </w:rPr>
              <w:object w:dxaOrig="3960" w:dyaOrig="460" w14:anchorId="74289DEF">
                <v:shape id="_x0000_i1517" type="#_x0000_t75" style="width:200.25pt;height:20.25pt" o:ole="">
                  <v:imagedata r:id="rId995" o:title=""/>
                </v:shape>
                <o:OLEObject Type="Embed" ProgID="Equation.DSMT4" ShapeID="_x0000_i1517" DrawAspect="Content" ObjectID="_1706015198" r:id="rId996"/>
              </w:object>
            </w:r>
            <w:r>
              <w:t xml:space="preserve"> </w:t>
            </w:r>
          </w:p>
        </w:tc>
        <w:tc>
          <w:tcPr>
            <w:tcW w:w="3006" w:type="dxa"/>
          </w:tcPr>
          <w:p w14:paraId="34F2B543" w14:textId="77777777" w:rsidR="00E82E55" w:rsidRDefault="00E82E55" w:rsidP="007907D5"/>
        </w:tc>
      </w:tr>
    </w:tbl>
    <w:p w14:paraId="4BF8BD2C" w14:textId="3934535E" w:rsidR="00E82E55" w:rsidRDefault="00E82E55" w:rsidP="00306A7F">
      <w:pPr>
        <w:spacing w:line="240" w:lineRule="auto"/>
      </w:pPr>
    </w:p>
    <w:p w14:paraId="276F07DB" w14:textId="1BE67478" w:rsidR="007404EB" w:rsidRDefault="00EB14D3" w:rsidP="00306A7F">
      <w:pPr>
        <w:spacing w:line="240" w:lineRule="auto"/>
      </w:pPr>
      <w:r>
        <w:t>La ecuación B.5</w:t>
      </w:r>
      <w:r w:rsidR="007404EB">
        <w:t xml:space="preserve"> es una funci</w:t>
      </w:r>
      <w:r w:rsidR="00782AFD">
        <w:t xml:space="preserve">ón del tipo Cobb Douglas, </w:t>
      </w:r>
      <w:r w:rsidR="006E63E5">
        <w:t xml:space="preserve">siendo </w:t>
      </w:r>
      <w:r>
        <w:t>demostrado que es</w:t>
      </w:r>
      <w:r w:rsidR="00062FA7">
        <w:t xml:space="preserve"> </w:t>
      </w:r>
      <w:r w:rsidR="006E63E5">
        <w:t>una forma particular de la función CES.</w:t>
      </w:r>
    </w:p>
    <w:p w14:paraId="38F22418" w14:textId="3C5F89B5" w:rsidR="00AF304C" w:rsidRDefault="00AF304C" w:rsidP="00306A7F">
      <w:pPr>
        <w:spacing w:line="240" w:lineRule="auto"/>
      </w:pPr>
    </w:p>
    <w:p w14:paraId="3832A831" w14:textId="0A6B2590" w:rsidR="00AF304C" w:rsidRDefault="00AF304C" w:rsidP="00306A7F">
      <w:pPr>
        <w:spacing w:line="240" w:lineRule="auto"/>
      </w:pPr>
    </w:p>
    <w:p w14:paraId="4B8CBCE9" w14:textId="79388204" w:rsidR="00AF304C" w:rsidRPr="00306D7F" w:rsidRDefault="00AF304C" w:rsidP="00562C77">
      <w:pPr>
        <w:pStyle w:val="Caption"/>
      </w:pPr>
    </w:p>
    <w:sectPr w:rsidR="00AF304C" w:rsidRPr="00306D7F" w:rsidSect="00E24955">
      <w:pgSz w:w="11906" w:h="16838"/>
      <w:pgMar w:top="1440" w:right="1440" w:bottom="1440" w:left="1440" w:header="706" w:footer="706"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F49B5D6" w14:textId="77777777" w:rsidR="00FA183A" w:rsidRDefault="00FA183A" w:rsidP="00436665">
      <w:pPr>
        <w:spacing w:line="240" w:lineRule="auto"/>
      </w:pPr>
      <w:r>
        <w:separator/>
      </w:r>
    </w:p>
  </w:endnote>
  <w:endnote w:type="continuationSeparator" w:id="0">
    <w:p w14:paraId="18642982" w14:textId="77777777" w:rsidR="00FA183A" w:rsidRDefault="00FA183A" w:rsidP="00436665">
      <w:pPr>
        <w:spacing w:line="240" w:lineRule="auto"/>
      </w:pPr>
      <w:r>
        <w:continuationSeparator/>
      </w:r>
    </w:p>
  </w:endnote>
  <w:endnote w:type="continuationNotice" w:id="1">
    <w:p w14:paraId="6C64D442" w14:textId="77777777" w:rsidR="00FA183A" w:rsidRDefault="00FA183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Open Sans">
    <w:panose1 w:val="020B0606030504020204"/>
    <w:charset w:val="00"/>
    <w:family w:val="swiss"/>
    <w:pitch w:val="variable"/>
    <w:sig w:usb0="E00002EF" w:usb1="4000205B" w:usb2="00000028"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50538697"/>
      <w:docPartObj>
        <w:docPartGallery w:val="Page Numbers (Bottom of Page)"/>
        <w:docPartUnique/>
      </w:docPartObj>
    </w:sdtPr>
    <w:sdtEndPr/>
    <w:sdtContent>
      <w:p w14:paraId="3F6B0384" w14:textId="77777777" w:rsidR="005E1105" w:rsidRDefault="005E1105">
        <w:pPr>
          <w:pStyle w:val="Footer"/>
          <w:jc w:val="center"/>
        </w:pPr>
        <w:r>
          <w:fldChar w:fldCharType="begin"/>
        </w:r>
        <w:r>
          <w:instrText>PAGE   \* MERGEFORMAT</w:instrText>
        </w:r>
        <w:r>
          <w:fldChar w:fldCharType="separate"/>
        </w:r>
        <w:r>
          <w:rPr>
            <w:noProof/>
          </w:rPr>
          <w:t>3</w:t>
        </w:r>
        <w:r>
          <w:fldChar w:fldCharType="end"/>
        </w:r>
      </w:p>
    </w:sdtContent>
  </w:sdt>
  <w:p w14:paraId="0772A2C4" w14:textId="77777777" w:rsidR="005E1105" w:rsidRDefault="005E110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57069974"/>
      <w:docPartObj>
        <w:docPartGallery w:val="Page Numbers (Bottom of Page)"/>
        <w:docPartUnique/>
      </w:docPartObj>
    </w:sdtPr>
    <w:sdtEndPr/>
    <w:sdtContent>
      <w:p w14:paraId="12ECE769" w14:textId="77777777" w:rsidR="005E1105" w:rsidRPr="00D776A4" w:rsidRDefault="00FA183A" w:rsidP="00D776A4">
        <w:pPr>
          <w:pStyle w:val="Footer"/>
          <w:jc w:val="center"/>
        </w:pP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80678911"/>
      <w:docPartObj>
        <w:docPartGallery w:val="Page Numbers (Bottom of Page)"/>
        <w:docPartUnique/>
      </w:docPartObj>
    </w:sdtPr>
    <w:sdtEndPr/>
    <w:sdtContent>
      <w:p w14:paraId="6DD74B27" w14:textId="0901A0DD" w:rsidR="005E1105" w:rsidRDefault="005E1105">
        <w:pPr>
          <w:pStyle w:val="Footer"/>
          <w:jc w:val="center"/>
        </w:pPr>
        <w:r>
          <w:fldChar w:fldCharType="begin"/>
        </w:r>
        <w:r>
          <w:instrText>PAGE   \* MERGEFORMAT</w:instrText>
        </w:r>
        <w:r>
          <w:fldChar w:fldCharType="separate"/>
        </w:r>
        <w:r>
          <w:rPr>
            <w:noProof/>
          </w:rPr>
          <w:t>3</w:t>
        </w:r>
        <w:r>
          <w:fldChar w:fldCharType="end"/>
        </w:r>
      </w:p>
    </w:sdtContent>
  </w:sdt>
  <w:p w14:paraId="55CEC1C0" w14:textId="77777777" w:rsidR="005E1105" w:rsidRDefault="005E1105">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36110940"/>
      <w:docPartObj>
        <w:docPartGallery w:val="Page Numbers (Bottom of Page)"/>
        <w:docPartUnique/>
      </w:docPartObj>
    </w:sdtPr>
    <w:sdtEndPr/>
    <w:sdtContent>
      <w:p w14:paraId="2382304D" w14:textId="7DCEE54C" w:rsidR="005E1105" w:rsidRPr="00D776A4" w:rsidRDefault="00FA183A" w:rsidP="00D776A4">
        <w:pPr>
          <w:pStyle w:val="Footer"/>
          <w:jc w:val="center"/>
        </w:pPr>
      </w:p>
    </w:sdtContent>
  </w:sdt>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28830208"/>
      <w:docPartObj>
        <w:docPartGallery w:val="Page Numbers (Bottom of Page)"/>
        <w:docPartUnique/>
      </w:docPartObj>
    </w:sdtPr>
    <w:sdtEndPr/>
    <w:sdtContent>
      <w:p w14:paraId="73F09703" w14:textId="5DB6B246" w:rsidR="005E1105" w:rsidRDefault="005E1105">
        <w:pPr>
          <w:pStyle w:val="Footer"/>
          <w:jc w:val="center"/>
        </w:pPr>
        <w:r>
          <w:fldChar w:fldCharType="begin"/>
        </w:r>
        <w:r>
          <w:instrText>PAGE   \* MERGEFORMAT</w:instrText>
        </w:r>
        <w:r>
          <w:fldChar w:fldCharType="separate"/>
        </w:r>
        <w:r>
          <w:rPr>
            <w:noProof/>
          </w:rPr>
          <w:t>1</w:t>
        </w:r>
        <w:r>
          <w:fldChar w:fldCharType="end"/>
        </w:r>
      </w:p>
    </w:sdtContent>
  </w:sdt>
  <w:p w14:paraId="6FDE4A52" w14:textId="77777777" w:rsidR="005E1105" w:rsidRPr="00166C42" w:rsidRDefault="005E1105" w:rsidP="00166C42">
    <w:pPr>
      <w:pStyle w:val="Footer"/>
      <w:jc w:val="center"/>
      <w:rPr>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3F40894" w14:textId="77777777" w:rsidR="00FA183A" w:rsidRDefault="00FA183A" w:rsidP="00436665">
      <w:pPr>
        <w:spacing w:line="240" w:lineRule="auto"/>
      </w:pPr>
      <w:r>
        <w:separator/>
      </w:r>
    </w:p>
  </w:footnote>
  <w:footnote w:type="continuationSeparator" w:id="0">
    <w:p w14:paraId="05C6065B" w14:textId="77777777" w:rsidR="00FA183A" w:rsidRDefault="00FA183A" w:rsidP="00436665">
      <w:pPr>
        <w:spacing w:line="240" w:lineRule="auto"/>
      </w:pPr>
      <w:r>
        <w:continuationSeparator/>
      </w:r>
    </w:p>
  </w:footnote>
  <w:footnote w:type="continuationNotice" w:id="1">
    <w:p w14:paraId="12032613" w14:textId="77777777" w:rsidR="00FA183A" w:rsidRDefault="00FA183A">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7F5396A"/>
    <w:multiLevelType w:val="hybridMultilevel"/>
    <w:tmpl w:val="A4A4C7E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1B497494"/>
    <w:multiLevelType w:val="hybridMultilevel"/>
    <w:tmpl w:val="025CC17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25864F9A"/>
    <w:multiLevelType w:val="hybridMultilevel"/>
    <w:tmpl w:val="0124200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3CA82779"/>
    <w:multiLevelType w:val="multilevel"/>
    <w:tmpl w:val="151403E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592941BF"/>
    <w:multiLevelType w:val="hybridMultilevel"/>
    <w:tmpl w:val="B4A24B76"/>
    <w:lvl w:ilvl="0" w:tplc="F304944C">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C652EDD"/>
    <w:multiLevelType w:val="multilevel"/>
    <w:tmpl w:val="452C1864"/>
    <w:lvl w:ilvl="0">
      <w:start w:val="1"/>
      <w:numFmt w:val="decimal"/>
      <w:lvlText w:val="%1"/>
      <w:lvlJc w:val="left"/>
      <w:pPr>
        <w:ind w:left="400" w:hanging="400"/>
      </w:pPr>
      <w:rPr>
        <w:rFonts w:hint="default"/>
      </w:rPr>
    </w:lvl>
    <w:lvl w:ilvl="1">
      <w:start w:val="1"/>
      <w:numFmt w:val="decimal"/>
      <w:lvlText w:val="%1.%2"/>
      <w:lvlJc w:val="left"/>
      <w:pPr>
        <w:ind w:left="400" w:hanging="4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78BC0A14"/>
    <w:multiLevelType w:val="hybridMultilevel"/>
    <w:tmpl w:val="B930EDEA"/>
    <w:lvl w:ilvl="0" w:tplc="CFA2184C">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6"/>
  </w:num>
  <w:num w:numId="2">
    <w:abstractNumId w:val="1"/>
  </w:num>
  <w:num w:numId="3">
    <w:abstractNumId w:val="2"/>
  </w:num>
  <w:num w:numId="4">
    <w:abstractNumId w:val="0"/>
  </w:num>
  <w:num w:numId="5">
    <w:abstractNumId w:val="4"/>
  </w:num>
  <w:num w:numId="6">
    <w:abstractNumId w:val="5"/>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NotDisplayPageBoundaries/>
  <w:proofState w:spelling="clean" w:grammar="clean"/>
  <w:defaultTabStop w:val="708"/>
  <w:hyphenationZone w:val="425"/>
  <w:characterSpacingControl w:val="doNotCompress"/>
  <w:hdrShapeDefaults>
    <o:shapedefaults v:ext="edit" spidmax="430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F7620"/>
    <w:rsid w:val="00000167"/>
    <w:rsid w:val="00003DF9"/>
    <w:rsid w:val="00005CAE"/>
    <w:rsid w:val="00006C14"/>
    <w:rsid w:val="00006C6F"/>
    <w:rsid w:val="00006CFA"/>
    <w:rsid w:val="00007143"/>
    <w:rsid w:val="00010D1A"/>
    <w:rsid w:val="000114D5"/>
    <w:rsid w:val="00012198"/>
    <w:rsid w:val="0001271D"/>
    <w:rsid w:val="00013844"/>
    <w:rsid w:val="00013E4D"/>
    <w:rsid w:val="000141D8"/>
    <w:rsid w:val="00014DF2"/>
    <w:rsid w:val="0001512F"/>
    <w:rsid w:val="0001607B"/>
    <w:rsid w:val="000163E7"/>
    <w:rsid w:val="00021B0D"/>
    <w:rsid w:val="00022238"/>
    <w:rsid w:val="00022BC4"/>
    <w:rsid w:val="00022FD6"/>
    <w:rsid w:val="00023E2A"/>
    <w:rsid w:val="00025EC8"/>
    <w:rsid w:val="00026C97"/>
    <w:rsid w:val="00026DD2"/>
    <w:rsid w:val="00030893"/>
    <w:rsid w:val="000315F9"/>
    <w:rsid w:val="00031864"/>
    <w:rsid w:val="00031A39"/>
    <w:rsid w:val="00031E55"/>
    <w:rsid w:val="0003291D"/>
    <w:rsid w:val="00032FD1"/>
    <w:rsid w:val="00034510"/>
    <w:rsid w:val="0003488F"/>
    <w:rsid w:val="000354BE"/>
    <w:rsid w:val="00036AEA"/>
    <w:rsid w:val="000371FF"/>
    <w:rsid w:val="00041D3A"/>
    <w:rsid w:val="00041FD0"/>
    <w:rsid w:val="00042298"/>
    <w:rsid w:val="00043DCD"/>
    <w:rsid w:val="00045B2F"/>
    <w:rsid w:val="00047749"/>
    <w:rsid w:val="00050F01"/>
    <w:rsid w:val="000510B7"/>
    <w:rsid w:val="00052630"/>
    <w:rsid w:val="000548EC"/>
    <w:rsid w:val="000554F3"/>
    <w:rsid w:val="0005573B"/>
    <w:rsid w:val="00055B14"/>
    <w:rsid w:val="00055FF7"/>
    <w:rsid w:val="000565A3"/>
    <w:rsid w:val="00056A81"/>
    <w:rsid w:val="00057721"/>
    <w:rsid w:val="00060219"/>
    <w:rsid w:val="00060FF1"/>
    <w:rsid w:val="00061DEF"/>
    <w:rsid w:val="00062FA7"/>
    <w:rsid w:val="0006399D"/>
    <w:rsid w:val="00063F55"/>
    <w:rsid w:val="00064003"/>
    <w:rsid w:val="000643CB"/>
    <w:rsid w:val="00064686"/>
    <w:rsid w:val="00064E92"/>
    <w:rsid w:val="00065825"/>
    <w:rsid w:val="0007056D"/>
    <w:rsid w:val="00070771"/>
    <w:rsid w:val="00071F26"/>
    <w:rsid w:val="000720E7"/>
    <w:rsid w:val="00072501"/>
    <w:rsid w:val="00073327"/>
    <w:rsid w:val="00073DBE"/>
    <w:rsid w:val="000743E6"/>
    <w:rsid w:val="00074AE3"/>
    <w:rsid w:val="0007713C"/>
    <w:rsid w:val="0007718C"/>
    <w:rsid w:val="000824E9"/>
    <w:rsid w:val="0008345E"/>
    <w:rsid w:val="00083629"/>
    <w:rsid w:val="000844D2"/>
    <w:rsid w:val="0008557C"/>
    <w:rsid w:val="0008738D"/>
    <w:rsid w:val="0008759F"/>
    <w:rsid w:val="00090C0A"/>
    <w:rsid w:val="00091027"/>
    <w:rsid w:val="00093386"/>
    <w:rsid w:val="00094C72"/>
    <w:rsid w:val="0009524D"/>
    <w:rsid w:val="000969EA"/>
    <w:rsid w:val="00097A5F"/>
    <w:rsid w:val="000A20DE"/>
    <w:rsid w:val="000A2C2F"/>
    <w:rsid w:val="000A33B0"/>
    <w:rsid w:val="000A5682"/>
    <w:rsid w:val="000A5838"/>
    <w:rsid w:val="000B1660"/>
    <w:rsid w:val="000B1922"/>
    <w:rsid w:val="000B3533"/>
    <w:rsid w:val="000B5520"/>
    <w:rsid w:val="000B7BD9"/>
    <w:rsid w:val="000C0709"/>
    <w:rsid w:val="000C1D66"/>
    <w:rsid w:val="000C2DEA"/>
    <w:rsid w:val="000C56AF"/>
    <w:rsid w:val="000C5ED0"/>
    <w:rsid w:val="000D0704"/>
    <w:rsid w:val="000D27BE"/>
    <w:rsid w:val="000D2DF8"/>
    <w:rsid w:val="000D3060"/>
    <w:rsid w:val="000D4208"/>
    <w:rsid w:val="000D4A05"/>
    <w:rsid w:val="000D6644"/>
    <w:rsid w:val="000D6C5A"/>
    <w:rsid w:val="000D6F88"/>
    <w:rsid w:val="000D7AA9"/>
    <w:rsid w:val="000E07D7"/>
    <w:rsid w:val="000E0DD0"/>
    <w:rsid w:val="000E0F2E"/>
    <w:rsid w:val="000E4107"/>
    <w:rsid w:val="000E505C"/>
    <w:rsid w:val="000E6F75"/>
    <w:rsid w:val="000E7961"/>
    <w:rsid w:val="000F078C"/>
    <w:rsid w:val="000F0A29"/>
    <w:rsid w:val="000F114F"/>
    <w:rsid w:val="000F6584"/>
    <w:rsid w:val="000F690D"/>
    <w:rsid w:val="000F6AA4"/>
    <w:rsid w:val="000F7620"/>
    <w:rsid w:val="000F7773"/>
    <w:rsid w:val="000F7CD1"/>
    <w:rsid w:val="001025E0"/>
    <w:rsid w:val="00103D7D"/>
    <w:rsid w:val="00104214"/>
    <w:rsid w:val="00106C92"/>
    <w:rsid w:val="00106DBB"/>
    <w:rsid w:val="0011031E"/>
    <w:rsid w:val="001110EB"/>
    <w:rsid w:val="001112D4"/>
    <w:rsid w:val="0011176E"/>
    <w:rsid w:val="00111F9B"/>
    <w:rsid w:val="0011249E"/>
    <w:rsid w:val="00112C08"/>
    <w:rsid w:val="001136DF"/>
    <w:rsid w:val="00113BD7"/>
    <w:rsid w:val="0011420F"/>
    <w:rsid w:val="00114D79"/>
    <w:rsid w:val="00116569"/>
    <w:rsid w:val="0011670B"/>
    <w:rsid w:val="00117331"/>
    <w:rsid w:val="00120E9C"/>
    <w:rsid w:val="001214ED"/>
    <w:rsid w:val="0012330B"/>
    <w:rsid w:val="00123561"/>
    <w:rsid w:val="00123E05"/>
    <w:rsid w:val="00124C56"/>
    <w:rsid w:val="00125770"/>
    <w:rsid w:val="00125853"/>
    <w:rsid w:val="0012650D"/>
    <w:rsid w:val="001304DE"/>
    <w:rsid w:val="00131436"/>
    <w:rsid w:val="001316F4"/>
    <w:rsid w:val="00131C02"/>
    <w:rsid w:val="00132545"/>
    <w:rsid w:val="001327CC"/>
    <w:rsid w:val="0013290A"/>
    <w:rsid w:val="0013355C"/>
    <w:rsid w:val="00133F49"/>
    <w:rsid w:val="0013423B"/>
    <w:rsid w:val="0013634F"/>
    <w:rsid w:val="001404CE"/>
    <w:rsid w:val="001412EF"/>
    <w:rsid w:val="00144ADE"/>
    <w:rsid w:val="00146AB6"/>
    <w:rsid w:val="00150CEB"/>
    <w:rsid w:val="001516EE"/>
    <w:rsid w:val="00154462"/>
    <w:rsid w:val="0015577F"/>
    <w:rsid w:val="00155877"/>
    <w:rsid w:val="00155E22"/>
    <w:rsid w:val="00156C5A"/>
    <w:rsid w:val="0015747B"/>
    <w:rsid w:val="0015779D"/>
    <w:rsid w:val="00160E00"/>
    <w:rsid w:val="00161615"/>
    <w:rsid w:val="0016277F"/>
    <w:rsid w:val="00162C69"/>
    <w:rsid w:val="001633A4"/>
    <w:rsid w:val="00165870"/>
    <w:rsid w:val="00165FF5"/>
    <w:rsid w:val="00166C42"/>
    <w:rsid w:val="001674DE"/>
    <w:rsid w:val="00167948"/>
    <w:rsid w:val="00172E44"/>
    <w:rsid w:val="001757A2"/>
    <w:rsid w:val="0017632F"/>
    <w:rsid w:val="00176522"/>
    <w:rsid w:val="00176DD4"/>
    <w:rsid w:val="00177157"/>
    <w:rsid w:val="001779E3"/>
    <w:rsid w:val="0018106B"/>
    <w:rsid w:val="001811DD"/>
    <w:rsid w:val="00183327"/>
    <w:rsid w:val="00184476"/>
    <w:rsid w:val="00185B11"/>
    <w:rsid w:val="00185CF4"/>
    <w:rsid w:val="001873C0"/>
    <w:rsid w:val="00187B29"/>
    <w:rsid w:val="0019111E"/>
    <w:rsid w:val="0019383F"/>
    <w:rsid w:val="00193E81"/>
    <w:rsid w:val="00195942"/>
    <w:rsid w:val="00197E33"/>
    <w:rsid w:val="001A08D9"/>
    <w:rsid w:val="001A15FC"/>
    <w:rsid w:val="001A22E1"/>
    <w:rsid w:val="001A47A5"/>
    <w:rsid w:val="001A4E0A"/>
    <w:rsid w:val="001B061C"/>
    <w:rsid w:val="001B1C6C"/>
    <w:rsid w:val="001B1EEA"/>
    <w:rsid w:val="001B20D4"/>
    <w:rsid w:val="001B2C88"/>
    <w:rsid w:val="001B4C82"/>
    <w:rsid w:val="001B5CA4"/>
    <w:rsid w:val="001B6BA7"/>
    <w:rsid w:val="001C02EB"/>
    <w:rsid w:val="001C1CA9"/>
    <w:rsid w:val="001C28D9"/>
    <w:rsid w:val="001C3469"/>
    <w:rsid w:val="001C5FC7"/>
    <w:rsid w:val="001C71C3"/>
    <w:rsid w:val="001C71D7"/>
    <w:rsid w:val="001C75A6"/>
    <w:rsid w:val="001D13ED"/>
    <w:rsid w:val="001D2FD5"/>
    <w:rsid w:val="001D3A57"/>
    <w:rsid w:val="001D3BFC"/>
    <w:rsid w:val="001D43BB"/>
    <w:rsid w:val="001D47E4"/>
    <w:rsid w:val="001D4B82"/>
    <w:rsid w:val="001D6E7A"/>
    <w:rsid w:val="001D7376"/>
    <w:rsid w:val="001E1D69"/>
    <w:rsid w:val="001E24CF"/>
    <w:rsid w:val="001E2737"/>
    <w:rsid w:val="001E432E"/>
    <w:rsid w:val="001E5E02"/>
    <w:rsid w:val="001E5F27"/>
    <w:rsid w:val="001F1581"/>
    <w:rsid w:val="001F23A0"/>
    <w:rsid w:val="001F2B2A"/>
    <w:rsid w:val="001F394D"/>
    <w:rsid w:val="001F3D52"/>
    <w:rsid w:val="001F5275"/>
    <w:rsid w:val="001F5C7E"/>
    <w:rsid w:val="001F5DAF"/>
    <w:rsid w:val="00200209"/>
    <w:rsid w:val="00201316"/>
    <w:rsid w:val="002029D5"/>
    <w:rsid w:val="00202BD2"/>
    <w:rsid w:val="00202DA5"/>
    <w:rsid w:val="0020468D"/>
    <w:rsid w:val="00204B6B"/>
    <w:rsid w:val="0020544B"/>
    <w:rsid w:val="00206F93"/>
    <w:rsid w:val="002072DD"/>
    <w:rsid w:val="00210988"/>
    <w:rsid w:val="00212EA9"/>
    <w:rsid w:val="002147BE"/>
    <w:rsid w:val="00215C44"/>
    <w:rsid w:val="00216F05"/>
    <w:rsid w:val="00220D55"/>
    <w:rsid w:val="0022192F"/>
    <w:rsid w:val="00221E60"/>
    <w:rsid w:val="002224B5"/>
    <w:rsid w:val="002242F6"/>
    <w:rsid w:val="00224667"/>
    <w:rsid w:val="00225723"/>
    <w:rsid w:val="00227864"/>
    <w:rsid w:val="00230798"/>
    <w:rsid w:val="00233B4A"/>
    <w:rsid w:val="002348BA"/>
    <w:rsid w:val="00236025"/>
    <w:rsid w:val="00240A9A"/>
    <w:rsid w:val="00241EE4"/>
    <w:rsid w:val="00242EB2"/>
    <w:rsid w:val="00250799"/>
    <w:rsid w:val="00250C05"/>
    <w:rsid w:val="0025102C"/>
    <w:rsid w:val="002512E5"/>
    <w:rsid w:val="002532CE"/>
    <w:rsid w:val="00253599"/>
    <w:rsid w:val="0026006C"/>
    <w:rsid w:val="00261331"/>
    <w:rsid w:val="002621FC"/>
    <w:rsid w:val="0026676E"/>
    <w:rsid w:val="00270404"/>
    <w:rsid w:val="00271491"/>
    <w:rsid w:val="00271D5C"/>
    <w:rsid w:val="002754AF"/>
    <w:rsid w:val="002758BF"/>
    <w:rsid w:val="002764C2"/>
    <w:rsid w:val="00281226"/>
    <w:rsid w:val="00281458"/>
    <w:rsid w:val="002815D4"/>
    <w:rsid w:val="0028180E"/>
    <w:rsid w:val="00282BD5"/>
    <w:rsid w:val="002869CE"/>
    <w:rsid w:val="002902A6"/>
    <w:rsid w:val="00290F4A"/>
    <w:rsid w:val="002913E1"/>
    <w:rsid w:val="00291701"/>
    <w:rsid w:val="00291EB9"/>
    <w:rsid w:val="0029205F"/>
    <w:rsid w:val="00292C53"/>
    <w:rsid w:val="00293035"/>
    <w:rsid w:val="002942CE"/>
    <w:rsid w:val="00294E0C"/>
    <w:rsid w:val="0029543C"/>
    <w:rsid w:val="002967B9"/>
    <w:rsid w:val="002970F1"/>
    <w:rsid w:val="00297657"/>
    <w:rsid w:val="002A1488"/>
    <w:rsid w:val="002A2FE8"/>
    <w:rsid w:val="002A3FF6"/>
    <w:rsid w:val="002A5C86"/>
    <w:rsid w:val="002A7A86"/>
    <w:rsid w:val="002B0B91"/>
    <w:rsid w:val="002B123D"/>
    <w:rsid w:val="002B14E8"/>
    <w:rsid w:val="002B1B06"/>
    <w:rsid w:val="002B1C02"/>
    <w:rsid w:val="002B1C79"/>
    <w:rsid w:val="002B3113"/>
    <w:rsid w:val="002B419B"/>
    <w:rsid w:val="002B5D07"/>
    <w:rsid w:val="002B6CF2"/>
    <w:rsid w:val="002C0A88"/>
    <w:rsid w:val="002C0A91"/>
    <w:rsid w:val="002C127A"/>
    <w:rsid w:val="002C21EF"/>
    <w:rsid w:val="002C23D0"/>
    <w:rsid w:val="002C540E"/>
    <w:rsid w:val="002C5AE0"/>
    <w:rsid w:val="002C7572"/>
    <w:rsid w:val="002D0516"/>
    <w:rsid w:val="002D1D26"/>
    <w:rsid w:val="002D2ADC"/>
    <w:rsid w:val="002D2D95"/>
    <w:rsid w:val="002D346F"/>
    <w:rsid w:val="002D5CF4"/>
    <w:rsid w:val="002D67AA"/>
    <w:rsid w:val="002D6EE3"/>
    <w:rsid w:val="002D791F"/>
    <w:rsid w:val="002E1580"/>
    <w:rsid w:val="002E1736"/>
    <w:rsid w:val="002E195E"/>
    <w:rsid w:val="002E3B5F"/>
    <w:rsid w:val="002E5374"/>
    <w:rsid w:val="002E5B0A"/>
    <w:rsid w:val="002E5F68"/>
    <w:rsid w:val="002E6C66"/>
    <w:rsid w:val="002F0B64"/>
    <w:rsid w:val="002F1232"/>
    <w:rsid w:val="002F130C"/>
    <w:rsid w:val="002F232E"/>
    <w:rsid w:val="002F29C1"/>
    <w:rsid w:val="002F3554"/>
    <w:rsid w:val="002F4066"/>
    <w:rsid w:val="002F64AD"/>
    <w:rsid w:val="003013FE"/>
    <w:rsid w:val="00301EF5"/>
    <w:rsid w:val="00304AE1"/>
    <w:rsid w:val="00306338"/>
    <w:rsid w:val="00306A7F"/>
    <w:rsid w:val="00306D7F"/>
    <w:rsid w:val="00306F92"/>
    <w:rsid w:val="00310026"/>
    <w:rsid w:val="00313A59"/>
    <w:rsid w:val="00314460"/>
    <w:rsid w:val="00314C3D"/>
    <w:rsid w:val="00314D26"/>
    <w:rsid w:val="00315705"/>
    <w:rsid w:val="003160CF"/>
    <w:rsid w:val="0031654E"/>
    <w:rsid w:val="00327ECC"/>
    <w:rsid w:val="00330C9D"/>
    <w:rsid w:val="0033165A"/>
    <w:rsid w:val="00331D1B"/>
    <w:rsid w:val="00333820"/>
    <w:rsid w:val="003343BD"/>
    <w:rsid w:val="003347BA"/>
    <w:rsid w:val="003348EF"/>
    <w:rsid w:val="003357C6"/>
    <w:rsid w:val="00335EFC"/>
    <w:rsid w:val="0034294F"/>
    <w:rsid w:val="00342E1B"/>
    <w:rsid w:val="00344B05"/>
    <w:rsid w:val="00346136"/>
    <w:rsid w:val="00347939"/>
    <w:rsid w:val="00351165"/>
    <w:rsid w:val="003519AB"/>
    <w:rsid w:val="0035542C"/>
    <w:rsid w:val="00356289"/>
    <w:rsid w:val="003579A6"/>
    <w:rsid w:val="0036031C"/>
    <w:rsid w:val="0036087D"/>
    <w:rsid w:val="00360AF2"/>
    <w:rsid w:val="00360CF2"/>
    <w:rsid w:val="00360E7D"/>
    <w:rsid w:val="00361CCB"/>
    <w:rsid w:val="003626FB"/>
    <w:rsid w:val="00363DFB"/>
    <w:rsid w:val="003642BC"/>
    <w:rsid w:val="0036443D"/>
    <w:rsid w:val="00364B90"/>
    <w:rsid w:val="0036595F"/>
    <w:rsid w:val="00367B13"/>
    <w:rsid w:val="00367FB7"/>
    <w:rsid w:val="003715CE"/>
    <w:rsid w:val="00373011"/>
    <w:rsid w:val="00373303"/>
    <w:rsid w:val="003759D2"/>
    <w:rsid w:val="00376A1D"/>
    <w:rsid w:val="00377184"/>
    <w:rsid w:val="003805B1"/>
    <w:rsid w:val="00380952"/>
    <w:rsid w:val="00380F96"/>
    <w:rsid w:val="00385C5C"/>
    <w:rsid w:val="00385F91"/>
    <w:rsid w:val="003861ED"/>
    <w:rsid w:val="0039162E"/>
    <w:rsid w:val="0039191E"/>
    <w:rsid w:val="0039382B"/>
    <w:rsid w:val="003939E2"/>
    <w:rsid w:val="0039421C"/>
    <w:rsid w:val="003964F7"/>
    <w:rsid w:val="00396587"/>
    <w:rsid w:val="00397CB0"/>
    <w:rsid w:val="003A0DE9"/>
    <w:rsid w:val="003A22CA"/>
    <w:rsid w:val="003A2691"/>
    <w:rsid w:val="003A3964"/>
    <w:rsid w:val="003A3DBC"/>
    <w:rsid w:val="003A4002"/>
    <w:rsid w:val="003A72A6"/>
    <w:rsid w:val="003B08D7"/>
    <w:rsid w:val="003B1A52"/>
    <w:rsid w:val="003B33AE"/>
    <w:rsid w:val="003B35E3"/>
    <w:rsid w:val="003B389C"/>
    <w:rsid w:val="003B63E4"/>
    <w:rsid w:val="003B6AF8"/>
    <w:rsid w:val="003B6B33"/>
    <w:rsid w:val="003C1541"/>
    <w:rsid w:val="003C1610"/>
    <w:rsid w:val="003C20CA"/>
    <w:rsid w:val="003C23F5"/>
    <w:rsid w:val="003C2796"/>
    <w:rsid w:val="003C2A83"/>
    <w:rsid w:val="003C37E1"/>
    <w:rsid w:val="003C3885"/>
    <w:rsid w:val="003C446F"/>
    <w:rsid w:val="003C4FE1"/>
    <w:rsid w:val="003C62A4"/>
    <w:rsid w:val="003D1637"/>
    <w:rsid w:val="003D395B"/>
    <w:rsid w:val="003D52BF"/>
    <w:rsid w:val="003D689E"/>
    <w:rsid w:val="003D7D0D"/>
    <w:rsid w:val="003E0F4A"/>
    <w:rsid w:val="003E1A79"/>
    <w:rsid w:val="003E1F98"/>
    <w:rsid w:val="003E2008"/>
    <w:rsid w:val="003E26CF"/>
    <w:rsid w:val="003E2BBD"/>
    <w:rsid w:val="003E2D24"/>
    <w:rsid w:val="003E475C"/>
    <w:rsid w:val="003E4AB8"/>
    <w:rsid w:val="003E535E"/>
    <w:rsid w:val="003E6829"/>
    <w:rsid w:val="003E6A93"/>
    <w:rsid w:val="003E7D97"/>
    <w:rsid w:val="003F430F"/>
    <w:rsid w:val="003F4DC0"/>
    <w:rsid w:val="003F531E"/>
    <w:rsid w:val="003F62BB"/>
    <w:rsid w:val="003F6BA5"/>
    <w:rsid w:val="003F6F21"/>
    <w:rsid w:val="003F707D"/>
    <w:rsid w:val="004016E2"/>
    <w:rsid w:val="00402299"/>
    <w:rsid w:val="00402A44"/>
    <w:rsid w:val="00403F7C"/>
    <w:rsid w:val="00404804"/>
    <w:rsid w:val="004058F4"/>
    <w:rsid w:val="00406153"/>
    <w:rsid w:val="00406EEA"/>
    <w:rsid w:val="0041004A"/>
    <w:rsid w:val="00411AC7"/>
    <w:rsid w:val="004133C2"/>
    <w:rsid w:val="004146BD"/>
    <w:rsid w:val="00415B59"/>
    <w:rsid w:val="0041615C"/>
    <w:rsid w:val="0042057C"/>
    <w:rsid w:val="0042165F"/>
    <w:rsid w:val="00423F7B"/>
    <w:rsid w:val="00425771"/>
    <w:rsid w:val="004262F7"/>
    <w:rsid w:val="00426B17"/>
    <w:rsid w:val="004310F5"/>
    <w:rsid w:val="00431E03"/>
    <w:rsid w:val="0043273C"/>
    <w:rsid w:val="004345F6"/>
    <w:rsid w:val="00436665"/>
    <w:rsid w:val="00440EEE"/>
    <w:rsid w:val="00440FAA"/>
    <w:rsid w:val="004420B0"/>
    <w:rsid w:val="00444A6C"/>
    <w:rsid w:val="00445BEC"/>
    <w:rsid w:val="00446F17"/>
    <w:rsid w:val="0044741F"/>
    <w:rsid w:val="00447650"/>
    <w:rsid w:val="004478A6"/>
    <w:rsid w:val="00447D3B"/>
    <w:rsid w:val="004502C6"/>
    <w:rsid w:val="00451318"/>
    <w:rsid w:val="00451785"/>
    <w:rsid w:val="00452CED"/>
    <w:rsid w:val="00453F09"/>
    <w:rsid w:val="00454569"/>
    <w:rsid w:val="00455914"/>
    <w:rsid w:val="00456402"/>
    <w:rsid w:val="00457F11"/>
    <w:rsid w:val="00461C81"/>
    <w:rsid w:val="004628D3"/>
    <w:rsid w:val="004629B1"/>
    <w:rsid w:val="004640FF"/>
    <w:rsid w:val="0046464C"/>
    <w:rsid w:val="004647B8"/>
    <w:rsid w:val="00465556"/>
    <w:rsid w:val="0046572E"/>
    <w:rsid w:val="00467311"/>
    <w:rsid w:val="00470988"/>
    <w:rsid w:val="00470B55"/>
    <w:rsid w:val="00471739"/>
    <w:rsid w:val="0047197F"/>
    <w:rsid w:val="00471D43"/>
    <w:rsid w:val="004731EC"/>
    <w:rsid w:val="00473C78"/>
    <w:rsid w:val="004748D6"/>
    <w:rsid w:val="004750B9"/>
    <w:rsid w:val="00475856"/>
    <w:rsid w:val="004779E8"/>
    <w:rsid w:val="004804CA"/>
    <w:rsid w:val="00480C6E"/>
    <w:rsid w:val="00482071"/>
    <w:rsid w:val="00482178"/>
    <w:rsid w:val="004826F7"/>
    <w:rsid w:val="0048278D"/>
    <w:rsid w:val="00485C0E"/>
    <w:rsid w:val="004908B6"/>
    <w:rsid w:val="00494DA6"/>
    <w:rsid w:val="004A06DC"/>
    <w:rsid w:val="004A0CCA"/>
    <w:rsid w:val="004A2D11"/>
    <w:rsid w:val="004A4A6D"/>
    <w:rsid w:val="004A5161"/>
    <w:rsid w:val="004A5292"/>
    <w:rsid w:val="004A69E8"/>
    <w:rsid w:val="004A6AAA"/>
    <w:rsid w:val="004B0A64"/>
    <w:rsid w:val="004B2698"/>
    <w:rsid w:val="004B3274"/>
    <w:rsid w:val="004B372E"/>
    <w:rsid w:val="004B46C0"/>
    <w:rsid w:val="004B49A8"/>
    <w:rsid w:val="004B5425"/>
    <w:rsid w:val="004B548B"/>
    <w:rsid w:val="004B5ABF"/>
    <w:rsid w:val="004B67A8"/>
    <w:rsid w:val="004B70BA"/>
    <w:rsid w:val="004B752B"/>
    <w:rsid w:val="004C395D"/>
    <w:rsid w:val="004C430B"/>
    <w:rsid w:val="004C584F"/>
    <w:rsid w:val="004C5B45"/>
    <w:rsid w:val="004C691A"/>
    <w:rsid w:val="004D03EF"/>
    <w:rsid w:val="004D0AC2"/>
    <w:rsid w:val="004D0FB4"/>
    <w:rsid w:val="004D112F"/>
    <w:rsid w:val="004D12CC"/>
    <w:rsid w:val="004D2154"/>
    <w:rsid w:val="004D21A5"/>
    <w:rsid w:val="004D31C8"/>
    <w:rsid w:val="004D4023"/>
    <w:rsid w:val="004D66D5"/>
    <w:rsid w:val="004D7780"/>
    <w:rsid w:val="004E0630"/>
    <w:rsid w:val="004E2716"/>
    <w:rsid w:val="004E5A63"/>
    <w:rsid w:val="004E5E0B"/>
    <w:rsid w:val="004E658F"/>
    <w:rsid w:val="004E72DF"/>
    <w:rsid w:val="004F1987"/>
    <w:rsid w:val="004F238D"/>
    <w:rsid w:val="004F371E"/>
    <w:rsid w:val="004F3DC7"/>
    <w:rsid w:val="004F77F7"/>
    <w:rsid w:val="0050077A"/>
    <w:rsid w:val="00500A51"/>
    <w:rsid w:val="00500D6A"/>
    <w:rsid w:val="00501C51"/>
    <w:rsid w:val="00501CFD"/>
    <w:rsid w:val="00502876"/>
    <w:rsid w:val="005041E0"/>
    <w:rsid w:val="0050470D"/>
    <w:rsid w:val="00504B4C"/>
    <w:rsid w:val="00504C92"/>
    <w:rsid w:val="00504D3D"/>
    <w:rsid w:val="00505B8B"/>
    <w:rsid w:val="00505BA1"/>
    <w:rsid w:val="005078CF"/>
    <w:rsid w:val="00507E97"/>
    <w:rsid w:val="00510873"/>
    <w:rsid w:val="00510886"/>
    <w:rsid w:val="00512418"/>
    <w:rsid w:val="00512CE1"/>
    <w:rsid w:val="005137E3"/>
    <w:rsid w:val="0051631B"/>
    <w:rsid w:val="00516D9F"/>
    <w:rsid w:val="00520A9C"/>
    <w:rsid w:val="00522CFB"/>
    <w:rsid w:val="005253F7"/>
    <w:rsid w:val="0053106E"/>
    <w:rsid w:val="00534825"/>
    <w:rsid w:val="005358F1"/>
    <w:rsid w:val="005371E4"/>
    <w:rsid w:val="00537A78"/>
    <w:rsid w:val="00542AEB"/>
    <w:rsid w:val="00542CB8"/>
    <w:rsid w:val="0054371D"/>
    <w:rsid w:val="00544E7B"/>
    <w:rsid w:val="005471BF"/>
    <w:rsid w:val="00547DFF"/>
    <w:rsid w:val="00547F4C"/>
    <w:rsid w:val="005503BD"/>
    <w:rsid w:val="00553026"/>
    <w:rsid w:val="00555657"/>
    <w:rsid w:val="00560F04"/>
    <w:rsid w:val="005611E2"/>
    <w:rsid w:val="0056141D"/>
    <w:rsid w:val="00561B0F"/>
    <w:rsid w:val="00562875"/>
    <w:rsid w:val="00562C77"/>
    <w:rsid w:val="0056362A"/>
    <w:rsid w:val="00565465"/>
    <w:rsid w:val="00565EAC"/>
    <w:rsid w:val="005661AF"/>
    <w:rsid w:val="00567796"/>
    <w:rsid w:val="00573128"/>
    <w:rsid w:val="005732EF"/>
    <w:rsid w:val="00573D75"/>
    <w:rsid w:val="005744C8"/>
    <w:rsid w:val="0057639C"/>
    <w:rsid w:val="00577854"/>
    <w:rsid w:val="00577929"/>
    <w:rsid w:val="00577F62"/>
    <w:rsid w:val="00580A4E"/>
    <w:rsid w:val="00580FDD"/>
    <w:rsid w:val="0058166A"/>
    <w:rsid w:val="0058363D"/>
    <w:rsid w:val="00583818"/>
    <w:rsid w:val="00583B9B"/>
    <w:rsid w:val="005840F6"/>
    <w:rsid w:val="005841BA"/>
    <w:rsid w:val="00585A20"/>
    <w:rsid w:val="00587842"/>
    <w:rsid w:val="00590D28"/>
    <w:rsid w:val="005925D0"/>
    <w:rsid w:val="0059309B"/>
    <w:rsid w:val="0059337F"/>
    <w:rsid w:val="0059596F"/>
    <w:rsid w:val="00596236"/>
    <w:rsid w:val="005976A6"/>
    <w:rsid w:val="005A01A4"/>
    <w:rsid w:val="005A1656"/>
    <w:rsid w:val="005A1E7E"/>
    <w:rsid w:val="005A1F90"/>
    <w:rsid w:val="005A25DE"/>
    <w:rsid w:val="005A28E2"/>
    <w:rsid w:val="005A3B70"/>
    <w:rsid w:val="005A4003"/>
    <w:rsid w:val="005A417F"/>
    <w:rsid w:val="005A4BE1"/>
    <w:rsid w:val="005A4E09"/>
    <w:rsid w:val="005A7E1E"/>
    <w:rsid w:val="005B0E5A"/>
    <w:rsid w:val="005B1409"/>
    <w:rsid w:val="005B6BC6"/>
    <w:rsid w:val="005B7B29"/>
    <w:rsid w:val="005C0C7F"/>
    <w:rsid w:val="005C16A5"/>
    <w:rsid w:val="005C228A"/>
    <w:rsid w:val="005C2F85"/>
    <w:rsid w:val="005C5AE6"/>
    <w:rsid w:val="005C6DE3"/>
    <w:rsid w:val="005C7F70"/>
    <w:rsid w:val="005D0993"/>
    <w:rsid w:val="005D1052"/>
    <w:rsid w:val="005D1D6A"/>
    <w:rsid w:val="005D26F7"/>
    <w:rsid w:val="005D298C"/>
    <w:rsid w:val="005D2DCD"/>
    <w:rsid w:val="005D34FA"/>
    <w:rsid w:val="005D377B"/>
    <w:rsid w:val="005D5547"/>
    <w:rsid w:val="005D704D"/>
    <w:rsid w:val="005D77C1"/>
    <w:rsid w:val="005E0726"/>
    <w:rsid w:val="005E0F6E"/>
    <w:rsid w:val="005E1105"/>
    <w:rsid w:val="005E1183"/>
    <w:rsid w:val="005E14F0"/>
    <w:rsid w:val="005E1D7D"/>
    <w:rsid w:val="005E2672"/>
    <w:rsid w:val="005E32C2"/>
    <w:rsid w:val="005E6C0A"/>
    <w:rsid w:val="005E6DF7"/>
    <w:rsid w:val="005E6EA4"/>
    <w:rsid w:val="005F09C1"/>
    <w:rsid w:val="005F0A61"/>
    <w:rsid w:val="005F132B"/>
    <w:rsid w:val="005F2086"/>
    <w:rsid w:val="005F346B"/>
    <w:rsid w:val="005F6B23"/>
    <w:rsid w:val="005F7E22"/>
    <w:rsid w:val="006002B0"/>
    <w:rsid w:val="00600994"/>
    <w:rsid w:val="00602A46"/>
    <w:rsid w:val="006107DB"/>
    <w:rsid w:val="00612A27"/>
    <w:rsid w:val="006138F1"/>
    <w:rsid w:val="00614260"/>
    <w:rsid w:val="00614654"/>
    <w:rsid w:val="00614BD4"/>
    <w:rsid w:val="00614D90"/>
    <w:rsid w:val="00620536"/>
    <w:rsid w:val="00620996"/>
    <w:rsid w:val="00621C94"/>
    <w:rsid w:val="00621DE3"/>
    <w:rsid w:val="00622B18"/>
    <w:rsid w:val="006231E7"/>
    <w:rsid w:val="0062331E"/>
    <w:rsid w:val="00625AFD"/>
    <w:rsid w:val="00625C0E"/>
    <w:rsid w:val="00627B51"/>
    <w:rsid w:val="006321D4"/>
    <w:rsid w:val="006326A9"/>
    <w:rsid w:val="00632D37"/>
    <w:rsid w:val="00633B5F"/>
    <w:rsid w:val="0063495D"/>
    <w:rsid w:val="00635404"/>
    <w:rsid w:val="00635F57"/>
    <w:rsid w:val="0063622A"/>
    <w:rsid w:val="0064095D"/>
    <w:rsid w:val="006427AB"/>
    <w:rsid w:val="006429BF"/>
    <w:rsid w:val="006434C9"/>
    <w:rsid w:val="00643569"/>
    <w:rsid w:val="00644A7D"/>
    <w:rsid w:val="006461DA"/>
    <w:rsid w:val="00650004"/>
    <w:rsid w:val="00651214"/>
    <w:rsid w:val="006524EB"/>
    <w:rsid w:val="00655B23"/>
    <w:rsid w:val="006560F4"/>
    <w:rsid w:val="00656757"/>
    <w:rsid w:val="00662FA0"/>
    <w:rsid w:val="0066472E"/>
    <w:rsid w:val="0067362A"/>
    <w:rsid w:val="00673F53"/>
    <w:rsid w:val="00674EC3"/>
    <w:rsid w:val="00674F27"/>
    <w:rsid w:val="006750A3"/>
    <w:rsid w:val="00676439"/>
    <w:rsid w:val="00676F53"/>
    <w:rsid w:val="0067744C"/>
    <w:rsid w:val="0068152A"/>
    <w:rsid w:val="00682778"/>
    <w:rsid w:val="00684ED4"/>
    <w:rsid w:val="00684EEC"/>
    <w:rsid w:val="00686096"/>
    <w:rsid w:val="006879F2"/>
    <w:rsid w:val="00690CB7"/>
    <w:rsid w:val="00691220"/>
    <w:rsid w:val="006930CB"/>
    <w:rsid w:val="006951CC"/>
    <w:rsid w:val="00697964"/>
    <w:rsid w:val="006A0307"/>
    <w:rsid w:val="006A32D5"/>
    <w:rsid w:val="006A33CE"/>
    <w:rsid w:val="006A4A9B"/>
    <w:rsid w:val="006A6912"/>
    <w:rsid w:val="006A6F50"/>
    <w:rsid w:val="006B2E9E"/>
    <w:rsid w:val="006B3CE5"/>
    <w:rsid w:val="006B5BC7"/>
    <w:rsid w:val="006B5EA5"/>
    <w:rsid w:val="006B6A57"/>
    <w:rsid w:val="006B6ED5"/>
    <w:rsid w:val="006C0015"/>
    <w:rsid w:val="006C0E83"/>
    <w:rsid w:val="006C158C"/>
    <w:rsid w:val="006C283E"/>
    <w:rsid w:val="006C28C2"/>
    <w:rsid w:val="006C378A"/>
    <w:rsid w:val="006C40DC"/>
    <w:rsid w:val="006C7EFA"/>
    <w:rsid w:val="006D0C06"/>
    <w:rsid w:val="006D1121"/>
    <w:rsid w:val="006D1867"/>
    <w:rsid w:val="006D22F4"/>
    <w:rsid w:val="006D2DD0"/>
    <w:rsid w:val="006D457C"/>
    <w:rsid w:val="006D5308"/>
    <w:rsid w:val="006D561D"/>
    <w:rsid w:val="006D5A33"/>
    <w:rsid w:val="006D693D"/>
    <w:rsid w:val="006E0766"/>
    <w:rsid w:val="006E0A40"/>
    <w:rsid w:val="006E2072"/>
    <w:rsid w:val="006E2578"/>
    <w:rsid w:val="006E38BA"/>
    <w:rsid w:val="006E5068"/>
    <w:rsid w:val="006E63E5"/>
    <w:rsid w:val="006E674D"/>
    <w:rsid w:val="006E687A"/>
    <w:rsid w:val="006F0BFD"/>
    <w:rsid w:val="006F204F"/>
    <w:rsid w:val="006F28D6"/>
    <w:rsid w:val="006F37B2"/>
    <w:rsid w:val="006F4D38"/>
    <w:rsid w:val="007002A8"/>
    <w:rsid w:val="00700471"/>
    <w:rsid w:val="0070054D"/>
    <w:rsid w:val="00702B60"/>
    <w:rsid w:val="007044A9"/>
    <w:rsid w:val="0070593A"/>
    <w:rsid w:val="00706E12"/>
    <w:rsid w:val="00706F60"/>
    <w:rsid w:val="00710590"/>
    <w:rsid w:val="007107BC"/>
    <w:rsid w:val="0071167B"/>
    <w:rsid w:val="00714565"/>
    <w:rsid w:val="00716DF5"/>
    <w:rsid w:val="00717C56"/>
    <w:rsid w:val="00722943"/>
    <w:rsid w:val="00723F78"/>
    <w:rsid w:val="00725E7E"/>
    <w:rsid w:val="007274C2"/>
    <w:rsid w:val="00730786"/>
    <w:rsid w:val="007326D7"/>
    <w:rsid w:val="00732A22"/>
    <w:rsid w:val="00732C10"/>
    <w:rsid w:val="0073314B"/>
    <w:rsid w:val="007341F5"/>
    <w:rsid w:val="00734504"/>
    <w:rsid w:val="0073641B"/>
    <w:rsid w:val="00737C46"/>
    <w:rsid w:val="007404EB"/>
    <w:rsid w:val="0074054A"/>
    <w:rsid w:val="00740B2F"/>
    <w:rsid w:val="00741EDE"/>
    <w:rsid w:val="00743E2A"/>
    <w:rsid w:val="007456AA"/>
    <w:rsid w:val="007461A2"/>
    <w:rsid w:val="00746FAD"/>
    <w:rsid w:val="007501AF"/>
    <w:rsid w:val="007506D3"/>
    <w:rsid w:val="00750959"/>
    <w:rsid w:val="007528C2"/>
    <w:rsid w:val="00752DC5"/>
    <w:rsid w:val="00754006"/>
    <w:rsid w:val="00754AB4"/>
    <w:rsid w:val="00754C03"/>
    <w:rsid w:val="00754E5C"/>
    <w:rsid w:val="007551C6"/>
    <w:rsid w:val="00755EA2"/>
    <w:rsid w:val="0075671D"/>
    <w:rsid w:val="00757AB4"/>
    <w:rsid w:val="00761910"/>
    <w:rsid w:val="00763B99"/>
    <w:rsid w:val="007646FC"/>
    <w:rsid w:val="00765032"/>
    <w:rsid w:val="00765084"/>
    <w:rsid w:val="00765F11"/>
    <w:rsid w:val="007663A3"/>
    <w:rsid w:val="00766F9F"/>
    <w:rsid w:val="00767CE2"/>
    <w:rsid w:val="0077053B"/>
    <w:rsid w:val="00772215"/>
    <w:rsid w:val="00774869"/>
    <w:rsid w:val="00774D9C"/>
    <w:rsid w:val="00776C36"/>
    <w:rsid w:val="00776D9A"/>
    <w:rsid w:val="0078020C"/>
    <w:rsid w:val="00780555"/>
    <w:rsid w:val="00780B37"/>
    <w:rsid w:val="00780C5C"/>
    <w:rsid w:val="007823B0"/>
    <w:rsid w:val="00782AFD"/>
    <w:rsid w:val="00783C6F"/>
    <w:rsid w:val="00784305"/>
    <w:rsid w:val="00784A90"/>
    <w:rsid w:val="00786240"/>
    <w:rsid w:val="00787DDC"/>
    <w:rsid w:val="007907D5"/>
    <w:rsid w:val="00790FAC"/>
    <w:rsid w:val="0079239B"/>
    <w:rsid w:val="00792E5B"/>
    <w:rsid w:val="00792F1E"/>
    <w:rsid w:val="007963CC"/>
    <w:rsid w:val="007969AD"/>
    <w:rsid w:val="007A0D18"/>
    <w:rsid w:val="007A2087"/>
    <w:rsid w:val="007A2B16"/>
    <w:rsid w:val="007A305B"/>
    <w:rsid w:val="007A4F80"/>
    <w:rsid w:val="007A58A9"/>
    <w:rsid w:val="007A6920"/>
    <w:rsid w:val="007A6967"/>
    <w:rsid w:val="007B0119"/>
    <w:rsid w:val="007B2624"/>
    <w:rsid w:val="007B31C5"/>
    <w:rsid w:val="007B361F"/>
    <w:rsid w:val="007B46B2"/>
    <w:rsid w:val="007B5541"/>
    <w:rsid w:val="007B58DF"/>
    <w:rsid w:val="007B7312"/>
    <w:rsid w:val="007B7AFD"/>
    <w:rsid w:val="007B7D6E"/>
    <w:rsid w:val="007C24E7"/>
    <w:rsid w:val="007C2A24"/>
    <w:rsid w:val="007C4BDB"/>
    <w:rsid w:val="007C6C19"/>
    <w:rsid w:val="007C7891"/>
    <w:rsid w:val="007C7F71"/>
    <w:rsid w:val="007D1134"/>
    <w:rsid w:val="007D4B0E"/>
    <w:rsid w:val="007D4C3A"/>
    <w:rsid w:val="007D5472"/>
    <w:rsid w:val="007D5B24"/>
    <w:rsid w:val="007D5D65"/>
    <w:rsid w:val="007D5F4E"/>
    <w:rsid w:val="007D6737"/>
    <w:rsid w:val="007D7207"/>
    <w:rsid w:val="007D7FB0"/>
    <w:rsid w:val="007E098C"/>
    <w:rsid w:val="007E20A8"/>
    <w:rsid w:val="007E49CC"/>
    <w:rsid w:val="007E4CB0"/>
    <w:rsid w:val="007E60C2"/>
    <w:rsid w:val="007E616E"/>
    <w:rsid w:val="007E766C"/>
    <w:rsid w:val="007F0637"/>
    <w:rsid w:val="007F1217"/>
    <w:rsid w:val="007F2460"/>
    <w:rsid w:val="007F412B"/>
    <w:rsid w:val="007F4DC3"/>
    <w:rsid w:val="007F6823"/>
    <w:rsid w:val="00800161"/>
    <w:rsid w:val="00801040"/>
    <w:rsid w:val="00801FC7"/>
    <w:rsid w:val="008032B2"/>
    <w:rsid w:val="0080385C"/>
    <w:rsid w:val="0080636A"/>
    <w:rsid w:val="008068ED"/>
    <w:rsid w:val="00806C59"/>
    <w:rsid w:val="008076B8"/>
    <w:rsid w:val="008105DD"/>
    <w:rsid w:val="00814546"/>
    <w:rsid w:val="00814C53"/>
    <w:rsid w:val="00815F95"/>
    <w:rsid w:val="0081741F"/>
    <w:rsid w:val="00817900"/>
    <w:rsid w:val="0082055E"/>
    <w:rsid w:val="00820798"/>
    <w:rsid w:val="00820FD5"/>
    <w:rsid w:val="00821647"/>
    <w:rsid w:val="00822592"/>
    <w:rsid w:val="00822F1A"/>
    <w:rsid w:val="0082322C"/>
    <w:rsid w:val="008236A6"/>
    <w:rsid w:val="0082383E"/>
    <w:rsid w:val="00823E9B"/>
    <w:rsid w:val="00824500"/>
    <w:rsid w:val="008245E2"/>
    <w:rsid w:val="00826B26"/>
    <w:rsid w:val="00826B4F"/>
    <w:rsid w:val="0082738E"/>
    <w:rsid w:val="00830826"/>
    <w:rsid w:val="008312E7"/>
    <w:rsid w:val="00831501"/>
    <w:rsid w:val="008316EE"/>
    <w:rsid w:val="00831B1D"/>
    <w:rsid w:val="0083350B"/>
    <w:rsid w:val="008349A2"/>
    <w:rsid w:val="0084104D"/>
    <w:rsid w:val="00841349"/>
    <w:rsid w:val="00843133"/>
    <w:rsid w:val="00844C4D"/>
    <w:rsid w:val="008459AC"/>
    <w:rsid w:val="00845DE7"/>
    <w:rsid w:val="0084682B"/>
    <w:rsid w:val="008470C4"/>
    <w:rsid w:val="00847131"/>
    <w:rsid w:val="0084743F"/>
    <w:rsid w:val="0085028D"/>
    <w:rsid w:val="00850E3B"/>
    <w:rsid w:val="00851752"/>
    <w:rsid w:val="008525CC"/>
    <w:rsid w:val="00854080"/>
    <w:rsid w:val="00854733"/>
    <w:rsid w:val="00854753"/>
    <w:rsid w:val="00854E51"/>
    <w:rsid w:val="00855074"/>
    <w:rsid w:val="008554BE"/>
    <w:rsid w:val="008554E6"/>
    <w:rsid w:val="00857883"/>
    <w:rsid w:val="00857A27"/>
    <w:rsid w:val="00857D82"/>
    <w:rsid w:val="008615C4"/>
    <w:rsid w:val="00862F01"/>
    <w:rsid w:val="00864DE1"/>
    <w:rsid w:val="00865DCE"/>
    <w:rsid w:val="00865DF3"/>
    <w:rsid w:val="00865FFE"/>
    <w:rsid w:val="00866A66"/>
    <w:rsid w:val="00866BD5"/>
    <w:rsid w:val="00867255"/>
    <w:rsid w:val="00867B8A"/>
    <w:rsid w:val="00871CBC"/>
    <w:rsid w:val="00872E4E"/>
    <w:rsid w:val="00873B5E"/>
    <w:rsid w:val="00874689"/>
    <w:rsid w:val="00875D78"/>
    <w:rsid w:val="008775D9"/>
    <w:rsid w:val="00880787"/>
    <w:rsid w:val="008819F1"/>
    <w:rsid w:val="00881AF0"/>
    <w:rsid w:val="0088201C"/>
    <w:rsid w:val="00882E52"/>
    <w:rsid w:val="008833F8"/>
    <w:rsid w:val="00884280"/>
    <w:rsid w:val="0088798A"/>
    <w:rsid w:val="00891655"/>
    <w:rsid w:val="008919C9"/>
    <w:rsid w:val="00892E37"/>
    <w:rsid w:val="00895721"/>
    <w:rsid w:val="008959B2"/>
    <w:rsid w:val="00895A62"/>
    <w:rsid w:val="00896E1A"/>
    <w:rsid w:val="00897E9E"/>
    <w:rsid w:val="00897F07"/>
    <w:rsid w:val="008A006E"/>
    <w:rsid w:val="008A05C3"/>
    <w:rsid w:val="008A153F"/>
    <w:rsid w:val="008A2028"/>
    <w:rsid w:val="008A2EB8"/>
    <w:rsid w:val="008A304E"/>
    <w:rsid w:val="008A3135"/>
    <w:rsid w:val="008A498D"/>
    <w:rsid w:val="008A69EB"/>
    <w:rsid w:val="008A6D7A"/>
    <w:rsid w:val="008B0323"/>
    <w:rsid w:val="008B03B7"/>
    <w:rsid w:val="008B047C"/>
    <w:rsid w:val="008B054F"/>
    <w:rsid w:val="008B17CE"/>
    <w:rsid w:val="008B33F1"/>
    <w:rsid w:val="008B413E"/>
    <w:rsid w:val="008B4236"/>
    <w:rsid w:val="008B457B"/>
    <w:rsid w:val="008B6213"/>
    <w:rsid w:val="008C0664"/>
    <w:rsid w:val="008C1DBA"/>
    <w:rsid w:val="008C1FDF"/>
    <w:rsid w:val="008C3A0E"/>
    <w:rsid w:val="008C483F"/>
    <w:rsid w:val="008D0036"/>
    <w:rsid w:val="008D02D1"/>
    <w:rsid w:val="008D0719"/>
    <w:rsid w:val="008D07A4"/>
    <w:rsid w:val="008D088D"/>
    <w:rsid w:val="008D08FF"/>
    <w:rsid w:val="008D13FB"/>
    <w:rsid w:val="008D4691"/>
    <w:rsid w:val="008D69D8"/>
    <w:rsid w:val="008E01C3"/>
    <w:rsid w:val="008E039C"/>
    <w:rsid w:val="008E0D75"/>
    <w:rsid w:val="008E0E2C"/>
    <w:rsid w:val="008E1D2E"/>
    <w:rsid w:val="008E2A02"/>
    <w:rsid w:val="008E3164"/>
    <w:rsid w:val="008E4DC6"/>
    <w:rsid w:val="008E4FEB"/>
    <w:rsid w:val="008E61D3"/>
    <w:rsid w:val="008E6329"/>
    <w:rsid w:val="008E74D8"/>
    <w:rsid w:val="008E74F0"/>
    <w:rsid w:val="008E7F08"/>
    <w:rsid w:val="008F014C"/>
    <w:rsid w:val="008F048A"/>
    <w:rsid w:val="008F09EF"/>
    <w:rsid w:val="008F3C1B"/>
    <w:rsid w:val="008F460B"/>
    <w:rsid w:val="008F5095"/>
    <w:rsid w:val="009003FF"/>
    <w:rsid w:val="00901CF0"/>
    <w:rsid w:val="009020D8"/>
    <w:rsid w:val="00902BD2"/>
    <w:rsid w:val="00902BD4"/>
    <w:rsid w:val="009048CB"/>
    <w:rsid w:val="00906D82"/>
    <w:rsid w:val="00907AC9"/>
    <w:rsid w:val="00907BD8"/>
    <w:rsid w:val="00910719"/>
    <w:rsid w:val="00910812"/>
    <w:rsid w:val="00911DB1"/>
    <w:rsid w:val="0091216D"/>
    <w:rsid w:val="00912372"/>
    <w:rsid w:val="00914734"/>
    <w:rsid w:val="009159DD"/>
    <w:rsid w:val="00915D5D"/>
    <w:rsid w:val="009161F1"/>
    <w:rsid w:val="00916999"/>
    <w:rsid w:val="0092000A"/>
    <w:rsid w:val="009227BF"/>
    <w:rsid w:val="00922B83"/>
    <w:rsid w:val="00922F71"/>
    <w:rsid w:val="00923FDA"/>
    <w:rsid w:val="0092554E"/>
    <w:rsid w:val="00925CB9"/>
    <w:rsid w:val="00926734"/>
    <w:rsid w:val="00926EEE"/>
    <w:rsid w:val="00930A99"/>
    <w:rsid w:val="00931981"/>
    <w:rsid w:val="00932486"/>
    <w:rsid w:val="00932912"/>
    <w:rsid w:val="00933AE8"/>
    <w:rsid w:val="0093456C"/>
    <w:rsid w:val="00935C2A"/>
    <w:rsid w:val="00935E8F"/>
    <w:rsid w:val="00936019"/>
    <w:rsid w:val="009367C3"/>
    <w:rsid w:val="0093710A"/>
    <w:rsid w:val="00940146"/>
    <w:rsid w:val="00940B8F"/>
    <w:rsid w:val="0094175F"/>
    <w:rsid w:val="00943390"/>
    <w:rsid w:val="009453AB"/>
    <w:rsid w:val="00945C10"/>
    <w:rsid w:val="00945DDE"/>
    <w:rsid w:val="009464BF"/>
    <w:rsid w:val="00946E53"/>
    <w:rsid w:val="00946EEF"/>
    <w:rsid w:val="00947D24"/>
    <w:rsid w:val="0095062F"/>
    <w:rsid w:val="0095179D"/>
    <w:rsid w:val="00951906"/>
    <w:rsid w:val="00953D56"/>
    <w:rsid w:val="00953E64"/>
    <w:rsid w:val="00957573"/>
    <w:rsid w:val="009578D4"/>
    <w:rsid w:val="0096115E"/>
    <w:rsid w:val="00962095"/>
    <w:rsid w:val="00962724"/>
    <w:rsid w:val="0096274C"/>
    <w:rsid w:val="00962F37"/>
    <w:rsid w:val="009633CF"/>
    <w:rsid w:val="00963A46"/>
    <w:rsid w:val="009663C5"/>
    <w:rsid w:val="009678A2"/>
    <w:rsid w:val="0097106E"/>
    <w:rsid w:val="0097197B"/>
    <w:rsid w:val="009729FD"/>
    <w:rsid w:val="009739DE"/>
    <w:rsid w:val="00973DCA"/>
    <w:rsid w:val="00973E8D"/>
    <w:rsid w:val="00974E78"/>
    <w:rsid w:val="00975FB8"/>
    <w:rsid w:val="0097656D"/>
    <w:rsid w:val="009768D4"/>
    <w:rsid w:val="009775D1"/>
    <w:rsid w:val="00980204"/>
    <w:rsid w:val="00982463"/>
    <w:rsid w:val="009838C5"/>
    <w:rsid w:val="00984DFE"/>
    <w:rsid w:val="00987D49"/>
    <w:rsid w:val="0099001E"/>
    <w:rsid w:val="009903EA"/>
    <w:rsid w:val="00990638"/>
    <w:rsid w:val="009936CA"/>
    <w:rsid w:val="00993D50"/>
    <w:rsid w:val="00993E64"/>
    <w:rsid w:val="00993FF7"/>
    <w:rsid w:val="00994F73"/>
    <w:rsid w:val="009954A4"/>
    <w:rsid w:val="0099696A"/>
    <w:rsid w:val="00996A6C"/>
    <w:rsid w:val="00997C5D"/>
    <w:rsid w:val="009A13EE"/>
    <w:rsid w:val="009A1B98"/>
    <w:rsid w:val="009A22C1"/>
    <w:rsid w:val="009A3E30"/>
    <w:rsid w:val="009A44DF"/>
    <w:rsid w:val="009A6311"/>
    <w:rsid w:val="009A73B4"/>
    <w:rsid w:val="009B0041"/>
    <w:rsid w:val="009B23BC"/>
    <w:rsid w:val="009B26FB"/>
    <w:rsid w:val="009B32A3"/>
    <w:rsid w:val="009B4FF5"/>
    <w:rsid w:val="009B7454"/>
    <w:rsid w:val="009B789B"/>
    <w:rsid w:val="009C1D45"/>
    <w:rsid w:val="009C1EB9"/>
    <w:rsid w:val="009C25E5"/>
    <w:rsid w:val="009C27B4"/>
    <w:rsid w:val="009C28C5"/>
    <w:rsid w:val="009C39A6"/>
    <w:rsid w:val="009C3D88"/>
    <w:rsid w:val="009C48F7"/>
    <w:rsid w:val="009C4D59"/>
    <w:rsid w:val="009C59E4"/>
    <w:rsid w:val="009D078C"/>
    <w:rsid w:val="009D2685"/>
    <w:rsid w:val="009D416B"/>
    <w:rsid w:val="009D42D1"/>
    <w:rsid w:val="009E0BC7"/>
    <w:rsid w:val="009E15B6"/>
    <w:rsid w:val="009E24A2"/>
    <w:rsid w:val="009E296E"/>
    <w:rsid w:val="009E2FEE"/>
    <w:rsid w:val="009E6636"/>
    <w:rsid w:val="009E6731"/>
    <w:rsid w:val="009E6DA5"/>
    <w:rsid w:val="009F39E7"/>
    <w:rsid w:val="009F3A56"/>
    <w:rsid w:val="009F404F"/>
    <w:rsid w:val="009F46DF"/>
    <w:rsid w:val="009F579F"/>
    <w:rsid w:val="009F65E2"/>
    <w:rsid w:val="00A008EB"/>
    <w:rsid w:val="00A0456C"/>
    <w:rsid w:val="00A04731"/>
    <w:rsid w:val="00A04F2D"/>
    <w:rsid w:val="00A05438"/>
    <w:rsid w:val="00A0593D"/>
    <w:rsid w:val="00A101CE"/>
    <w:rsid w:val="00A108C7"/>
    <w:rsid w:val="00A10D35"/>
    <w:rsid w:val="00A11AA5"/>
    <w:rsid w:val="00A12900"/>
    <w:rsid w:val="00A12D25"/>
    <w:rsid w:val="00A169A3"/>
    <w:rsid w:val="00A16BB1"/>
    <w:rsid w:val="00A201C7"/>
    <w:rsid w:val="00A20CC8"/>
    <w:rsid w:val="00A20F65"/>
    <w:rsid w:val="00A22337"/>
    <w:rsid w:val="00A23B95"/>
    <w:rsid w:val="00A23C7F"/>
    <w:rsid w:val="00A24BC8"/>
    <w:rsid w:val="00A279C5"/>
    <w:rsid w:val="00A31C55"/>
    <w:rsid w:val="00A32F07"/>
    <w:rsid w:val="00A336AD"/>
    <w:rsid w:val="00A34564"/>
    <w:rsid w:val="00A35980"/>
    <w:rsid w:val="00A36F60"/>
    <w:rsid w:val="00A409E9"/>
    <w:rsid w:val="00A41BFA"/>
    <w:rsid w:val="00A41C93"/>
    <w:rsid w:val="00A41E15"/>
    <w:rsid w:val="00A436C6"/>
    <w:rsid w:val="00A43845"/>
    <w:rsid w:val="00A43D3A"/>
    <w:rsid w:val="00A43EF0"/>
    <w:rsid w:val="00A44225"/>
    <w:rsid w:val="00A4477F"/>
    <w:rsid w:val="00A44D20"/>
    <w:rsid w:val="00A472E7"/>
    <w:rsid w:val="00A47EE1"/>
    <w:rsid w:val="00A52CCD"/>
    <w:rsid w:val="00A53F53"/>
    <w:rsid w:val="00A54E84"/>
    <w:rsid w:val="00A55566"/>
    <w:rsid w:val="00A5629E"/>
    <w:rsid w:val="00A5647F"/>
    <w:rsid w:val="00A5653F"/>
    <w:rsid w:val="00A571CC"/>
    <w:rsid w:val="00A6125F"/>
    <w:rsid w:val="00A63BFC"/>
    <w:rsid w:val="00A63D1C"/>
    <w:rsid w:val="00A64BE9"/>
    <w:rsid w:val="00A64C47"/>
    <w:rsid w:val="00A65FE5"/>
    <w:rsid w:val="00A66306"/>
    <w:rsid w:val="00A66848"/>
    <w:rsid w:val="00A700B2"/>
    <w:rsid w:val="00A7150D"/>
    <w:rsid w:val="00A7207D"/>
    <w:rsid w:val="00A74045"/>
    <w:rsid w:val="00A74507"/>
    <w:rsid w:val="00A75DE5"/>
    <w:rsid w:val="00A75FD4"/>
    <w:rsid w:val="00A764A7"/>
    <w:rsid w:val="00A77D30"/>
    <w:rsid w:val="00A8110A"/>
    <w:rsid w:val="00A8506D"/>
    <w:rsid w:val="00A8513C"/>
    <w:rsid w:val="00A8546F"/>
    <w:rsid w:val="00A8632C"/>
    <w:rsid w:val="00A86959"/>
    <w:rsid w:val="00A86CA2"/>
    <w:rsid w:val="00A876E5"/>
    <w:rsid w:val="00A9176B"/>
    <w:rsid w:val="00A9329B"/>
    <w:rsid w:val="00A93A3E"/>
    <w:rsid w:val="00A947C3"/>
    <w:rsid w:val="00A948DC"/>
    <w:rsid w:val="00A95E32"/>
    <w:rsid w:val="00A96043"/>
    <w:rsid w:val="00A962EF"/>
    <w:rsid w:val="00AA0A15"/>
    <w:rsid w:val="00AA0D72"/>
    <w:rsid w:val="00AA1175"/>
    <w:rsid w:val="00AA18D0"/>
    <w:rsid w:val="00AA33D5"/>
    <w:rsid w:val="00AA36CE"/>
    <w:rsid w:val="00AA66C0"/>
    <w:rsid w:val="00AB06F4"/>
    <w:rsid w:val="00AB0E7B"/>
    <w:rsid w:val="00AB2233"/>
    <w:rsid w:val="00AB33D7"/>
    <w:rsid w:val="00AB34A5"/>
    <w:rsid w:val="00AB3746"/>
    <w:rsid w:val="00AB38FC"/>
    <w:rsid w:val="00AB474D"/>
    <w:rsid w:val="00AB6C7D"/>
    <w:rsid w:val="00AB7807"/>
    <w:rsid w:val="00AC0775"/>
    <w:rsid w:val="00AC225C"/>
    <w:rsid w:val="00AC2358"/>
    <w:rsid w:val="00AC2D69"/>
    <w:rsid w:val="00AC2F36"/>
    <w:rsid w:val="00AC3F10"/>
    <w:rsid w:val="00AC6D26"/>
    <w:rsid w:val="00AC7536"/>
    <w:rsid w:val="00AC7663"/>
    <w:rsid w:val="00AD0BB0"/>
    <w:rsid w:val="00AD21C5"/>
    <w:rsid w:val="00AD3683"/>
    <w:rsid w:val="00AD38C6"/>
    <w:rsid w:val="00AD3BC5"/>
    <w:rsid w:val="00AD5947"/>
    <w:rsid w:val="00AD61D0"/>
    <w:rsid w:val="00AE0A3E"/>
    <w:rsid w:val="00AE20D7"/>
    <w:rsid w:val="00AE2FEB"/>
    <w:rsid w:val="00AE5146"/>
    <w:rsid w:val="00AE6510"/>
    <w:rsid w:val="00AE671D"/>
    <w:rsid w:val="00AF114C"/>
    <w:rsid w:val="00AF26FE"/>
    <w:rsid w:val="00AF2B4F"/>
    <w:rsid w:val="00AF304C"/>
    <w:rsid w:val="00AF44D2"/>
    <w:rsid w:val="00AF5E54"/>
    <w:rsid w:val="00AF6966"/>
    <w:rsid w:val="00AF6C01"/>
    <w:rsid w:val="00AF7F8A"/>
    <w:rsid w:val="00B015D7"/>
    <w:rsid w:val="00B021D3"/>
    <w:rsid w:val="00B024DD"/>
    <w:rsid w:val="00B02B80"/>
    <w:rsid w:val="00B02FE5"/>
    <w:rsid w:val="00B04806"/>
    <w:rsid w:val="00B04D9F"/>
    <w:rsid w:val="00B055DE"/>
    <w:rsid w:val="00B06EFA"/>
    <w:rsid w:val="00B07E42"/>
    <w:rsid w:val="00B13328"/>
    <w:rsid w:val="00B1355F"/>
    <w:rsid w:val="00B14759"/>
    <w:rsid w:val="00B14A85"/>
    <w:rsid w:val="00B14D3F"/>
    <w:rsid w:val="00B153DE"/>
    <w:rsid w:val="00B228CB"/>
    <w:rsid w:val="00B24806"/>
    <w:rsid w:val="00B24CF8"/>
    <w:rsid w:val="00B2672D"/>
    <w:rsid w:val="00B26CDC"/>
    <w:rsid w:val="00B276BF"/>
    <w:rsid w:val="00B27D0D"/>
    <w:rsid w:val="00B31785"/>
    <w:rsid w:val="00B32B30"/>
    <w:rsid w:val="00B34A4E"/>
    <w:rsid w:val="00B351AA"/>
    <w:rsid w:val="00B35E09"/>
    <w:rsid w:val="00B360ED"/>
    <w:rsid w:val="00B36DDE"/>
    <w:rsid w:val="00B37CB7"/>
    <w:rsid w:val="00B406C1"/>
    <w:rsid w:val="00B40E87"/>
    <w:rsid w:val="00B410BA"/>
    <w:rsid w:val="00B41812"/>
    <w:rsid w:val="00B43961"/>
    <w:rsid w:val="00B442DD"/>
    <w:rsid w:val="00B44FB3"/>
    <w:rsid w:val="00B507E2"/>
    <w:rsid w:val="00B50D3A"/>
    <w:rsid w:val="00B518B2"/>
    <w:rsid w:val="00B529AF"/>
    <w:rsid w:val="00B52B07"/>
    <w:rsid w:val="00B53BCA"/>
    <w:rsid w:val="00B542C0"/>
    <w:rsid w:val="00B54589"/>
    <w:rsid w:val="00B553A0"/>
    <w:rsid w:val="00B561B9"/>
    <w:rsid w:val="00B57B40"/>
    <w:rsid w:val="00B61EAE"/>
    <w:rsid w:val="00B62EA9"/>
    <w:rsid w:val="00B63A5B"/>
    <w:rsid w:val="00B65B7B"/>
    <w:rsid w:val="00B67428"/>
    <w:rsid w:val="00B67E22"/>
    <w:rsid w:val="00B71E26"/>
    <w:rsid w:val="00B73D65"/>
    <w:rsid w:val="00B75837"/>
    <w:rsid w:val="00B766F0"/>
    <w:rsid w:val="00B769A7"/>
    <w:rsid w:val="00B7716B"/>
    <w:rsid w:val="00B80111"/>
    <w:rsid w:val="00B80507"/>
    <w:rsid w:val="00B814BF"/>
    <w:rsid w:val="00B8284C"/>
    <w:rsid w:val="00B83794"/>
    <w:rsid w:val="00B84895"/>
    <w:rsid w:val="00B850C8"/>
    <w:rsid w:val="00B85C7C"/>
    <w:rsid w:val="00B86098"/>
    <w:rsid w:val="00B86920"/>
    <w:rsid w:val="00B870F5"/>
    <w:rsid w:val="00B90F34"/>
    <w:rsid w:val="00B92A25"/>
    <w:rsid w:val="00B9351D"/>
    <w:rsid w:val="00B936A9"/>
    <w:rsid w:val="00B97824"/>
    <w:rsid w:val="00BA0744"/>
    <w:rsid w:val="00BA1F94"/>
    <w:rsid w:val="00BA213D"/>
    <w:rsid w:val="00BA2B16"/>
    <w:rsid w:val="00BA2F19"/>
    <w:rsid w:val="00BA3729"/>
    <w:rsid w:val="00BA4F7C"/>
    <w:rsid w:val="00BA62DC"/>
    <w:rsid w:val="00BA6797"/>
    <w:rsid w:val="00BA7260"/>
    <w:rsid w:val="00BA7EDE"/>
    <w:rsid w:val="00BB17E2"/>
    <w:rsid w:val="00BB2C35"/>
    <w:rsid w:val="00BB3995"/>
    <w:rsid w:val="00BB55E6"/>
    <w:rsid w:val="00BB5DEC"/>
    <w:rsid w:val="00BB63C3"/>
    <w:rsid w:val="00BC0062"/>
    <w:rsid w:val="00BC0A56"/>
    <w:rsid w:val="00BC1E9C"/>
    <w:rsid w:val="00BC5335"/>
    <w:rsid w:val="00BC6101"/>
    <w:rsid w:val="00BC637B"/>
    <w:rsid w:val="00BC67D6"/>
    <w:rsid w:val="00BC6F6A"/>
    <w:rsid w:val="00BD021C"/>
    <w:rsid w:val="00BD0B9B"/>
    <w:rsid w:val="00BD1D7C"/>
    <w:rsid w:val="00BD3AD1"/>
    <w:rsid w:val="00BD3EFE"/>
    <w:rsid w:val="00BD409C"/>
    <w:rsid w:val="00BD413B"/>
    <w:rsid w:val="00BD4200"/>
    <w:rsid w:val="00BD4530"/>
    <w:rsid w:val="00BD4CDA"/>
    <w:rsid w:val="00BD5023"/>
    <w:rsid w:val="00BE0139"/>
    <w:rsid w:val="00BE1D58"/>
    <w:rsid w:val="00BE23F8"/>
    <w:rsid w:val="00BE35DA"/>
    <w:rsid w:val="00BE3D1F"/>
    <w:rsid w:val="00BE47A3"/>
    <w:rsid w:val="00BE4DBD"/>
    <w:rsid w:val="00BE512E"/>
    <w:rsid w:val="00BE5890"/>
    <w:rsid w:val="00BE59CE"/>
    <w:rsid w:val="00BF2386"/>
    <w:rsid w:val="00BF48DB"/>
    <w:rsid w:val="00BF57EB"/>
    <w:rsid w:val="00BF6C05"/>
    <w:rsid w:val="00BF6E1A"/>
    <w:rsid w:val="00BF7BD4"/>
    <w:rsid w:val="00C01575"/>
    <w:rsid w:val="00C02C19"/>
    <w:rsid w:val="00C030A8"/>
    <w:rsid w:val="00C03283"/>
    <w:rsid w:val="00C04324"/>
    <w:rsid w:val="00C05FF9"/>
    <w:rsid w:val="00C06FA0"/>
    <w:rsid w:val="00C073D3"/>
    <w:rsid w:val="00C07D67"/>
    <w:rsid w:val="00C104F1"/>
    <w:rsid w:val="00C10F82"/>
    <w:rsid w:val="00C11661"/>
    <w:rsid w:val="00C119CA"/>
    <w:rsid w:val="00C11BD3"/>
    <w:rsid w:val="00C12444"/>
    <w:rsid w:val="00C139E7"/>
    <w:rsid w:val="00C162B1"/>
    <w:rsid w:val="00C16B72"/>
    <w:rsid w:val="00C17D01"/>
    <w:rsid w:val="00C17DBB"/>
    <w:rsid w:val="00C210A7"/>
    <w:rsid w:val="00C22533"/>
    <w:rsid w:val="00C22B2E"/>
    <w:rsid w:val="00C2421B"/>
    <w:rsid w:val="00C256C9"/>
    <w:rsid w:val="00C258B6"/>
    <w:rsid w:val="00C26FE8"/>
    <w:rsid w:val="00C274CE"/>
    <w:rsid w:val="00C27AD8"/>
    <w:rsid w:val="00C27C5F"/>
    <w:rsid w:val="00C27EBF"/>
    <w:rsid w:val="00C30FF8"/>
    <w:rsid w:val="00C3385B"/>
    <w:rsid w:val="00C33DF0"/>
    <w:rsid w:val="00C348F5"/>
    <w:rsid w:val="00C352D3"/>
    <w:rsid w:val="00C36575"/>
    <w:rsid w:val="00C3720F"/>
    <w:rsid w:val="00C41178"/>
    <w:rsid w:val="00C418B3"/>
    <w:rsid w:val="00C42B1E"/>
    <w:rsid w:val="00C42E08"/>
    <w:rsid w:val="00C4445E"/>
    <w:rsid w:val="00C4741E"/>
    <w:rsid w:val="00C52545"/>
    <w:rsid w:val="00C534E1"/>
    <w:rsid w:val="00C544ED"/>
    <w:rsid w:val="00C556DE"/>
    <w:rsid w:val="00C5574E"/>
    <w:rsid w:val="00C559E9"/>
    <w:rsid w:val="00C56D6B"/>
    <w:rsid w:val="00C57069"/>
    <w:rsid w:val="00C573E3"/>
    <w:rsid w:val="00C57984"/>
    <w:rsid w:val="00C57B93"/>
    <w:rsid w:val="00C671B3"/>
    <w:rsid w:val="00C67FB6"/>
    <w:rsid w:val="00C71046"/>
    <w:rsid w:val="00C71C2C"/>
    <w:rsid w:val="00C7288D"/>
    <w:rsid w:val="00C72B57"/>
    <w:rsid w:val="00C72E32"/>
    <w:rsid w:val="00C8174F"/>
    <w:rsid w:val="00C82B82"/>
    <w:rsid w:val="00C83BBC"/>
    <w:rsid w:val="00C86843"/>
    <w:rsid w:val="00C8765C"/>
    <w:rsid w:val="00C926D0"/>
    <w:rsid w:val="00C92B68"/>
    <w:rsid w:val="00C92BBF"/>
    <w:rsid w:val="00C941E3"/>
    <w:rsid w:val="00C94336"/>
    <w:rsid w:val="00C94D2E"/>
    <w:rsid w:val="00C95630"/>
    <w:rsid w:val="00C96067"/>
    <w:rsid w:val="00C977ED"/>
    <w:rsid w:val="00CA1068"/>
    <w:rsid w:val="00CA2035"/>
    <w:rsid w:val="00CA422F"/>
    <w:rsid w:val="00CA52B8"/>
    <w:rsid w:val="00CA57A4"/>
    <w:rsid w:val="00CA5EDD"/>
    <w:rsid w:val="00CA63DE"/>
    <w:rsid w:val="00CA6DC1"/>
    <w:rsid w:val="00CB0219"/>
    <w:rsid w:val="00CB16D8"/>
    <w:rsid w:val="00CB2DD3"/>
    <w:rsid w:val="00CB4A6B"/>
    <w:rsid w:val="00CB4D02"/>
    <w:rsid w:val="00CB5AD5"/>
    <w:rsid w:val="00CB5F69"/>
    <w:rsid w:val="00CB70D5"/>
    <w:rsid w:val="00CB7316"/>
    <w:rsid w:val="00CB735F"/>
    <w:rsid w:val="00CB764C"/>
    <w:rsid w:val="00CB7E43"/>
    <w:rsid w:val="00CC01DA"/>
    <w:rsid w:val="00CC1C17"/>
    <w:rsid w:val="00CC66D8"/>
    <w:rsid w:val="00CC7C24"/>
    <w:rsid w:val="00CC7DE7"/>
    <w:rsid w:val="00CD0E7D"/>
    <w:rsid w:val="00CD327D"/>
    <w:rsid w:val="00CD4396"/>
    <w:rsid w:val="00CD43C1"/>
    <w:rsid w:val="00CD4CAD"/>
    <w:rsid w:val="00CD5B8D"/>
    <w:rsid w:val="00CD745D"/>
    <w:rsid w:val="00CE032E"/>
    <w:rsid w:val="00CE128A"/>
    <w:rsid w:val="00CE1522"/>
    <w:rsid w:val="00CE2936"/>
    <w:rsid w:val="00CE2965"/>
    <w:rsid w:val="00CE29E2"/>
    <w:rsid w:val="00CE3FF1"/>
    <w:rsid w:val="00CE424F"/>
    <w:rsid w:val="00CE7938"/>
    <w:rsid w:val="00CF0165"/>
    <w:rsid w:val="00CF18B7"/>
    <w:rsid w:val="00CF6AF4"/>
    <w:rsid w:val="00CF774F"/>
    <w:rsid w:val="00CF7A15"/>
    <w:rsid w:val="00D0024E"/>
    <w:rsid w:val="00D02485"/>
    <w:rsid w:val="00D031A7"/>
    <w:rsid w:val="00D10A76"/>
    <w:rsid w:val="00D13B1F"/>
    <w:rsid w:val="00D13EF7"/>
    <w:rsid w:val="00D15062"/>
    <w:rsid w:val="00D16678"/>
    <w:rsid w:val="00D20736"/>
    <w:rsid w:val="00D2074D"/>
    <w:rsid w:val="00D2468F"/>
    <w:rsid w:val="00D24BEC"/>
    <w:rsid w:val="00D24D17"/>
    <w:rsid w:val="00D26C28"/>
    <w:rsid w:val="00D26E69"/>
    <w:rsid w:val="00D30112"/>
    <w:rsid w:val="00D311D4"/>
    <w:rsid w:val="00D3170F"/>
    <w:rsid w:val="00D31979"/>
    <w:rsid w:val="00D323BD"/>
    <w:rsid w:val="00D33CA0"/>
    <w:rsid w:val="00D35229"/>
    <w:rsid w:val="00D37954"/>
    <w:rsid w:val="00D37B17"/>
    <w:rsid w:val="00D37CFA"/>
    <w:rsid w:val="00D400A1"/>
    <w:rsid w:val="00D41367"/>
    <w:rsid w:val="00D4154F"/>
    <w:rsid w:val="00D424CE"/>
    <w:rsid w:val="00D42CB7"/>
    <w:rsid w:val="00D43951"/>
    <w:rsid w:val="00D43C4B"/>
    <w:rsid w:val="00D445FF"/>
    <w:rsid w:val="00D4471B"/>
    <w:rsid w:val="00D44B87"/>
    <w:rsid w:val="00D44C6D"/>
    <w:rsid w:val="00D45B00"/>
    <w:rsid w:val="00D460CD"/>
    <w:rsid w:val="00D501F0"/>
    <w:rsid w:val="00D50ACC"/>
    <w:rsid w:val="00D5464B"/>
    <w:rsid w:val="00D61810"/>
    <w:rsid w:val="00D63A4B"/>
    <w:rsid w:val="00D661C7"/>
    <w:rsid w:val="00D66DB9"/>
    <w:rsid w:val="00D67778"/>
    <w:rsid w:val="00D7084D"/>
    <w:rsid w:val="00D7280B"/>
    <w:rsid w:val="00D72A4F"/>
    <w:rsid w:val="00D7372C"/>
    <w:rsid w:val="00D742D0"/>
    <w:rsid w:val="00D76032"/>
    <w:rsid w:val="00D77460"/>
    <w:rsid w:val="00D776A4"/>
    <w:rsid w:val="00D80825"/>
    <w:rsid w:val="00D81669"/>
    <w:rsid w:val="00D8207A"/>
    <w:rsid w:val="00D8246F"/>
    <w:rsid w:val="00D83452"/>
    <w:rsid w:val="00D84231"/>
    <w:rsid w:val="00D85F0B"/>
    <w:rsid w:val="00D87928"/>
    <w:rsid w:val="00D910F9"/>
    <w:rsid w:val="00D91E9C"/>
    <w:rsid w:val="00D92676"/>
    <w:rsid w:val="00D92CDC"/>
    <w:rsid w:val="00D947ED"/>
    <w:rsid w:val="00D952B5"/>
    <w:rsid w:val="00D95CFA"/>
    <w:rsid w:val="00D95F9D"/>
    <w:rsid w:val="00D969D8"/>
    <w:rsid w:val="00DA054D"/>
    <w:rsid w:val="00DA277D"/>
    <w:rsid w:val="00DA292B"/>
    <w:rsid w:val="00DA4996"/>
    <w:rsid w:val="00DA5038"/>
    <w:rsid w:val="00DA5605"/>
    <w:rsid w:val="00DB07B1"/>
    <w:rsid w:val="00DB0816"/>
    <w:rsid w:val="00DB08C6"/>
    <w:rsid w:val="00DB4247"/>
    <w:rsid w:val="00DB45DE"/>
    <w:rsid w:val="00DB4BBE"/>
    <w:rsid w:val="00DB4CF0"/>
    <w:rsid w:val="00DB5D8F"/>
    <w:rsid w:val="00DB6D04"/>
    <w:rsid w:val="00DB7284"/>
    <w:rsid w:val="00DC0574"/>
    <w:rsid w:val="00DC0B4B"/>
    <w:rsid w:val="00DC15F4"/>
    <w:rsid w:val="00DC37E6"/>
    <w:rsid w:val="00DC6053"/>
    <w:rsid w:val="00DC7815"/>
    <w:rsid w:val="00DC7D40"/>
    <w:rsid w:val="00DD1452"/>
    <w:rsid w:val="00DD18DD"/>
    <w:rsid w:val="00DD1E09"/>
    <w:rsid w:val="00DD1F93"/>
    <w:rsid w:val="00DD2169"/>
    <w:rsid w:val="00DD2361"/>
    <w:rsid w:val="00DD2844"/>
    <w:rsid w:val="00DD5B95"/>
    <w:rsid w:val="00DD5BC4"/>
    <w:rsid w:val="00DD650A"/>
    <w:rsid w:val="00DD6883"/>
    <w:rsid w:val="00DD6962"/>
    <w:rsid w:val="00DD6FC6"/>
    <w:rsid w:val="00DD74A3"/>
    <w:rsid w:val="00DD7A99"/>
    <w:rsid w:val="00DE0A57"/>
    <w:rsid w:val="00DE18F7"/>
    <w:rsid w:val="00DE1B0D"/>
    <w:rsid w:val="00DE6321"/>
    <w:rsid w:val="00DE7429"/>
    <w:rsid w:val="00DE7ACD"/>
    <w:rsid w:val="00DE7D44"/>
    <w:rsid w:val="00DF0EAC"/>
    <w:rsid w:val="00DF23FD"/>
    <w:rsid w:val="00DF4969"/>
    <w:rsid w:val="00DF5D2A"/>
    <w:rsid w:val="00DF6219"/>
    <w:rsid w:val="00DF7DFE"/>
    <w:rsid w:val="00E00ED3"/>
    <w:rsid w:val="00E00F71"/>
    <w:rsid w:val="00E010E5"/>
    <w:rsid w:val="00E025CA"/>
    <w:rsid w:val="00E0273D"/>
    <w:rsid w:val="00E02892"/>
    <w:rsid w:val="00E03238"/>
    <w:rsid w:val="00E0402F"/>
    <w:rsid w:val="00E06874"/>
    <w:rsid w:val="00E07203"/>
    <w:rsid w:val="00E073E5"/>
    <w:rsid w:val="00E100CD"/>
    <w:rsid w:val="00E102B2"/>
    <w:rsid w:val="00E14C51"/>
    <w:rsid w:val="00E14E87"/>
    <w:rsid w:val="00E17273"/>
    <w:rsid w:val="00E21110"/>
    <w:rsid w:val="00E21699"/>
    <w:rsid w:val="00E21DD4"/>
    <w:rsid w:val="00E2201B"/>
    <w:rsid w:val="00E2345E"/>
    <w:rsid w:val="00E24086"/>
    <w:rsid w:val="00E24955"/>
    <w:rsid w:val="00E26445"/>
    <w:rsid w:val="00E27B0F"/>
    <w:rsid w:val="00E27E7A"/>
    <w:rsid w:val="00E305DB"/>
    <w:rsid w:val="00E3481A"/>
    <w:rsid w:val="00E371DF"/>
    <w:rsid w:val="00E37BBE"/>
    <w:rsid w:val="00E4028C"/>
    <w:rsid w:val="00E4061E"/>
    <w:rsid w:val="00E40CFE"/>
    <w:rsid w:val="00E41630"/>
    <w:rsid w:val="00E4555C"/>
    <w:rsid w:val="00E456D7"/>
    <w:rsid w:val="00E47996"/>
    <w:rsid w:val="00E513BF"/>
    <w:rsid w:val="00E51BB0"/>
    <w:rsid w:val="00E5387E"/>
    <w:rsid w:val="00E54ACA"/>
    <w:rsid w:val="00E55A5D"/>
    <w:rsid w:val="00E609A1"/>
    <w:rsid w:val="00E60E8F"/>
    <w:rsid w:val="00E61924"/>
    <w:rsid w:val="00E61926"/>
    <w:rsid w:val="00E61D87"/>
    <w:rsid w:val="00E620A2"/>
    <w:rsid w:val="00E63692"/>
    <w:rsid w:val="00E63DBA"/>
    <w:rsid w:val="00E65170"/>
    <w:rsid w:val="00E66657"/>
    <w:rsid w:val="00E668FC"/>
    <w:rsid w:val="00E71774"/>
    <w:rsid w:val="00E727E7"/>
    <w:rsid w:val="00E72ECC"/>
    <w:rsid w:val="00E74D5B"/>
    <w:rsid w:val="00E753BD"/>
    <w:rsid w:val="00E756D7"/>
    <w:rsid w:val="00E779D1"/>
    <w:rsid w:val="00E82E55"/>
    <w:rsid w:val="00E833BB"/>
    <w:rsid w:val="00E8580C"/>
    <w:rsid w:val="00E859F1"/>
    <w:rsid w:val="00E876B2"/>
    <w:rsid w:val="00E900B9"/>
    <w:rsid w:val="00E90A9D"/>
    <w:rsid w:val="00E9150C"/>
    <w:rsid w:val="00E917A0"/>
    <w:rsid w:val="00E93A09"/>
    <w:rsid w:val="00E93AC0"/>
    <w:rsid w:val="00E94497"/>
    <w:rsid w:val="00E944CF"/>
    <w:rsid w:val="00E94FA1"/>
    <w:rsid w:val="00EA2889"/>
    <w:rsid w:val="00EA3985"/>
    <w:rsid w:val="00EA3E64"/>
    <w:rsid w:val="00EA4AC8"/>
    <w:rsid w:val="00EA6131"/>
    <w:rsid w:val="00EA6CE1"/>
    <w:rsid w:val="00EA702E"/>
    <w:rsid w:val="00EA7374"/>
    <w:rsid w:val="00EA7499"/>
    <w:rsid w:val="00EB0054"/>
    <w:rsid w:val="00EB0A63"/>
    <w:rsid w:val="00EB14D3"/>
    <w:rsid w:val="00EB159A"/>
    <w:rsid w:val="00EB47C7"/>
    <w:rsid w:val="00EB50D0"/>
    <w:rsid w:val="00EB5DDC"/>
    <w:rsid w:val="00EC047F"/>
    <w:rsid w:val="00EC09B2"/>
    <w:rsid w:val="00EC09C6"/>
    <w:rsid w:val="00EC3035"/>
    <w:rsid w:val="00EC3795"/>
    <w:rsid w:val="00EC380A"/>
    <w:rsid w:val="00EC4033"/>
    <w:rsid w:val="00EC4A61"/>
    <w:rsid w:val="00EC6519"/>
    <w:rsid w:val="00EC6BE3"/>
    <w:rsid w:val="00EC76EB"/>
    <w:rsid w:val="00ED010A"/>
    <w:rsid w:val="00ED0B05"/>
    <w:rsid w:val="00ED0BF9"/>
    <w:rsid w:val="00ED11E1"/>
    <w:rsid w:val="00ED1747"/>
    <w:rsid w:val="00ED1FA0"/>
    <w:rsid w:val="00ED2518"/>
    <w:rsid w:val="00ED3369"/>
    <w:rsid w:val="00ED351E"/>
    <w:rsid w:val="00ED5558"/>
    <w:rsid w:val="00ED6861"/>
    <w:rsid w:val="00EE023E"/>
    <w:rsid w:val="00EE05E3"/>
    <w:rsid w:val="00EE07E2"/>
    <w:rsid w:val="00EE1765"/>
    <w:rsid w:val="00EE3508"/>
    <w:rsid w:val="00EE3D2A"/>
    <w:rsid w:val="00EE465A"/>
    <w:rsid w:val="00EE5450"/>
    <w:rsid w:val="00EE66C1"/>
    <w:rsid w:val="00EE677F"/>
    <w:rsid w:val="00EF0DFD"/>
    <w:rsid w:val="00EF1621"/>
    <w:rsid w:val="00EF1FA8"/>
    <w:rsid w:val="00EF21DD"/>
    <w:rsid w:val="00EF364B"/>
    <w:rsid w:val="00EF3A97"/>
    <w:rsid w:val="00EF4A52"/>
    <w:rsid w:val="00EF5547"/>
    <w:rsid w:val="00EF5E9A"/>
    <w:rsid w:val="00EF79F6"/>
    <w:rsid w:val="00EF7AC0"/>
    <w:rsid w:val="00F00EBE"/>
    <w:rsid w:val="00F01875"/>
    <w:rsid w:val="00F0266A"/>
    <w:rsid w:val="00F041B7"/>
    <w:rsid w:val="00F04442"/>
    <w:rsid w:val="00F0478F"/>
    <w:rsid w:val="00F051C8"/>
    <w:rsid w:val="00F10608"/>
    <w:rsid w:val="00F10837"/>
    <w:rsid w:val="00F10EB4"/>
    <w:rsid w:val="00F11766"/>
    <w:rsid w:val="00F11ED5"/>
    <w:rsid w:val="00F13E7F"/>
    <w:rsid w:val="00F1582E"/>
    <w:rsid w:val="00F2032F"/>
    <w:rsid w:val="00F208C5"/>
    <w:rsid w:val="00F21A44"/>
    <w:rsid w:val="00F23410"/>
    <w:rsid w:val="00F23715"/>
    <w:rsid w:val="00F2400B"/>
    <w:rsid w:val="00F2458F"/>
    <w:rsid w:val="00F24AEA"/>
    <w:rsid w:val="00F26A37"/>
    <w:rsid w:val="00F27A93"/>
    <w:rsid w:val="00F30696"/>
    <w:rsid w:val="00F31A76"/>
    <w:rsid w:val="00F323F0"/>
    <w:rsid w:val="00F32BDB"/>
    <w:rsid w:val="00F337DB"/>
    <w:rsid w:val="00F33AF4"/>
    <w:rsid w:val="00F33EF8"/>
    <w:rsid w:val="00F342AA"/>
    <w:rsid w:val="00F3441A"/>
    <w:rsid w:val="00F34A09"/>
    <w:rsid w:val="00F35932"/>
    <w:rsid w:val="00F35ECE"/>
    <w:rsid w:val="00F41394"/>
    <w:rsid w:val="00F4176F"/>
    <w:rsid w:val="00F424FE"/>
    <w:rsid w:val="00F43587"/>
    <w:rsid w:val="00F4515E"/>
    <w:rsid w:val="00F45253"/>
    <w:rsid w:val="00F45CD9"/>
    <w:rsid w:val="00F46E10"/>
    <w:rsid w:val="00F473C6"/>
    <w:rsid w:val="00F477DF"/>
    <w:rsid w:val="00F514BF"/>
    <w:rsid w:val="00F5188B"/>
    <w:rsid w:val="00F528A8"/>
    <w:rsid w:val="00F52A14"/>
    <w:rsid w:val="00F53004"/>
    <w:rsid w:val="00F53085"/>
    <w:rsid w:val="00F536FA"/>
    <w:rsid w:val="00F564AF"/>
    <w:rsid w:val="00F56DD6"/>
    <w:rsid w:val="00F60B87"/>
    <w:rsid w:val="00F60EF8"/>
    <w:rsid w:val="00F61A9B"/>
    <w:rsid w:val="00F61E9E"/>
    <w:rsid w:val="00F6243E"/>
    <w:rsid w:val="00F639BC"/>
    <w:rsid w:val="00F63B00"/>
    <w:rsid w:val="00F670A6"/>
    <w:rsid w:val="00F672D3"/>
    <w:rsid w:val="00F700CF"/>
    <w:rsid w:val="00F701F4"/>
    <w:rsid w:val="00F704A2"/>
    <w:rsid w:val="00F716D3"/>
    <w:rsid w:val="00F71BB6"/>
    <w:rsid w:val="00F71C7D"/>
    <w:rsid w:val="00F73D08"/>
    <w:rsid w:val="00F745DB"/>
    <w:rsid w:val="00F74AAC"/>
    <w:rsid w:val="00F7722E"/>
    <w:rsid w:val="00F77E03"/>
    <w:rsid w:val="00F81FB4"/>
    <w:rsid w:val="00F840E5"/>
    <w:rsid w:val="00F84524"/>
    <w:rsid w:val="00F850ED"/>
    <w:rsid w:val="00F85C54"/>
    <w:rsid w:val="00F87AD9"/>
    <w:rsid w:val="00F87EEA"/>
    <w:rsid w:val="00F90FA6"/>
    <w:rsid w:val="00F90FAA"/>
    <w:rsid w:val="00F91C21"/>
    <w:rsid w:val="00F92721"/>
    <w:rsid w:val="00F9499C"/>
    <w:rsid w:val="00F94F32"/>
    <w:rsid w:val="00F950B2"/>
    <w:rsid w:val="00F96EB1"/>
    <w:rsid w:val="00F96FD7"/>
    <w:rsid w:val="00F97705"/>
    <w:rsid w:val="00FA183A"/>
    <w:rsid w:val="00FA2C6B"/>
    <w:rsid w:val="00FA31D8"/>
    <w:rsid w:val="00FA599A"/>
    <w:rsid w:val="00FA5E7B"/>
    <w:rsid w:val="00FA6065"/>
    <w:rsid w:val="00FA72C3"/>
    <w:rsid w:val="00FB0E87"/>
    <w:rsid w:val="00FB2373"/>
    <w:rsid w:val="00FB31FC"/>
    <w:rsid w:val="00FB3B3C"/>
    <w:rsid w:val="00FB4C93"/>
    <w:rsid w:val="00FB52D3"/>
    <w:rsid w:val="00FC0600"/>
    <w:rsid w:val="00FC12E9"/>
    <w:rsid w:val="00FC1F22"/>
    <w:rsid w:val="00FC255B"/>
    <w:rsid w:val="00FC2E84"/>
    <w:rsid w:val="00FC32A8"/>
    <w:rsid w:val="00FC34FB"/>
    <w:rsid w:val="00FC40E5"/>
    <w:rsid w:val="00FC4B8B"/>
    <w:rsid w:val="00FC5B03"/>
    <w:rsid w:val="00FC6795"/>
    <w:rsid w:val="00FC7387"/>
    <w:rsid w:val="00FC7F86"/>
    <w:rsid w:val="00FD07DE"/>
    <w:rsid w:val="00FD0A9B"/>
    <w:rsid w:val="00FD14BC"/>
    <w:rsid w:val="00FD1EDB"/>
    <w:rsid w:val="00FD2269"/>
    <w:rsid w:val="00FD3F64"/>
    <w:rsid w:val="00FD76A7"/>
    <w:rsid w:val="00FE234E"/>
    <w:rsid w:val="00FE2DEB"/>
    <w:rsid w:val="00FE2FCD"/>
    <w:rsid w:val="00FE4956"/>
    <w:rsid w:val="00FE49AA"/>
    <w:rsid w:val="00FE5849"/>
    <w:rsid w:val="00FE6729"/>
    <w:rsid w:val="00FE6ADF"/>
    <w:rsid w:val="00FE7058"/>
    <w:rsid w:val="00FE72DE"/>
    <w:rsid w:val="00FF1951"/>
    <w:rsid w:val="00FF1CC5"/>
    <w:rsid w:val="00FF4A0A"/>
    <w:rsid w:val="00FF4EFB"/>
    <w:rsid w:val="00FF5BC9"/>
  </w:rsids>
  <m:mathPr>
    <m:mathFont m:val="Cambria Math"/>
    <m:brkBin m:val="before"/>
    <m:brkBinSub m:val="--"/>
    <m:smallFrac m:val="0"/>
    <m:dispDef/>
    <m:lMargin m:val="0"/>
    <m:rMargin m:val="0"/>
    <m:defJc m:val="centerGroup"/>
    <m:wrapIndent m:val="1440"/>
    <m:intLim m:val="subSup"/>
    <m:naryLim m:val="undOvr"/>
  </m:mathPr>
  <w:themeFontLang w:val="es-ES" w:eastAsia="es-ES" w:bidi="ar-SA"/>
  <w:clrSchemeMapping w:bg1="light1" w:t1="dark1" w:bg2="light2" w:t2="dark2" w:accent1="accent1" w:accent2="accent2" w:accent3="accent3" w:accent4="accent4" w:accent5="accent5" w:accent6="accent6" w:hyperlink="hyperlink" w:followedHyperlink="followedHyperlink"/>
  <w:shapeDefaults>
    <o:shapedefaults v:ext="edit" spidmax="4305"/>
    <o:shapelayout v:ext="edit">
      <o:idmap v:ext="edit" data="2,3,4"/>
      <o:rules v:ext="edit">
        <o:r id="V:Rule1" type="connector" idref="#Straight Arrow Connector 6"/>
        <o:r id="V:Rule2" type="connector" idref="#Straight Arrow Connector 11"/>
        <o:r id="V:Rule3" type="connector" idref="#Straight Arrow Connector 12"/>
        <o:r id="V:Rule4" type="connector" idref="#Straight Arrow Connector 192"/>
        <o:r id="V:Rule5" type="connector" idref="#Straight Arrow Connector 193"/>
        <o:r id="V:Rule6" type="connector" idref="#Straight Arrow Connector 6"/>
        <o:r id="V:Rule7" type="connector" idref="#Straight Arrow Connector 6"/>
        <o:r id="V:Rule8" type="connector" idref="#Straight Arrow Connector 6"/>
        <o:r id="V:Rule9" type="connector" idref="#Straight Arrow Connector 6"/>
        <o:r id="V:Rule10" type="connector" idref="#Straight Arrow Connector 6"/>
        <o:r id="V:Rule11" type="connector" idref="#Straight Arrow Connector 195"/>
        <o:r id="V:Rule12" type="connector" idref="#Straight Arrow Connector 195"/>
        <o:r id="V:Rule13" type="connector" idref="#Straight Arrow Connector 195"/>
        <o:r id="V:Rule14" type="connector" idref="#Straight Arrow Connector 195"/>
        <o:r id="V:Rule15" type="arc" idref="#_x0000_s3808"/>
        <o:r id="V:Rule16" type="arc" idref="#_x0000_s3813"/>
        <o:r id="V:Rule17" type="arc" idref="#_x0000_s3819"/>
        <o:r id="V:Rule18" type="arc" idref="#_x0000_s3829"/>
        <o:r id="V:Rule19" type="arc" idref="#_x0000_s3841"/>
        <o:r id="V:Rule20" type="arc" idref="#_x0000_s3857"/>
        <o:r id="V:Rule21" type="arc" idref="#_x0000_s3864"/>
        <o:r id="V:Rule22" type="arc" idref="#_x0000_s3870"/>
        <o:r id="V:Rule23" type="connector" idref="#Straight Arrow Connector 5"/>
        <o:r id="V:Rule24" type="connector" idref="#_x0000_s3858"/>
        <o:r id="V:Rule25" type="connector" idref="#Straight Arrow Connector 196"/>
        <o:r id="V:Rule26" type="connector" idref="#_x0000_s3832"/>
        <o:r id="V:Rule27" type="connector" idref="#Straight Arrow Connector 199"/>
        <o:r id="V:Rule28" type="connector" idref="#_x0000_s3807"/>
        <o:r id="V:Rule29" type="connector" idref="#Straight Arrow Connector 53"/>
        <o:r id="V:Rule30" type="connector" idref="#Straight Arrow Connector 200"/>
        <o:r id="V:Rule31" type="connector" idref="#_x0000_s3812"/>
        <o:r id="V:Rule32" type="connector" idref="#Straight Arrow Connector 49"/>
        <o:r id="V:Rule33" type="connector" idref="#Straight Arrow Connector 62"/>
        <o:r id="V:Rule34" type="connector" idref="#_x0000_s3859"/>
        <o:r id="V:Rule35" type="connector" idref="#_x0000_s3834"/>
        <o:r id="V:Rule36" type="connector" idref="#Straight Arrow Connector 50"/>
        <o:r id="V:Rule37" type="connector" idref="#_x0000_s3818"/>
        <o:r id="V:Rule38" type="connector" idref="#Straight Arrow Connector 195"/>
        <o:r id="V:Rule39" type="connector" idref="#_x0000_s3863"/>
        <o:r id="V:Rule40" type="connector" idref="#_x0000_s3871"/>
        <o:r id="V:Rule41" type="connector" idref="#_x0000_s3835"/>
        <o:r id="V:Rule42" type="connector" idref="#_x0000_s3865"/>
        <o:r id="V:Rule43" type="connector" idref="#_x0000_s3811"/>
        <o:r id="V:Rule44" type="connector" idref="#Straight Arrow Connector 193"/>
        <o:r id="V:Rule45" type="connector" idref="#_x0000_s3856"/>
        <o:r id="V:Rule46" type="connector" idref="#_x0000_s3820"/>
        <o:r id="V:Rule47" type="connector" idref="#Straight Arrow Connector 198"/>
        <o:r id="V:Rule48" type="connector" idref="#Straight Arrow Connector 52"/>
        <o:r id="V:Rule49" type="connector" idref="#_x0000_s3814"/>
        <o:r id="V:Rule50" type="connector" idref="#_x0000_s3862"/>
        <o:r id="V:Rule51" type="connector" idref="#_x0000_s3868"/>
        <o:r id="V:Rule52" type="connector" idref="#Straight Arrow Connector 12"/>
        <o:r id="V:Rule53" type="connector" idref="#Straight Arrow Connector 60"/>
        <o:r id="V:Rule54" type="connector" idref="#_x0000_s3869"/>
        <o:r id="V:Rule55" type="connector" idref="#Straight Arrow Connector 7"/>
        <o:r id="V:Rule56" type="connector" idref="#Straight Arrow Connector 9"/>
        <o:r id="V:Rule57" type="connector" idref="#Straight Arrow Connector 59"/>
        <o:r id="V:Rule58" type="connector" idref="#_x0000_s3855"/>
        <o:r id="V:Rule59" type="connector" idref="#Straight Arrow Connector 11"/>
        <o:r id="V:Rule60" type="connector" idref="#_x0000_s3833"/>
        <o:r id="V:Rule61" type="connector" idref="#Straight Arrow Connector 8"/>
        <o:r id="V:Rule62" type="connector" idref="#Straight Arrow Connector 6"/>
        <o:r id="V:Rule63" type="connector" idref="#Straight Arrow Connector 192"/>
        <o:r id="V:Rule64" type="connector" idref="#Straight Arrow Connector 201"/>
        <o:r id="V:Rule65" type="connector" idref="#_x0000_s3817"/>
        <o:r id="V:Rule66" type="connector" idref="#_x0000_s3806"/>
        <o:r id="V:Rule67" type="connector" idref="#Straight Arrow Connector 61"/>
      </o:rules>
    </o:shapelayout>
  </w:shapeDefaults>
  <w:decimalSymbol w:val=","/>
  <w:listSeparator w:val=";"/>
  <w14:docId w14:val="3949BB44"/>
  <w15:chartTrackingRefBased/>
  <w15:docId w15:val="{E23851E8-B5D2-4A11-AC49-7F4F272EDF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imes New Roman" w:hAnsi="Arial" w:cs="Times New Roman"/>
        <w:sz w:val="24"/>
        <w:szCs w:val="24"/>
        <w:lang w:val="es-ES" w:eastAsia="es-ES" w:bidi="ar-SA"/>
      </w:rPr>
    </w:rPrDefault>
    <w:pPrDefault>
      <w:pPr>
        <w:spacing w:after="160" w:line="48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F7620"/>
    <w:pPr>
      <w:jc w:val="both"/>
    </w:pPr>
    <w:rPr>
      <w:lang w:val="es-CR"/>
    </w:rPr>
  </w:style>
  <w:style w:type="paragraph" w:styleId="Heading1">
    <w:name w:val="heading 1"/>
    <w:basedOn w:val="Normal"/>
    <w:next w:val="Normal"/>
    <w:link w:val="Heading1Char"/>
    <w:uiPriority w:val="9"/>
    <w:qFormat/>
    <w:rsid w:val="00BF2386"/>
    <w:pPr>
      <w:keepNext/>
      <w:keepLines/>
      <w:spacing w:before="240" w:line="276" w:lineRule="auto"/>
      <w:jc w:val="center"/>
      <w:outlineLvl w:val="0"/>
    </w:pPr>
    <w:rPr>
      <w:rFonts w:eastAsiaTheme="majorEastAsia" w:cstheme="majorBidi"/>
      <w:szCs w:val="32"/>
    </w:rPr>
  </w:style>
  <w:style w:type="paragraph" w:styleId="Heading2">
    <w:name w:val="heading 2"/>
    <w:basedOn w:val="Normal"/>
    <w:next w:val="Normal"/>
    <w:link w:val="Heading2Char"/>
    <w:uiPriority w:val="9"/>
    <w:unhideWhenUsed/>
    <w:qFormat/>
    <w:rsid w:val="0062331E"/>
    <w:pPr>
      <w:keepNext/>
      <w:keepLines/>
      <w:spacing w:before="40" w:after="0"/>
      <w:outlineLvl w:val="1"/>
    </w:pPr>
    <w:rPr>
      <w:rFonts w:eastAsiaTheme="majorEastAsia" w:cstheme="majorBidi"/>
      <w:szCs w:val="26"/>
    </w:rPr>
  </w:style>
  <w:style w:type="paragraph" w:styleId="Heading3">
    <w:name w:val="heading 3"/>
    <w:basedOn w:val="Normal"/>
    <w:next w:val="Normal"/>
    <w:link w:val="Heading3Char"/>
    <w:uiPriority w:val="9"/>
    <w:unhideWhenUsed/>
    <w:qFormat/>
    <w:rsid w:val="004B49A8"/>
    <w:pPr>
      <w:keepNext/>
      <w:keepLines/>
      <w:spacing w:before="40" w:after="0" w:line="360" w:lineRule="auto"/>
      <w:outlineLvl w:val="2"/>
    </w:pPr>
    <w:rPr>
      <w:rFonts w:eastAsiaTheme="majorEastAsia" w:cstheme="majorBid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F2386"/>
    <w:rPr>
      <w:rFonts w:ascii="Arial" w:eastAsiaTheme="majorEastAsia" w:hAnsi="Arial" w:cstheme="majorBidi"/>
      <w:sz w:val="24"/>
      <w:szCs w:val="32"/>
      <w:lang w:eastAsia="en-US"/>
    </w:rPr>
  </w:style>
  <w:style w:type="character" w:customStyle="1" w:styleId="Heading2Char">
    <w:name w:val="Heading 2 Char"/>
    <w:basedOn w:val="DefaultParagraphFont"/>
    <w:link w:val="Heading2"/>
    <w:uiPriority w:val="9"/>
    <w:rsid w:val="0062331E"/>
    <w:rPr>
      <w:rFonts w:eastAsiaTheme="majorEastAsia" w:cstheme="majorBidi"/>
      <w:szCs w:val="26"/>
    </w:rPr>
  </w:style>
  <w:style w:type="character" w:styleId="CommentReference">
    <w:name w:val="annotation reference"/>
    <w:basedOn w:val="DefaultParagraphFont"/>
    <w:uiPriority w:val="99"/>
    <w:semiHidden/>
    <w:unhideWhenUsed/>
    <w:rsid w:val="000F7620"/>
    <w:rPr>
      <w:sz w:val="16"/>
      <w:szCs w:val="16"/>
    </w:rPr>
  </w:style>
  <w:style w:type="paragraph" w:styleId="CommentText">
    <w:name w:val="annotation text"/>
    <w:basedOn w:val="Normal"/>
    <w:link w:val="CommentTextChar"/>
    <w:uiPriority w:val="99"/>
    <w:unhideWhenUsed/>
    <w:rsid w:val="000F7620"/>
    <w:pPr>
      <w:spacing w:line="240" w:lineRule="auto"/>
    </w:pPr>
    <w:rPr>
      <w:sz w:val="20"/>
      <w:szCs w:val="20"/>
    </w:rPr>
  </w:style>
  <w:style w:type="character" w:customStyle="1" w:styleId="CommentTextChar">
    <w:name w:val="Comment Text Char"/>
    <w:basedOn w:val="DefaultParagraphFont"/>
    <w:link w:val="CommentText"/>
    <w:uiPriority w:val="99"/>
    <w:rsid w:val="000F7620"/>
    <w:rPr>
      <w:rFonts w:ascii="Times New Roman" w:eastAsiaTheme="minorHAnsi" w:cstheme="minorBidi"/>
      <w:sz w:val="20"/>
      <w:szCs w:val="20"/>
      <w:lang w:eastAsia="en-US"/>
    </w:rPr>
  </w:style>
  <w:style w:type="paragraph" w:styleId="BalloonText">
    <w:name w:val="Balloon Text"/>
    <w:basedOn w:val="Normal"/>
    <w:link w:val="BalloonTextChar"/>
    <w:uiPriority w:val="99"/>
    <w:semiHidden/>
    <w:unhideWhenUsed/>
    <w:rsid w:val="000F7620"/>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F7620"/>
    <w:rPr>
      <w:rFonts w:ascii="Segoe UI" w:eastAsiaTheme="minorHAnsi" w:hAnsi="Segoe UI" w:cs="Segoe UI"/>
      <w:sz w:val="18"/>
      <w:szCs w:val="18"/>
      <w:lang w:eastAsia="en-US"/>
    </w:rPr>
  </w:style>
  <w:style w:type="paragraph" w:styleId="ListParagraph">
    <w:name w:val="List Paragraph"/>
    <w:basedOn w:val="Normal"/>
    <w:uiPriority w:val="34"/>
    <w:qFormat/>
    <w:rsid w:val="000F7620"/>
    <w:pPr>
      <w:ind w:left="720"/>
      <w:contextualSpacing/>
    </w:pPr>
  </w:style>
  <w:style w:type="table" w:styleId="TableGrid">
    <w:name w:val="Table Grid"/>
    <w:basedOn w:val="TableNormal"/>
    <w:uiPriority w:val="39"/>
    <w:rsid w:val="000F7620"/>
    <w:pPr>
      <w:spacing w:after="0" w:line="240" w:lineRule="auto"/>
      <w:jc w:val="both"/>
    </w:pPr>
    <w:rPr>
      <w:rFonts w:ascii="Times New Roman" w:eastAsiaTheme="minorHAnsi" w:cstheme="minorBid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36665"/>
    <w:pPr>
      <w:tabs>
        <w:tab w:val="center" w:pos="4252"/>
        <w:tab w:val="right" w:pos="8504"/>
      </w:tabs>
      <w:spacing w:line="240" w:lineRule="auto"/>
    </w:pPr>
  </w:style>
  <w:style w:type="character" w:customStyle="1" w:styleId="HeaderChar">
    <w:name w:val="Header Char"/>
    <w:basedOn w:val="DefaultParagraphFont"/>
    <w:link w:val="Header"/>
    <w:uiPriority w:val="99"/>
    <w:rsid w:val="00436665"/>
    <w:rPr>
      <w:rFonts w:ascii="Times New Roman" w:eastAsiaTheme="minorHAnsi" w:cstheme="minorBidi"/>
      <w:sz w:val="24"/>
      <w:lang w:eastAsia="en-US"/>
    </w:rPr>
  </w:style>
  <w:style w:type="paragraph" w:styleId="Footer">
    <w:name w:val="footer"/>
    <w:basedOn w:val="Normal"/>
    <w:link w:val="FooterChar"/>
    <w:uiPriority w:val="99"/>
    <w:unhideWhenUsed/>
    <w:rsid w:val="00436665"/>
    <w:pPr>
      <w:tabs>
        <w:tab w:val="center" w:pos="4252"/>
        <w:tab w:val="right" w:pos="8504"/>
      </w:tabs>
      <w:spacing w:line="240" w:lineRule="auto"/>
    </w:pPr>
  </w:style>
  <w:style w:type="character" w:customStyle="1" w:styleId="FooterChar">
    <w:name w:val="Footer Char"/>
    <w:basedOn w:val="DefaultParagraphFont"/>
    <w:link w:val="Footer"/>
    <w:uiPriority w:val="99"/>
    <w:rsid w:val="00436665"/>
    <w:rPr>
      <w:rFonts w:ascii="Times New Roman" w:eastAsiaTheme="minorHAnsi" w:cstheme="minorBidi"/>
      <w:sz w:val="24"/>
      <w:lang w:eastAsia="en-US"/>
    </w:rPr>
  </w:style>
  <w:style w:type="paragraph" w:styleId="TOCHeading">
    <w:name w:val="TOC Heading"/>
    <w:basedOn w:val="Heading1"/>
    <w:next w:val="Normal"/>
    <w:uiPriority w:val="39"/>
    <w:unhideWhenUsed/>
    <w:qFormat/>
    <w:rsid w:val="002348BA"/>
    <w:pPr>
      <w:spacing w:line="259" w:lineRule="auto"/>
      <w:jc w:val="left"/>
      <w:outlineLvl w:val="9"/>
    </w:pPr>
    <w:rPr>
      <w:rFonts w:asciiTheme="majorHAnsi" w:hAnsiTheme="majorHAnsi"/>
      <w:color w:val="2F5496" w:themeColor="accent1" w:themeShade="BF"/>
      <w:sz w:val="32"/>
    </w:rPr>
  </w:style>
  <w:style w:type="paragraph" w:styleId="TOC2">
    <w:name w:val="toc 2"/>
    <w:basedOn w:val="Normal"/>
    <w:next w:val="Normal"/>
    <w:autoRedefine/>
    <w:uiPriority w:val="39"/>
    <w:unhideWhenUsed/>
    <w:rsid w:val="00031864"/>
    <w:pPr>
      <w:spacing w:after="100"/>
      <w:ind w:left="240"/>
    </w:pPr>
  </w:style>
  <w:style w:type="character" w:styleId="Hyperlink">
    <w:name w:val="Hyperlink"/>
    <w:basedOn w:val="DefaultParagraphFont"/>
    <w:uiPriority w:val="99"/>
    <w:unhideWhenUsed/>
    <w:rsid w:val="002348BA"/>
    <w:rPr>
      <w:color w:val="0563C1" w:themeColor="hyperlink"/>
      <w:u w:val="single"/>
    </w:rPr>
  </w:style>
  <w:style w:type="paragraph" w:styleId="TOC1">
    <w:name w:val="toc 1"/>
    <w:basedOn w:val="Normal"/>
    <w:next w:val="Normal"/>
    <w:autoRedefine/>
    <w:uiPriority w:val="39"/>
    <w:unhideWhenUsed/>
    <w:rsid w:val="0067744C"/>
    <w:pPr>
      <w:spacing w:after="100"/>
    </w:pPr>
  </w:style>
  <w:style w:type="paragraph" w:styleId="Caption">
    <w:name w:val="caption"/>
    <w:basedOn w:val="Normal"/>
    <w:next w:val="Normal"/>
    <w:uiPriority w:val="35"/>
    <w:unhideWhenUsed/>
    <w:qFormat/>
    <w:rsid w:val="00B276BF"/>
    <w:pPr>
      <w:spacing w:after="200" w:line="240" w:lineRule="auto"/>
      <w:jc w:val="left"/>
    </w:pPr>
    <w:rPr>
      <w:b/>
      <w:iCs/>
      <w:color w:val="000000" w:themeColor="text1"/>
      <w:sz w:val="22"/>
      <w:szCs w:val="18"/>
    </w:rPr>
  </w:style>
  <w:style w:type="paragraph" w:styleId="TableofFigures">
    <w:name w:val="table of figures"/>
    <w:aliases w:val="Tabla de figuras"/>
    <w:basedOn w:val="Normal"/>
    <w:next w:val="Normal"/>
    <w:uiPriority w:val="99"/>
    <w:unhideWhenUsed/>
    <w:rsid w:val="00A8546F"/>
  </w:style>
  <w:style w:type="paragraph" w:styleId="NormalWeb">
    <w:name w:val="Normal (Web)"/>
    <w:basedOn w:val="Normal"/>
    <w:uiPriority w:val="99"/>
    <w:unhideWhenUsed/>
    <w:rsid w:val="00614654"/>
    <w:pPr>
      <w:spacing w:before="100" w:beforeAutospacing="1" w:after="100" w:afterAutospacing="1" w:line="240" w:lineRule="auto"/>
      <w:jc w:val="left"/>
    </w:pPr>
    <w:rPr>
      <w:lang w:val="en-US"/>
    </w:rPr>
  </w:style>
  <w:style w:type="paragraph" w:styleId="Title">
    <w:name w:val="Title"/>
    <w:basedOn w:val="Normal"/>
    <w:next w:val="Normal"/>
    <w:link w:val="TitleChar"/>
    <w:uiPriority w:val="10"/>
    <w:qFormat/>
    <w:rsid w:val="00150CEB"/>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50CEB"/>
    <w:rPr>
      <w:rFonts w:asciiTheme="majorHAnsi" w:eastAsiaTheme="majorEastAsia" w:hAnsiTheme="majorHAnsi" w:cstheme="majorBidi"/>
      <w:spacing w:val="-10"/>
      <w:kern w:val="28"/>
      <w:sz w:val="56"/>
      <w:szCs w:val="56"/>
      <w:lang w:eastAsia="en-US"/>
    </w:rPr>
  </w:style>
  <w:style w:type="character" w:customStyle="1" w:styleId="Heading3Char">
    <w:name w:val="Heading 3 Char"/>
    <w:basedOn w:val="DefaultParagraphFont"/>
    <w:link w:val="Heading3"/>
    <w:uiPriority w:val="9"/>
    <w:rsid w:val="004B49A8"/>
    <w:rPr>
      <w:rFonts w:ascii="Arial" w:eastAsiaTheme="majorEastAsia" w:hAnsi="Arial" w:cstheme="majorBidi"/>
      <w:sz w:val="24"/>
      <w:szCs w:val="24"/>
      <w:lang w:eastAsia="en-US"/>
    </w:rPr>
  </w:style>
  <w:style w:type="paragraph" w:styleId="Subtitle">
    <w:name w:val="Subtitle"/>
    <w:basedOn w:val="Normal"/>
    <w:next w:val="Normal"/>
    <w:link w:val="SubtitleChar"/>
    <w:uiPriority w:val="11"/>
    <w:qFormat/>
    <w:rsid w:val="004A06DC"/>
    <w:pPr>
      <w:numPr>
        <w:ilvl w:val="1"/>
      </w:numPr>
      <w:spacing w:line="360" w:lineRule="auto"/>
    </w:pPr>
    <w:rPr>
      <w:rFonts w:eastAsiaTheme="minorEastAsia"/>
    </w:rPr>
  </w:style>
  <w:style w:type="character" w:customStyle="1" w:styleId="SubtitleChar">
    <w:name w:val="Subtitle Char"/>
    <w:basedOn w:val="DefaultParagraphFont"/>
    <w:link w:val="Subtitle"/>
    <w:uiPriority w:val="11"/>
    <w:rsid w:val="004A06DC"/>
    <w:rPr>
      <w:rFonts w:ascii="Arial" w:eastAsiaTheme="minorEastAsia" w:hAnsi="Arial" w:cstheme="minorBidi"/>
      <w:sz w:val="24"/>
      <w:lang w:eastAsia="en-US"/>
    </w:rPr>
  </w:style>
  <w:style w:type="paragraph" w:styleId="TOC3">
    <w:name w:val="toc 3"/>
    <w:basedOn w:val="Normal"/>
    <w:next w:val="Normal"/>
    <w:autoRedefine/>
    <w:uiPriority w:val="39"/>
    <w:unhideWhenUsed/>
    <w:rsid w:val="00031864"/>
    <w:pPr>
      <w:spacing w:after="100"/>
      <w:ind w:left="480"/>
    </w:pPr>
  </w:style>
  <w:style w:type="paragraph" w:styleId="TOC4">
    <w:name w:val="toc 4"/>
    <w:basedOn w:val="Normal"/>
    <w:next w:val="Normal"/>
    <w:autoRedefine/>
    <w:uiPriority w:val="39"/>
    <w:semiHidden/>
    <w:unhideWhenUsed/>
    <w:rsid w:val="00031864"/>
    <w:pPr>
      <w:spacing w:after="100"/>
      <w:ind w:left="720"/>
    </w:pPr>
  </w:style>
  <w:style w:type="character" w:styleId="PlaceholderText">
    <w:name w:val="Placeholder Text"/>
    <w:basedOn w:val="DefaultParagraphFont"/>
    <w:uiPriority w:val="99"/>
    <w:semiHidden/>
    <w:rsid w:val="000F7773"/>
    <w:rPr>
      <w:color w:val="808080"/>
    </w:rPr>
  </w:style>
  <w:style w:type="character" w:customStyle="1" w:styleId="shorttext">
    <w:name w:val="short_text"/>
    <w:basedOn w:val="DefaultParagraphFont"/>
    <w:rsid w:val="000F7773"/>
  </w:style>
  <w:style w:type="character" w:customStyle="1" w:styleId="c-2">
    <w:name w:val="c-2"/>
    <w:basedOn w:val="DefaultParagraphFont"/>
    <w:rsid w:val="0039162E"/>
  </w:style>
  <w:style w:type="paragraph" w:styleId="CommentSubject">
    <w:name w:val="annotation subject"/>
    <w:basedOn w:val="CommentText"/>
    <w:next w:val="CommentText"/>
    <w:link w:val="CommentSubjectChar"/>
    <w:uiPriority w:val="99"/>
    <w:semiHidden/>
    <w:unhideWhenUsed/>
    <w:rsid w:val="004E5E0B"/>
    <w:rPr>
      <w:b/>
      <w:bCs/>
    </w:rPr>
  </w:style>
  <w:style w:type="character" w:customStyle="1" w:styleId="CommentSubjectChar">
    <w:name w:val="Comment Subject Char"/>
    <w:basedOn w:val="CommentTextChar"/>
    <w:link w:val="CommentSubject"/>
    <w:uiPriority w:val="99"/>
    <w:semiHidden/>
    <w:rsid w:val="004E5E0B"/>
    <w:rPr>
      <w:rFonts w:ascii="Times New Roman" w:eastAsiaTheme="minorHAnsi" w:cstheme="minorBidi"/>
      <w:b/>
      <w:bCs/>
      <w:sz w:val="20"/>
      <w:szCs w:val="20"/>
      <w:lang w:val="es-CR" w:eastAsia="en-US"/>
    </w:rPr>
  </w:style>
  <w:style w:type="character" w:customStyle="1" w:styleId="st">
    <w:name w:val="st"/>
    <w:basedOn w:val="DefaultParagraphFont"/>
    <w:rsid w:val="007D5472"/>
  </w:style>
  <w:style w:type="character" w:styleId="Emphasis">
    <w:name w:val="Emphasis"/>
    <w:basedOn w:val="DefaultParagraphFont"/>
    <w:uiPriority w:val="20"/>
    <w:qFormat/>
    <w:rsid w:val="007D5472"/>
    <w:rPr>
      <w:i/>
      <w:iCs/>
    </w:rPr>
  </w:style>
  <w:style w:type="character" w:customStyle="1" w:styleId="MTEquationSection">
    <w:name w:val="MTEquationSection"/>
    <w:basedOn w:val="DefaultParagraphFont"/>
    <w:rsid w:val="00872E4E"/>
    <w:rPr>
      <w:rFonts w:cs="Arial"/>
      <w:vanish/>
      <w:color w:val="FF0000"/>
      <w:shd w:val="clear" w:color="auto" w:fill="FFFFFF" w:themeFill="background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597461">
      <w:bodyDiv w:val="1"/>
      <w:marLeft w:val="0"/>
      <w:marRight w:val="0"/>
      <w:marTop w:val="0"/>
      <w:marBottom w:val="0"/>
      <w:divBdr>
        <w:top w:val="none" w:sz="0" w:space="0" w:color="auto"/>
        <w:left w:val="none" w:sz="0" w:space="0" w:color="auto"/>
        <w:bottom w:val="none" w:sz="0" w:space="0" w:color="auto"/>
        <w:right w:val="none" w:sz="0" w:space="0" w:color="auto"/>
      </w:divBdr>
    </w:div>
    <w:div w:id="264070744">
      <w:bodyDiv w:val="1"/>
      <w:marLeft w:val="0"/>
      <w:marRight w:val="0"/>
      <w:marTop w:val="0"/>
      <w:marBottom w:val="0"/>
      <w:divBdr>
        <w:top w:val="none" w:sz="0" w:space="0" w:color="auto"/>
        <w:left w:val="none" w:sz="0" w:space="0" w:color="auto"/>
        <w:bottom w:val="none" w:sz="0" w:space="0" w:color="auto"/>
        <w:right w:val="none" w:sz="0" w:space="0" w:color="auto"/>
      </w:divBdr>
    </w:div>
    <w:div w:id="535698457">
      <w:bodyDiv w:val="1"/>
      <w:marLeft w:val="0"/>
      <w:marRight w:val="0"/>
      <w:marTop w:val="0"/>
      <w:marBottom w:val="0"/>
      <w:divBdr>
        <w:top w:val="none" w:sz="0" w:space="0" w:color="auto"/>
        <w:left w:val="none" w:sz="0" w:space="0" w:color="auto"/>
        <w:bottom w:val="none" w:sz="0" w:space="0" w:color="auto"/>
        <w:right w:val="none" w:sz="0" w:space="0" w:color="auto"/>
      </w:divBdr>
    </w:div>
    <w:div w:id="757941995">
      <w:bodyDiv w:val="1"/>
      <w:marLeft w:val="0"/>
      <w:marRight w:val="0"/>
      <w:marTop w:val="0"/>
      <w:marBottom w:val="0"/>
      <w:divBdr>
        <w:top w:val="none" w:sz="0" w:space="0" w:color="auto"/>
        <w:left w:val="none" w:sz="0" w:space="0" w:color="auto"/>
        <w:bottom w:val="none" w:sz="0" w:space="0" w:color="auto"/>
        <w:right w:val="none" w:sz="0" w:space="0" w:color="auto"/>
      </w:divBdr>
    </w:div>
    <w:div w:id="812067963">
      <w:bodyDiv w:val="1"/>
      <w:marLeft w:val="0"/>
      <w:marRight w:val="0"/>
      <w:marTop w:val="0"/>
      <w:marBottom w:val="0"/>
      <w:divBdr>
        <w:top w:val="none" w:sz="0" w:space="0" w:color="auto"/>
        <w:left w:val="none" w:sz="0" w:space="0" w:color="auto"/>
        <w:bottom w:val="none" w:sz="0" w:space="0" w:color="auto"/>
        <w:right w:val="none" w:sz="0" w:space="0" w:color="auto"/>
      </w:divBdr>
    </w:div>
    <w:div w:id="1157307918">
      <w:bodyDiv w:val="1"/>
      <w:marLeft w:val="0"/>
      <w:marRight w:val="0"/>
      <w:marTop w:val="0"/>
      <w:marBottom w:val="0"/>
      <w:divBdr>
        <w:top w:val="none" w:sz="0" w:space="0" w:color="auto"/>
        <w:left w:val="none" w:sz="0" w:space="0" w:color="auto"/>
        <w:bottom w:val="none" w:sz="0" w:space="0" w:color="auto"/>
        <w:right w:val="none" w:sz="0" w:space="0" w:color="auto"/>
      </w:divBdr>
    </w:div>
    <w:div w:id="1276133622">
      <w:bodyDiv w:val="1"/>
      <w:marLeft w:val="0"/>
      <w:marRight w:val="0"/>
      <w:marTop w:val="0"/>
      <w:marBottom w:val="0"/>
      <w:divBdr>
        <w:top w:val="none" w:sz="0" w:space="0" w:color="auto"/>
        <w:left w:val="none" w:sz="0" w:space="0" w:color="auto"/>
        <w:bottom w:val="none" w:sz="0" w:space="0" w:color="auto"/>
        <w:right w:val="none" w:sz="0" w:space="0" w:color="auto"/>
      </w:divBdr>
    </w:div>
    <w:div w:id="1447651175">
      <w:bodyDiv w:val="1"/>
      <w:marLeft w:val="0"/>
      <w:marRight w:val="0"/>
      <w:marTop w:val="0"/>
      <w:marBottom w:val="0"/>
      <w:divBdr>
        <w:top w:val="none" w:sz="0" w:space="0" w:color="auto"/>
        <w:left w:val="none" w:sz="0" w:space="0" w:color="auto"/>
        <w:bottom w:val="none" w:sz="0" w:space="0" w:color="auto"/>
        <w:right w:val="none" w:sz="0" w:space="0" w:color="auto"/>
      </w:divBdr>
    </w:div>
    <w:div w:id="1728911334">
      <w:bodyDiv w:val="1"/>
      <w:marLeft w:val="0"/>
      <w:marRight w:val="0"/>
      <w:marTop w:val="0"/>
      <w:marBottom w:val="0"/>
      <w:divBdr>
        <w:top w:val="none" w:sz="0" w:space="0" w:color="auto"/>
        <w:left w:val="none" w:sz="0" w:space="0" w:color="auto"/>
        <w:bottom w:val="none" w:sz="0" w:space="0" w:color="auto"/>
        <w:right w:val="none" w:sz="0" w:space="0" w:color="auto"/>
      </w:divBdr>
    </w:div>
    <w:div w:id="1844659924">
      <w:bodyDiv w:val="1"/>
      <w:marLeft w:val="0"/>
      <w:marRight w:val="0"/>
      <w:marTop w:val="0"/>
      <w:marBottom w:val="0"/>
      <w:divBdr>
        <w:top w:val="none" w:sz="0" w:space="0" w:color="auto"/>
        <w:left w:val="none" w:sz="0" w:space="0" w:color="auto"/>
        <w:bottom w:val="none" w:sz="0" w:space="0" w:color="auto"/>
        <w:right w:val="none" w:sz="0" w:space="0" w:color="auto"/>
      </w:divBdr>
    </w:div>
    <w:div w:id="19667661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46.bin"/><Relationship Id="rId671" Type="http://schemas.openxmlformats.org/officeDocument/2006/relationships/oleObject" Target="embeddings/oleObject332.bin"/><Relationship Id="rId769" Type="http://schemas.openxmlformats.org/officeDocument/2006/relationships/image" Target="media/image369.wmf"/><Relationship Id="rId976" Type="http://schemas.openxmlformats.org/officeDocument/2006/relationships/oleObject" Target="embeddings/oleObject480.bin"/><Relationship Id="rId21" Type="http://schemas.microsoft.com/office/2007/relationships/diagramDrawing" Target="diagrams/drawing1.xml"/><Relationship Id="rId324" Type="http://schemas.openxmlformats.org/officeDocument/2006/relationships/image" Target="media/image154.wmf"/><Relationship Id="rId531" Type="http://schemas.openxmlformats.org/officeDocument/2006/relationships/image" Target="media/image253.wmf"/><Relationship Id="rId629" Type="http://schemas.openxmlformats.org/officeDocument/2006/relationships/oleObject" Target="embeddings/oleObject311.bin"/><Relationship Id="rId170" Type="http://schemas.openxmlformats.org/officeDocument/2006/relationships/image" Target="media/image85.wmf"/><Relationship Id="rId836" Type="http://schemas.openxmlformats.org/officeDocument/2006/relationships/oleObject" Target="embeddings/oleObject415.bin"/><Relationship Id="rId268" Type="http://schemas.openxmlformats.org/officeDocument/2006/relationships/image" Target="media/image126.wmf"/><Relationship Id="rId475" Type="http://schemas.openxmlformats.org/officeDocument/2006/relationships/image" Target="media/image226.wmf"/><Relationship Id="rId682" Type="http://schemas.openxmlformats.org/officeDocument/2006/relationships/oleObject" Target="embeddings/oleObject338.bin"/><Relationship Id="rId903" Type="http://schemas.openxmlformats.org/officeDocument/2006/relationships/oleObject" Target="embeddings/oleObject449.bin"/><Relationship Id="rId32" Type="http://schemas.openxmlformats.org/officeDocument/2006/relationships/oleObject" Target="embeddings/oleObject5.bin"/><Relationship Id="rId128" Type="http://schemas.openxmlformats.org/officeDocument/2006/relationships/image" Target="media/image60.wmf"/><Relationship Id="rId335" Type="http://schemas.openxmlformats.org/officeDocument/2006/relationships/oleObject" Target="embeddings/oleObject157.bin"/><Relationship Id="rId542" Type="http://schemas.openxmlformats.org/officeDocument/2006/relationships/image" Target="media/image258.wmf"/><Relationship Id="rId987" Type="http://schemas.openxmlformats.org/officeDocument/2006/relationships/image" Target="media/image472.wmf"/><Relationship Id="rId181" Type="http://schemas.openxmlformats.org/officeDocument/2006/relationships/oleObject" Target="embeddings/oleObject75.bin"/><Relationship Id="rId402" Type="http://schemas.openxmlformats.org/officeDocument/2006/relationships/oleObject" Target="embeddings/oleObject193.bin"/><Relationship Id="rId847" Type="http://schemas.openxmlformats.org/officeDocument/2006/relationships/image" Target="media/image408.wmf"/><Relationship Id="rId279" Type="http://schemas.openxmlformats.org/officeDocument/2006/relationships/oleObject" Target="embeddings/oleObject129.bin"/><Relationship Id="rId486" Type="http://schemas.openxmlformats.org/officeDocument/2006/relationships/oleObject" Target="embeddings/oleObject236.bin"/><Relationship Id="rId693" Type="http://schemas.openxmlformats.org/officeDocument/2006/relationships/image" Target="media/image331.wmf"/><Relationship Id="rId707" Type="http://schemas.openxmlformats.org/officeDocument/2006/relationships/image" Target="media/image338.wmf"/><Relationship Id="rId914" Type="http://schemas.openxmlformats.org/officeDocument/2006/relationships/image" Target="media/image441.wmf"/><Relationship Id="rId43" Type="http://schemas.openxmlformats.org/officeDocument/2006/relationships/image" Target="media/image19.wmf"/><Relationship Id="rId139" Type="http://schemas.openxmlformats.org/officeDocument/2006/relationships/oleObject" Target="embeddings/oleObject50.bin"/><Relationship Id="rId346" Type="http://schemas.openxmlformats.org/officeDocument/2006/relationships/oleObject" Target="embeddings/oleObject163.bin"/><Relationship Id="rId553" Type="http://schemas.openxmlformats.org/officeDocument/2006/relationships/oleObject" Target="embeddings/oleObject271.bin"/><Relationship Id="rId760" Type="http://schemas.openxmlformats.org/officeDocument/2006/relationships/oleObject" Target="embeddings/oleObject377.bin"/><Relationship Id="rId998" Type="http://schemas.openxmlformats.org/officeDocument/2006/relationships/theme" Target="theme/theme1.xml"/><Relationship Id="rId192" Type="http://schemas.openxmlformats.org/officeDocument/2006/relationships/image" Target="media/image89.wmf"/><Relationship Id="rId206" Type="http://schemas.openxmlformats.org/officeDocument/2006/relationships/image" Target="media/image96.wmf"/><Relationship Id="rId413" Type="http://schemas.openxmlformats.org/officeDocument/2006/relationships/oleObject" Target="embeddings/oleObject199.bin"/><Relationship Id="rId858" Type="http://schemas.openxmlformats.org/officeDocument/2006/relationships/image" Target="media/image413.wmf"/><Relationship Id="rId497" Type="http://schemas.openxmlformats.org/officeDocument/2006/relationships/image" Target="media/image237.wmf"/><Relationship Id="rId620" Type="http://schemas.openxmlformats.org/officeDocument/2006/relationships/image" Target="media/image295.wmf"/><Relationship Id="rId718" Type="http://schemas.openxmlformats.org/officeDocument/2006/relationships/oleObject" Target="embeddings/oleObject356.bin"/><Relationship Id="rId925" Type="http://schemas.openxmlformats.org/officeDocument/2006/relationships/oleObject" Target="embeddings/oleObject460.bin"/><Relationship Id="rId357" Type="http://schemas.openxmlformats.org/officeDocument/2006/relationships/image" Target="media/image169.wmf"/><Relationship Id="rId54" Type="http://schemas.openxmlformats.org/officeDocument/2006/relationships/image" Target="media/image30.wmf"/><Relationship Id="rId217" Type="http://schemas.openxmlformats.org/officeDocument/2006/relationships/oleObject" Target="embeddings/oleObject97.bin"/><Relationship Id="rId564" Type="http://schemas.openxmlformats.org/officeDocument/2006/relationships/image" Target="media/image269.wmf"/><Relationship Id="rId771" Type="http://schemas.openxmlformats.org/officeDocument/2006/relationships/image" Target="media/image370.wmf"/><Relationship Id="rId869" Type="http://schemas.openxmlformats.org/officeDocument/2006/relationships/oleObject" Target="embeddings/oleObject432.bin"/><Relationship Id="rId424" Type="http://schemas.openxmlformats.org/officeDocument/2006/relationships/image" Target="media/image201.wmf"/><Relationship Id="rId631" Type="http://schemas.openxmlformats.org/officeDocument/2006/relationships/oleObject" Target="embeddings/oleObject312.bin"/><Relationship Id="rId729" Type="http://schemas.openxmlformats.org/officeDocument/2006/relationships/image" Target="media/image349.wmf"/><Relationship Id="rId270" Type="http://schemas.openxmlformats.org/officeDocument/2006/relationships/image" Target="media/image127.wmf"/><Relationship Id="rId936" Type="http://schemas.openxmlformats.org/officeDocument/2006/relationships/image" Target="media/image452.wmf"/><Relationship Id="rId65" Type="http://schemas.openxmlformats.org/officeDocument/2006/relationships/oleObject" Target="embeddings/oleObject10.bin"/><Relationship Id="rId130" Type="http://schemas.openxmlformats.org/officeDocument/2006/relationships/image" Target="media/image62.wmf"/><Relationship Id="rId368" Type="http://schemas.openxmlformats.org/officeDocument/2006/relationships/image" Target="media/image174.wmf"/><Relationship Id="rId575" Type="http://schemas.openxmlformats.org/officeDocument/2006/relationships/oleObject" Target="embeddings/oleObject282.bin"/><Relationship Id="rId782" Type="http://schemas.openxmlformats.org/officeDocument/2006/relationships/oleObject" Target="embeddings/oleObject388.bin"/><Relationship Id="rId228" Type="http://schemas.openxmlformats.org/officeDocument/2006/relationships/oleObject" Target="embeddings/oleObject103.bin"/><Relationship Id="rId435" Type="http://schemas.openxmlformats.org/officeDocument/2006/relationships/image" Target="media/image206.wmf"/><Relationship Id="rId642" Type="http://schemas.openxmlformats.org/officeDocument/2006/relationships/image" Target="media/image306.wmf"/><Relationship Id="rId281" Type="http://schemas.openxmlformats.org/officeDocument/2006/relationships/oleObject" Target="embeddings/oleObject130.bin"/><Relationship Id="rId502" Type="http://schemas.openxmlformats.org/officeDocument/2006/relationships/oleObject" Target="embeddings/oleObject244.bin"/><Relationship Id="rId947" Type="http://schemas.openxmlformats.org/officeDocument/2006/relationships/oleObject" Target="embeddings/oleObject471.bin"/><Relationship Id="rId76" Type="http://schemas.openxmlformats.org/officeDocument/2006/relationships/oleObject" Target="embeddings/oleObject21.bin"/><Relationship Id="rId141" Type="http://schemas.openxmlformats.org/officeDocument/2006/relationships/oleObject" Target="embeddings/oleObject52.bin"/><Relationship Id="rId379" Type="http://schemas.openxmlformats.org/officeDocument/2006/relationships/image" Target="media/image179.wmf"/><Relationship Id="rId586" Type="http://schemas.openxmlformats.org/officeDocument/2006/relationships/oleObject" Target="embeddings/oleObject288.bin"/><Relationship Id="rId793" Type="http://schemas.openxmlformats.org/officeDocument/2006/relationships/image" Target="media/image381.wmf"/><Relationship Id="rId807" Type="http://schemas.openxmlformats.org/officeDocument/2006/relationships/image" Target="media/image388.wmf"/><Relationship Id="rId7" Type="http://schemas.openxmlformats.org/officeDocument/2006/relationships/endnotes" Target="endnotes.xml"/><Relationship Id="rId239" Type="http://schemas.openxmlformats.org/officeDocument/2006/relationships/image" Target="media/image112.wmf"/><Relationship Id="rId446" Type="http://schemas.openxmlformats.org/officeDocument/2006/relationships/oleObject" Target="embeddings/oleObject216.bin"/><Relationship Id="rId653" Type="http://schemas.openxmlformats.org/officeDocument/2006/relationships/oleObject" Target="embeddings/oleObject323.bin"/><Relationship Id="rId292" Type="http://schemas.openxmlformats.org/officeDocument/2006/relationships/image" Target="media/image138.wmf"/><Relationship Id="rId306" Type="http://schemas.openxmlformats.org/officeDocument/2006/relationships/image" Target="media/image145.wmf"/><Relationship Id="rId860" Type="http://schemas.openxmlformats.org/officeDocument/2006/relationships/image" Target="media/image414.wmf"/><Relationship Id="rId958" Type="http://schemas.microsoft.com/office/2014/relationships/chartEx" Target="charts/chartEx1.xml"/><Relationship Id="rId87" Type="http://schemas.openxmlformats.org/officeDocument/2006/relationships/image" Target="media/image37.wmf"/><Relationship Id="rId513" Type="http://schemas.openxmlformats.org/officeDocument/2006/relationships/oleObject" Target="embeddings/oleObject250.bin"/><Relationship Id="rId597" Type="http://schemas.openxmlformats.org/officeDocument/2006/relationships/image" Target="media/image284.wmf"/><Relationship Id="rId720" Type="http://schemas.openxmlformats.org/officeDocument/2006/relationships/oleObject" Target="embeddings/oleObject357.bin"/><Relationship Id="rId818" Type="http://schemas.openxmlformats.org/officeDocument/2006/relationships/oleObject" Target="embeddings/oleObject406.bin"/><Relationship Id="rId152" Type="http://schemas.openxmlformats.org/officeDocument/2006/relationships/oleObject" Target="embeddings/oleObject63.bin"/><Relationship Id="rId457" Type="http://schemas.openxmlformats.org/officeDocument/2006/relationships/image" Target="media/image217.wmf"/><Relationship Id="rId664" Type="http://schemas.openxmlformats.org/officeDocument/2006/relationships/image" Target="media/image317.wmf"/><Relationship Id="rId871" Type="http://schemas.openxmlformats.org/officeDocument/2006/relationships/oleObject" Target="embeddings/oleObject433.bin"/><Relationship Id="rId969" Type="http://schemas.openxmlformats.org/officeDocument/2006/relationships/image" Target="media/image463.wmf"/><Relationship Id="rId14" Type="http://schemas.openxmlformats.org/officeDocument/2006/relationships/footer" Target="footer5.xml"/><Relationship Id="rId317" Type="http://schemas.openxmlformats.org/officeDocument/2006/relationships/oleObject" Target="embeddings/oleObject148.bin"/><Relationship Id="rId524" Type="http://schemas.openxmlformats.org/officeDocument/2006/relationships/image" Target="media/image250.wmf"/><Relationship Id="rId731" Type="http://schemas.openxmlformats.org/officeDocument/2006/relationships/image" Target="media/image350.wmf"/><Relationship Id="rId98" Type="http://schemas.openxmlformats.org/officeDocument/2006/relationships/image" Target="media/image46.wmf"/><Relationship Id="rId163" Type="http://schemas.openxmlformats.org/officeDocument/2006/relationships/image" Target="media/image78.wmf"/><Relationship Id="rId370" Type="http://schemas.openxmlformats.org/officeDocument/2006/relationships/oleObject" Target="embeddings/oleObject177.bin"/><Relationship Id="rId829" Type="http://schemas.openxmlformats.org/officeDocument/2006/relationships/image" Target="media/image399.wmf"/><Relationship Id="rId230" Type="http://schemas.openxmlformats.org/officeDocument/2006/relationships/oleObject" Target="embeddings/oleObject104.bin"/><Relationship Id="rId468" Type="http://schemas.openxmlformats.org/officeDocument/2006/relationships/oleObject" Target="embeddings/oleObject227.bin"/><Relationship Id="rId675" Type="http://schemas.openxmlformats.org/officeDocument/2006/relationships/image" Target="media/image322.wmf"/><Relationship Id="rId882" Type="http://schemas.openxmlformats.org/officeDocument/2006/relationships/image" Target="media/image425.wmf"/><Relationship Id="rId25" Type="http://schemas.openxmlformats.org/officeDocument/2006/relationships/image" Target="media/image5.wmf"/><Relationship Id="rId328" Type="http://schemas.openxmlformats.org/officeDocument/2006/relationships/image" Target="media/image156.wmf"/><Relationship Id="rId535" Type="http://schemas.openxmlformats.org/officeDocument/2006/relationships/image" Target="media/image255.wmf"/><Relationship Id="rId742" Type="http://schemas.openxmlformats.org/officeDocument/2006/relationships/oleObject" Target="embeddings/oleObject368.bin"/><Relationship Id="rId174" Type="http://schemas.openxmlformats.org/officeDocument/2006/relationships/oleObject" Target="embeddings/oleObject68.bin"/><Relationship Id="rId381" Type="http://schemas.openxmlformats.org/officeDocument/2006/relationships/image" Target="media/image180.wmf"/><Relationship Id="rId602" Type="http://schemas.openxmlformats.org/officeDocument/2006/relationships/oleObject" Target="embeddings/oleObject297.bin"/><Relationship Id="rId241" Type="http://schemas.openxmlformats.org/officeDocument/2006/relationships/oleObject" Target="embeddings/oleObject110.bin"/><Relationship Id="rId479" Type="http://schemas.openxmlformats.org/officeDocument/2006/relationships/image" Target="media/image228.wmf"/><Relationship Id="rId686" Type="http://schemas.openxmlformats.org/officeDocument/2006/relationships/oleObject" Target="embeddings/oleObject340.bin"/><Relationship Id="rId893" Type="http://schemas.openxmlformats.org/officeDocument/2006/relationships/oleObject" Target="embeddings/oleObject444.bin"/><Relationship Id="rId907" Type="http://schemas.openxmlformats.org/officeDocument/2006/relationships/oleObject" Target="embeddings/oleObject451.bin"/><Relationship Id="rId36" Type="http://schemas.openxmlformats.org/officeDocument/2006/relationships/image" Target="media/image12.wmf"/><Relationship Id="rId339" Type="http://schemas.openxmlformats.org/officeDocument/2006/relationships/oleObject" Target="embeddings/oleObject159.bin"/><Relationship Id="rId546" Type="http://schemas.openxmlformats.org/officeDocument/2006/relationships/image" Target="media/image260.wmf"/><Relationship Id="rId753" Type="http://schemas.openxmlformats.org/officeDocument/2006/relationships/image" Target="media/image361.wmf"/><Relationship Id="rId101" Type="http://schemas.openxmlformats.org/officeDocument/2006/relationships/image" Target="media/image49.wmf"/><Relationship Id="rId185" Type="http://schemas.openxmlformats.org/officeDocument/2006/relationships/oleObject" Target="embeddings/oleObject79.bin"/><Relationship Id="rId406" Type="http://schemas.openxmlformats.org/officeDocument/2006/relationships/oleObject" Target="embeddings/oleObject195.bin"/><Relationship Id="rId960" Type="http://schemas.microsoft.com/office/2014/relationships/chartEx" Target="charts/chartEx2.xml"/><Relationship Id="rId392" Type="http://schemas.openxmlformats.org/officeDocument/2006/relationships/oleObject" Target="embeddings/oleObject188.bin"/><Relationship Id="rId613" Type="http://schemas.openxmlformats.org/officeDocument/2006/relationships/oleObject" Target="embeddings/oleObject303.bin"/><Relationship Id="rId697" Type="http://schemas.openxmlformats.org/officeDocument/2006/relationships/image" Target="media/image333.wmf"/><Relationship Id="rId820" Type="http://schemas.openxmlformats.org/officeDocument/2006/relationships/oleObject" Target="embeddings/oleObject407.bin"/><Relationship Id="rId918" Type="http://schemas.openxmlformats.org/officeDocument/2006/relationships/image" Target="media/image443.wmf"/><Relationship Id="rId252" Type="http://schemas.openxmlformats.org/officeDocument/2006/relationships/image" Target="media/image118.wmf"/><Relationship Id="rId47" Type="http://schemas.openxmlformats.org/officeDocument/2006/relationships/image" Target="media/image23.wmf"/><Relationship Id="rId112" Type="http://schemas.openxmlformats.org/officeDocument/2006/relationships/oleObject" Target="embeddings/oleObject41.bin"/><Relationship Id="rId557" Type="http://schemas.openxmlformats.org/officeDocument/2006/relationships/oleObject" Target="embeddings/oleObject273.bin"/><Relationship Id="rId764" Type="http://schemas.openxmlformats.org/officeDocument/2006/relationships/oleObject" Target="embeddings/oleObject379.bin"/><Relationship Id="rId971" Type="http://schemas.openxmlformats.org/officeDocument/2006/relationships/image" Target="media/image464.wmf"/><Relationship Id="rId196" Type="http://schemas.openxmlformats.org/officeDocument/2006/relationships/image" Target="media/image91.wmf"/><Relationship Id="rId417" Type="http://schemas.openxmlformats.org/officeDocument/2006/relationships/oleObject" Target="embeddings/oleObject201.bin"/><Relationship Id="rId624" Type="http://schemas.openxmlformats.org/officeDocument/2006/relationships/image" Target="media/image297.wmf"/><Relationship Id="rId831" Type="http://schemas.openxmlformats.org/officeDocument/2006/relationships/image" Target="media/image400.wmf"/><Relationship Id="rId263" Type="http://schemas.openxmlformats.org/officeDocument/2006/relationships/oleObject" Target="embeddings/oleObject121.bin"/><Relationship Id="rId470" Type="http://schemas.openxmlformats.org/officeDocument/2006/relationships/oleObject" Target="embeddings/oleObject228.bin"/><Relationship Id="rId929" Type="http://schemas.openxmlformats.org/officeDocument/2006/relationships/oleObject" Target="embeddings/oleObject462.bin"/><Relationship Id="rId58" Type="http://schemas.openxmlformats.org/officeDocument/2006/relationships/image" Target="media/image34.wmf"/><Relationship Id="rId123" Type="http://schemas.openxmlformats.org/officeDocument/2006/relationships/image" Target="media/image55.wmf"/><Relationship Id="rId330" Type="http://schemas.openxmlformats.org/officeDocument/2006/relationships/image" Target="media/image157.wmf"/><Relationship Id="rId568" Type="http://schemas.openxmlformats.org/officeDocument/2006/relationships/image" Target="media/image271.wmf"/><Relationship Id="rId775" Type="http://schemas.openxmlformats.org/officeDocument/2006/relationships/image" Target="media/image372.wmf"/><Relationship Id="rId982" Type="http://schemas.openxmlformats.org/officeDocument/2006/relationships/oleObject" Target="embeddings/oleObject483.bin"/><Relationship Id="rId428" Type="http://schemas.openxmlformats.org/officeDocument/2006/relationships/image" Target="media/image203.wmf"/><Relationship Id="rId635" Type="http://schemas.openxmlformats.org/officeDocument/2006/relationships/oleObject" Target="embeddings/oleObject314.bin"/><Relationship Id="rId842" Type="http://schemas.openxmlformats.org/officeDocument/2006/relationships/oleObject" Target="embeddings/oleObject418.bin"/><Relationship Id="rId274" Type="http://schemas.openxmlformats.org/officeDocument/2006/relationships/image" Target="media/image129.wmf"/><Relationship Id="rId481" Type="http://schemas.openxmlformats.org/officeDocument/2006/relationships/image" Target="media/image229.wmf"/><Relationship Id="rId702" Type="http://schemas.openxmlformats.org/officeDocument/2006/relationships/oleObject" Target="embeddings/oleObject348.bin"/><Relationship Id="rId27" Type="http://schemas.openxmlformats.org/officeDocument/2006/relationships/image" Target="media/image6.wmf"/><Relationship Id="rId69" Type="http://schemas.openxmlformats.org/officeDocument/2006/relationships/oleObject" Target="embeddings/oleObject14.bin"/><Relationship Id="rId134" Type="http://schemas.openxmlformats.org/officeDocument/2006/relationships/image" Target="media/image66.wmf"/><Relationship Id="rId537" Type="http://schemas.openxmlformats.org/officeDocument/2006/relationships/image" Target="media/image256.wmf"/><Relationship Id="rId579" Type="http://schemas.openxmlformats.org/officeDocument/2006/relationships/oleObject" Target="embeddings/oleObject284.bin"/><Relationship Id="rId744" Type="http://schemas.openxmlformats.org/officeDocument/2006/relationships/oleObject" Target="embeddings/oleObject369.bin"/><Relationship Id="rId786" Type="http://schemas.openxmlformats.org/officeDocument/2006/relationships/oleObject" Target="embeddings/oleObject390.bin"/><Relationship Id="rId951" Type="http://schemas.openxmlformats.org/officeDocument/2006/relationships/oleObject" Target="embeddings/oleObject473.bin"/><Relationship Id="rId993" Type="http://schemas.openxmlformats.org/officeDocument/2006/relationships/image" Target="media/image475.wmf"/><Relationship Id="rId80" Type="http://schemas.openxmlformats.org/officeDocument/2006/relationships/oleObject" Target="embeddings/oleObject25.bin"/><Relationship Id="rId176" Type="http://schemas.openxmlformats.org/officeDocument/2006/relationships/oleObject" Target="embeddings/oleObject70.bin"/><Relationship Id="rId341" Type="http://schemas.openxmlformats.org/officeDocument/2006/relationships/oleObject" Target="embeddings/oleObject160.bin"/><Relationship Id="rId383" Type="http://schemas.openxmlformats.org/officeDocument/2006/relationships/image" Target="media/image181.wmf"/><Relationship Id="rId439" Type="http://schemas.openxmlformats.org/officeDocument/2006/relationships/image" Target="media/image208.wmf"/><Relationship Id="rId590" Type="http://schemas.openxmlformats.org/officeDocument/2006/relationships/image" Target="media/image281.wmf"/><Relationship Id="rId604" Type="http://schemas.openxmlformats.org/officeDocument/2006/relationships/image" Target="media/image287.wmf"/><Relationship Id="rId646" Type="http://schemas.openxmlformats.org/officeDocument/2006/relationships/image" Target="media/image308.wmf"/><Relationship Id="rId811" Type="http://schemas.openxmlformats.org/officeDocument/2006/relationships/image" Target="media/image390.wmf"/><Relationship Id="rId201" Type="http://schemas.openxmlformats.org/officeDocument/2006/relationships/oleObject" Target="embeddings/oleObject89.bin"/><Relationship Id="rId243" Type="http://schemas.openxmlformats.org/officeDocument/2006/relationships/oleObject" Target="embeddings/oleObject111.bin"/><Relationship Id="rId285" Type="http://schemas.openxmlformats.org/officeDocument/2006/relationships/oleObject" Target="embeddings/oleObject132.bin"/><Relationship Id="rId450" Type="http://schemas.openxmlformats.org/officeDocument/2006/relationships/oleObject" Target="embeddings/oleObject218.bin"/><Relationship Id="rId506" Type="http://schemas.openxmlformats.org/officeDocument/2006/relationships/oleObject" Target="embeddings/oleObject246.bin"/><Relationship Id="rId688" Type="http://schemas.openxmlformats.org/officeDocument/2006/relationships/oleObject" Target="embeddings/oleObject341.bin"/><Relationship Id="rId853" Type="http://schemas.openxmlformats.org/officeDocument/2006/relationships/image" Target="media/image411.wmf"/><Relationship Id="rId895" Type="http://schemas.openxmlformats.org/officeDocument/2006/relationships/oleObject" Target="embeddings/oleObject445.bin"/><Relationship Id="rId909" Type="http://schemas.openxmlformats.org/officeDocument/2006/relationships/oleObject" Target="embeddings/oleObject452.bin"/><Relationship Id="rId38" Type="http://schemas.openxmlformats.org/officeDocument/2006/relationships/image" Target="media/image14.wmf"/><Relationship Id="rId103" Type="http://schemas.openxmlformats.org/officeDocument/2006/relationships/image" Target="media/image51.wmf"/><Relationship Id="rId310" Type="http://schemas.openxmlformats.org/officeDocument/2006/relationships/image" Target="media/image147.wmf"/><Relationship Id="rId492" Type="http://schemas.openxmlformats.org/officeDocument/2006/relationships/oleObject" Target="embeddings/oleObject239.bin"/><Relationship Id="rId548" Type="http://schemas.openxmlformats.org/officeDocument/2006/relationships/image" Target="media/image261.wmf"/><Relationship Id="rId713" Type="http://schemas.openxmlformats.org/officeDocument/2006/relationships/image" Target="media/image341.wmf"/><Relationship Id="rId755" Type="http://schemas.openxmlformats.org/officeDocument/2006/relationships/image" Target="media/image362.wmf"/><Relationship Id="rId797" Type="http://schemas.openxmlformats.org/officeDocument/2006/relationships/image" Target="media/image383.wmf"/><Relationship Id="rId920" Type="http://schemas.openxmlformats.org/officeDocument/2006/relationships/image" Target="media/image444.wmf"/><Relationship Id="rId962" Type="http://schemas.openxmlformats.org/officeDocument/2006/relationships/chart" Target="charts/chart5.xml"/><Relationship Id="rId91" Type="http://schemas.openxmlformats.org/officeDocument/2006/relationships/image" Target="media/image39.wmf"/><Relationship Id="rId145" Type="http://schemas.openxmlformats.org/officeDocument/2006/relationships/oleObject" Target="embeddings/oleObject56.bin"/><Relationship Id="rId187" Type="http://schemas.openxmlformats.org/officeDocument/2006/relationships/oleObject" Target="embeddings/oleObject81.bin"/><Relationship Id="rId352" Type="http://schemas.openxmlformats.org/officeDocument/2006/relationships/image" Target="media/image167.wmf"/><Relationship Id="rId394" Type="http://schemas.openxmlformats.org/officeDocument/2006/relationships/oleObject" Target="embeddings/oleObject189.bin"/><Relationship Id="rId408" Type="http://schemas.openxmlformats.org/officeDocument/2006/relationships/oleObject" Target="embeddings/oleObject196.bin"/><Relationship Id="rId615" Type="http://schemas.openxmlformats.org/officeDocument/2006/relationships/oleObject" Target="embeddings/oleObject304.bin"/><Relationship Id="rId822" Type="http://schemas.openxmlformats.org/officeDocument/2006/relationships/oleObject" Target="embeddings/oleObject408.bin"/><Relationship Id="rId212" Type="http://schemas.openxmlformats.org/officeDocument/2006/relationships/image" Target="media/image99.wmf"/><Relationship Id="rId254" Type="http://schemas.openxmlformats.org/officeDocument/2006/relationships/image" Target="media/image119.wmf"/><Relationship Id="rId657" Type="http://schemas.openxmlformats.org/officeDocument/2006/relationships/oleObject" Target="embeddings/oleObject325.bin"/><Relationship Id="rId699" Type="http://schemas.openxmlformats.org/officeDocument/2006/relationships/image" Target="media/image334.wmf"/><Relationship Id="rId864" Type="http://schemas.openxmlformats.org/officeDocument/2006/relationships/image" Target="media/image416.wmf"/><Relationship Id="rId49" Type="http://schemas.openxmlformats.org/officeDocument/2006/relationships/image" Target="media/image25.wmf"/><Relationship Id="rId114" Type="http://schemas.openxmlformats.org/officeDocument/2006/relationships/oleObject" Target="embeddings/oleObject43.bin"/><Relationship Id="rId296" Type="http://schemas.openxmlformats.org/officeDocument/2006/relationships/image" Target="media/image140.wmf"/><Relationship Id="rId461" Type="http://schemas.openxmlformats.org/officeDocument/2006/relationships/image" Target="media/image219.wmf"/><Relationship Id="rId517" Type="http://schemas.openxmlformats.org/officeDocument/2006/relationships/oleObject" Target="embeddings/oleObject252.bin"/><Relationship Id="rId559" Type="http://schemas.openxmlformats.org/officeDocument/2006/relationships/oleObject" Target="embeddings/oleObject274.bin"/><Relationship Id="rId724" Type="http://schemas.openxmlformats.org/officeDocument/2006/relationships/oleObject" Target="embeddings/oleObject359.bin"/><Relationship Id="rId766" Type="http://schemas.openxmlformats.org/officeDocument/2006/relationships/oleObject" Target="embeddings/oleObject380.bin"/><Relationship Id="rId931" Type="http://schemas.openxmlformats.org/officeDocument/2006/relationships/oleObject" Target="embeddings/oleObject463.bin"/><Relationship Id="rId60" Type="http://schemas.openxmlformats.org/officeDocument/2006/relationships/image" Target="media/image36.wmf"/><Relationship Id="rId156" Type="http://schemas.openxmlformats.org/officeDocument/2006/relationships/image" Target="media/image71.wmf"/><Relationship Id="rId198" Type="http://schemas.openxmlformats.org/officeDocument/2006/relationships/image" Target="media/image92.wmf"/><Relationship Id="rId321" Type="http://schemas.openxmlformats.org/officeDocument/2006/relationships/oleObject" Target="embeddings/oleObject150.bin"/><Relationship Id="rId363" Type="http://schemas.openxmlformats.org/officeDocument/2006/relationships/oleObject" Target="embeddings/oleObject173.bin"/><Relationship Id="rId419" Type="http://schemas.openxmlformats.org/officeDocument/2006/relationships/oleObject" Target="embeddings/oleObject202.bin"/><Relationship Id="rId570" Type="http://schemas.openxmlformats.org/officeDocument/2006/relationships/image" Target="media/image272.wmf"/><Relationship Id="rId626" Type="http://schemas.openxmlformats.org/officeDocument/2006/relationships/image" Target="media/image298.wmf"/><Relationship Id="rId973" Type="http://schemas.openxmlformats.org/officeDocument/2006/relationships/image" Target="media/image465.wmf"/><Relationship Id="rId223" Type="http://schemas.openxmlformats.org/officeDocument/2006/relationships/oleObject" Target="embeddings/oleObject100.bin"/><Relationship Id="rId430" Type="http://schemas.openxmlformats.org/officeDocument/2006/relationships/image" Target="media/image204.wmf"/><Relationship Id="rId668" Type="http://schemas.openxmlformats.org/officeDocument/2006/relationships/image" Target="media/image319.wmf"/><Relationship Id="rId833" Type="http://schemas.openxmlformats.org/officeDocument/2006/relationships/image" Target="media/image401.wmf"/><Relationship Id="rId875" Type="http://schemas.openxmlformats.org/officeDocument/2006/relationships/oleObject" Target="embeddings/oleObject435.bin"/><Relationship Id="rId18" Type="http://schemas.openxmlformats.org/officeDocument/2006/relationships/diagramLayout" Target="diagrams/layout1.xml"/><Relationship Id="rId265" Type="http://schemas.openxmlformats.org/officeDocument/2006/relationships/oleObject" Target="embeddings/oleObject122.bin"/><Relationship Id="rId472" Type="http://schemas.openxmlformats.org/officeDocument/2006/relationships/oleObject" Target="embeddings/oleObject229.bin"/><Relationship Id="rId528" Type="http://schemas.openxmlformats.org/officeDocument/2006/relationships/oleObject" Target="embeddings/oleObject258.bin"/><Relationship Id="rId735" Type="http://schemas.openxmlformats.org/officeDocument/2006/relationships/image" Target="media/image352.wmf"/><Relationship Id="rId900" Type="http://schemas.openxmlformats.org/officeDocument/2006/relationships/image" Target="media/image434.wmf"/><Relationship Id="rId942" Type="http://schemas.openxmlformats.org/officeDocument/2006/relationships/image" Target="media/image455.wmf"/><Relationship Id="rId125" Type="http://schemas.openxmlformats.org/officeDocument/2006/relationships/image" Target="media/image57.wmf"/><Relationship Id="rId167" Type="http://schemas.openxmlformats.org/officeDocument/2006/relationships/image" Target="media/image82.wmf"/><Relationship Id="rId332" Type="http://schemas.openxmlformats.org/officeDocument/2006/relationships/image" Target="media/image158.wmf"/><Relationship Id="rId374" Type="http://schemas.openxmlformats.org/officeDocument/2006/relationships/oleObject" Target="embeddings/oleObject179.bin"/><Relationship Id="rId581" Type="http://schemas.openxmlformats.org/officeDocument/2006/relationships/oleObject" Target="embeddings/oleObject285.bin"/><Relationship Id="rId777" Type="http://schemas.openxmlformats.org/officeDocument/2006/relationships/image" Target="media/image373.wmf"/><Relationship Id="rId984" Type="http://schemas.openxmlformats.org/officeDocument/2006/relationships/oleObject" Target="embeddings/oleObject484.bin"/><Relationship Id="rId71" Type="http://schemas.openxmlformats.org/officeDocument/2006/relationships/oleObject" Target="embeddings/oleObject16.bin"/><Relationship Id="rId234" Type="http://schemas.openxmlformats.org/officeDocument/2006/relationships/oleObject" Target="embeddings/oleObject106.bin"/><Relationship Id="rId637" Type="http://schemas.openxmlformats.org/officeDocument/2006/relationships/oleObject" Target="embeddings/oleObject315.bin"/><Relationship Id="rId679" Type="http://schemas.openxmlformats.org/officeDocument/2006/relationships/image" Target="media/image324.wmf"/><Relationship Id="rId802" Type="http://schemas.openxmlformats.org/officeDocument/2006/relationships/oleObject" Target="embeddings/oleObject398.bin"/><Relationship Id="rId844" Type="http://schemas.openxmlformats.org/officeDocument/2006/relationships/oleObject" Target="embeddings/oleObject419.bin"/><Relationship Id="rId886" Type="http://schemas.openxmlformats.org/officeDocument/2006/relationships/image" Target="media/image427.wmf"/><Relationship Id="rId2" Type="http://schemas.openxmlformats.org/officeDocument/2006/relationships/numbering" Target="numbering.xml"/><Relationship Id="rId29" Type="http://schemas.openxmlformats.org/officeDocument/2006/relationships/image" Target="media/image7.wmf"/><Relationship Id="rId276" Type="http://schemas.openxmlformats.org/officeDocument/2006/relationships/image" Target="media/image130.wmf"/><Relationship Id="rId441" Type="http://schemas.openxmlformats.org/officeDocument/2006/relationships/image" Target="media/image209.wmf"/><Relationship Id="rId483" Type="http://schemas.openxmlformats.org/officeDocument/2006/relationships/image" Target="media/image230.wmf"/><Relationship Id="rId539" Type="http://schemas.openxmlformats.org/officeDocument/2006/relationships/oleObject" Target="embeddings/oleObject264.bin"/><Relationship Id="rId690" Type="http://schemas.openxmlformats.org/officeDocument/2006/relationships/oleObject" Target="embeddings/oleObject342.bin"/><Relationship Id="rId704" Type="http://schemas.openxmlformats.org/officeDocument/2006/relationships/oleObject" Target="embeddings/oleObject349.bin"/><Relationship Id="rId746" Type="http://schemas.openxmlformats.org/officeDocument/2006/relationships/oleObject" Target="embeddings/oleObject370.bin"/><Relationship Id="rId911" Type="http://schemas.openxmlformats.org/officeDocument/2006/relationships/oleObject" Target="embeddings/oleObject453.bin"/><Relationship Id="rId40" Type="http://schemas.openxmlformats.org/officeDocument/2006/relationships/image" Target="media/image16.wmf"/><Relationship Id="rId136" Type="http://schemas.openxmlformats.org/officeDocument/2006/relationships/image" Target="media/image68.wmf"/><Relationship Id="rId178" Type="http://schemas.openxmlformats.org/officeDocument/2006/relationships/oleObject" Target="embeddings/oleObject72.bin"/><Relationship Id="rId301" Type="http://schemas.openxmlformats.org/officeDocument/2006/relationships/oleObject" Target="embeddings/oleObject140.bin"/><Relationship Id="rId343" Type="http://schemas.openxmlformats.org/officeDocument/2006/relationships/image" Target="media/image163.wmf"/><Relationship Id="rId550" Type="http://schemas.openxmlformats.org/officeDocument/2006/relationships/image" Target="media/image262.wmf"/><Relationship Id="rId788" Type="http://schemas.openxmlformats.org/officeDocument/2006/relationships/oleObject" Target="embeddings/oleObject391.bin"/><Relationship Id="rId953" Type="http://schemas.openxmlformats.org/officeDocument/2006/relationships/oleObject" Target="embeddings/oleObject474.bin"/><Relationship Id="rId995" Type="http://schemas.openxmlformats.org/officeDocument/2006/relationships/image" Target="media/image476.wmf"/><Relationship Id="rId82" Type="http://schemas.openxmlformats.org/officeDocument/2006/relationships/oleObject" Target="embeddings/oleObject27.bin"/><Relationship Id="rId203" Type="http://schemas.openxmlformats.org/officeDocument/2006/relationships/oleObject" Target="embeddings/oleObject90.bin"/><Relationship Id="rId385" Type="http://schemas.openxmlformats.org/officeDocument/2006/relationships/image" Target="media/image182.wmf"/><Relationship Id="rId592" Type="http://schemas.openxmlformats.org/officeDocument/2006/relationships/image" Target="media/image282.wmf"/><Relationship Id="rId606" Type="http://schemas.openxmlformats.org/officeDocument/2006/relationships/image" Target="media/image288.wmf"/><Relationship Id="rId648" Type="http://schemas.openxmlformats.org/officeDocument/2006/relationships/image" Target="media/image309.wmf"/><Relationship Id="rId813" Type="http://schemas.openxmlformats.org/officeDocument/2006/relationships/image" Target="media/image391.wmf"/><Relationship Id="rId855" Type="http://schemas.openxmlformats.org/officeDocument/2006/relationships/image" Target="media/image412.wmf"/><Relationship Id="rId245" Type="http://schemas.openxmlformats.org/officeDocument/2006/relationships/oleObject" Target="embeddings/oleObject112.bin"/><Relationship Id="rId287" Type="http://schemas.openxmlformats.org/officeDocument/2006/relationships/oleObject" Target="embeddings/oleObject133.bin"/><Relationship Id="rId410" Type="http://schemas.openxmlformats.org/officeDocument/2006/relationships/oleObject" Target="embeddings/oleObject197.bin"/><Relationship Id="rId452" Type="http://schemas.openxmlformats.org/officeDocument/2006/relationships/oleObject" Target="embeddings/oleObject219.bin"/><Relationship Id="rId494" Type="http://schemas.openxmlformats.org/officeDocument/2006/relationships/oleObject" Target="embeddings/oleObject240.bin"/><Relationship Id="rId508" Type="http://schemas.openxmlformats.org/officeDocument/2006/relationships/oleObject" Target="embeddings/oleObject247.bin"/><Relationship Id="rId715" Type="http://schemas.openxmlformats.org/officeDocument/2006/relationships/image" Target="media/image342.wmf"/><Relationship Id="rId897" Type="http://schemas.openxmlformats.org/officeDocument/2006/relationships/oleObject" Target="embeddings/oleObject446.bin"/><Relationship Id="rId922" Type="http://schemas.openxmlformats.org/officeDocument/2006/relationships/image" Target="media/image445.wmf"/><Relationship Id="rId105" Type="http://schemas.openxmlformats.org/officeDocument/2006/relationships/oleObject" Target="embeddings/oleObject34.bin"/><Relationship Id="rId147" Type="http://schemas.openxmlformats.org/officeDocument/2006/relationships/oleObject" Target="embeddings/oleObject58.bin"/><Relationship Id="rId312" Type="http://schemas.openxmlformats.org/officeDocument/2006/relationships/image" Target="media/image148.wmf"/><Relationship Id="rId354" Type="http://schemas.openxmlformats.org/officeDocument/2006/relationships/image" Target="media/image168.wmf"/><Relationship Id="rId757" Type="http://schemas.openxmlformats.org/officeDocument/2006/relationships/image" Target="media/image363.wmf"/><Relationship Id="rId799" Type="http://schemas.openxmlformats.org/officeDocument/2006/relationships/image" Target="media/image384.wmf"/><Relationship Id="rId964" Type="http://schemas.openxmlformats.org/officeDocument/2006/relationships/chart" Target="charts/chart7.xml"/><Relationship Id="rId51" Type="http://schemas.openxmlformats.org/officeDocument/2006/relationships/image" Target="media/image27.wmf"/><Relationship Id="rId93" Type="http://schemas.openxmlformats.org/officeDocument/2006/relationships/image" Target="media/image41.wmf"/><Relationship Id="rId189" Type="http://schemas.openxmlformats.org/officeDocument/2006/relationships/oleObject" Target="embeddings/oleObject83.bin"/><Relationship Id="rId396" Type="http://schemas.openxmlformats.org/officeDocument/2006/relationships/oleObject" Target="embeddings/oleObject190.bin"/><Relationship Id="rId561" Type="http://schemas.openxmlformats.org/officeDocument/2006/relationships/oleObject" Target="embeddings/oleObject275.bin"/><Relationship Id="rId617" Type="http://schemas.openxmlformats.org/officeDocument/2006/relationships/oleObject" Target="embeddings/oleObject305.bin"/><Relationship Id="rId659" Type="http://schemas.openxmlformats.org/officeDocument/2006/relationships/oleObject" Target="embeddings/oleObject326.bin"/><Relationship Id="rId824" Type="http://schemas.openxmlformats.org/officeDocument/2006/relationships/oleObject" Target="embeddings/oleObject409.bin"/><Relationship Id="rId866" Type="http://schemas.openxmlformats.org/officeDocument/2006/relationships/image" Target="media/image417.wmf"/><Relationship Id="rId214" Type="http://schemas.openxmlformats.org/officeDocument/2006/relationships/image" Target="media/image100.wmf"/><Relationship Id="rId256" Type="http://schemas.openxmlformats.org/officeDocument/2006/relationships/image" Target="media/image120.wmf"/><Relationship Id="rId298" Type="http://schemas.openxmlformats.org/officeDocument/2006/relationships/image" Target="media/image141.wmf"/><Relationship Id="rId421" Type="http://schemas.openxmlformats.org/officeDocument/2006/relationships/oleObject" Target="embeddings/oleObject203.bin"/><Relationship Id="rId463" Type="http://schemas.openxmlformats.org/officeDocument/2006/relationships/image" Target="media/image220.wmf"/><Relationship Id="rId519" Type="http://schemas.openxmlformats.org/officeDocument/2006/relationships/oleObject" Target="embeddings/oleObject253.bin"/><Relationship Id="rId670" Type="http://schemas.openxmlformats.org/officeDocument/2006/relationships/image" Target="media/image320.wmf"/><Relationship Id="rId116" Type="http://schemas.openxmlformats.org/officeDocument/2006/relationships/oleObject" Target="embeddings/oleObject45.bin"/><Relationship Id="rId158" Type="http://schemas.openxmlformats.org/officeDocument/2006/relationships/image" Target="media/image73.wmf"/><Relationship Id="rId323" Type="http://schemas.openxmlformats.org/officeDocument/2006/relationships/oleObject" Target="embeddings/oleObject151.bin"/><Relationship Id="rId530" Type="http://schemas.openxmlformats.org/officeDocument/2006/relationships/oleObject" Target="embeddings/oleObject259.bin"/><Relationship Id="rId726" Type="http://schemas.openxmlformats.org/officeDocument/2006/relationships/oleObject" Target="embeddings/oleObject360.bin"/><Relationship Id="rId768" Type="http://schemas.openxmlformats.org/officeDocument/2006/relationships/oleObject" Target="embeddings/oleObject381.bin"/><Relationship Id="rId933" Type="http://schemas.openxmlformats.org/officeDocument/2006/relationships/oleObject" Target="embeddings/oleObject464.bin"/><Relationship Id="rId975" Type="http://schemas.openxmlformats.org/officeDocument/2006/relationships/image" Target="media/image466.wmf"/><Relationship Id="rId20" Type="http://schemas.openxmlformats.org/officeDocument/2006/relationships/diagramColors" Target="diagrams/colors1.xml"/><Relationship Id="rId62" Type="http://schemas.openxmlformats.org/officeDocument/2006/relationships/oleObject" Target="embeddings/oleObject7.bin"/><Relationship Id="rId365" Type="http://schemas.openxmlformats.org/officeDocument/2006/relationships/oleObject" Target="embeddings/oleObject174.bin"/><Relationship Id="rId572" Type="http://schemas.openxmlformats.org/officeDocument/2006/relationships/image" Target="media/image273.wmf"/><Relationship Id="rId628" Type="http://schemas.openxmlformats.org/officeDocument/2006/relationships/image" Target="media/image299.wmf"/><Relationship Id="rId835" Type="http://schemas.openxmlformats.org/officeDocument/2006/relationships/image" Target="media/image402.wmf"/><Relationship Id="rId225" Type="http://schemas.openxmlformats.org/officeDocument/2006/relationships/image" Target="media/image105.wmf"/><Relationship Id="rId267" Type="http://schemas.openxmlformats.org/officeDocument/2006/relationships/oleObject" Target="embeddings/oleObject123.bin"/><Relationship Id="rId432" Type="http://schemas.openxmlformats.org/officeDocument/2006/relationships/image" Target="media/image205.wmf"/><Relationship Id="rId474" Type="http://schemas.openxmlformats.org/officeDocument/2006/relationships/oleObject" Target="embeddings/oleObject230.bin"/><Relationship Id="rId877" Type="http://schemas.openxmlformats.org/officeDocument/2006/relationships/oleObject" Target="embeddings/oleObject436.bin"/><Relationship Id="rId127" Type="http://schemas.openxmlformats.org/officeDocument/2006/relationships/image" Target="media/image59.wmf"/><Relationship Id="rId681" Type="http://schemas.openxmlformats.org/officeDocument/2006/relationships/image" Target="media/image325.wmf"/><Relationship Id="rId737" Type="http://schemas.openxmlformats.org/officeDocument/2006/relationships/image" Target="media/image353.wmf"/><Relationship Id="rId779" Type="http://schemas.openxmlformats.org/officeDocument/2006/relationships/image" Target="media/image374.wmf"/><Relationship Id="rId902" Type="http://schemas.openxmlformats.org/officeDocument/2006/relationships/image" Target="media/image435.wmf"/><Relationship Id="rId944" Type="http://schemas.openxmlformats.org/officeDocument/2006/relationships/image" Target="media/image456.wmf"/><Relationship Id="rId986" Type="http://schemas.openxmlformats.org/officeDocument/2006/relationships/oleObject" Target="embeddings/oleObject485.bin"/><Relationship Id="rId31" Type="http://schemas.openxmlformats.org/officeDocument/2006/relationships/image" Target="media/image8.wmf"/><Relationship Id="rId73" Type="http://schemas.openxmlformats.org/officeDocument/2006/relationships/oleObject" Target="embeddings/oleObject18.bin"/><Relationship Id="rId169" Type="http://schemas.openxmlformats.org/officeDocument/2006/relationships/image" Target="media/image84.wmf"/><Relationship Id="rId334" Type="http://schemas.openxmlformats.org/officeDocument/2006/relationships/image" Target="media/image159.wmf"/><Relationship Id="rId376" Type="http://schemas.openxmlformats.org/officeDocument/2006/relationships/oleObject" Target="embeddings/oleObject180.bin"/><Relationship Id="rId541" Type="http://schemas.openxmlformats.org/officeDocument/2006/relationships/oleObject" Target="embeddings/oleObject265.bin"/><Relationship Id="rId583" Type="http://schemas.openxmlformats.org/officeDocument/2006/relationships/image" Target="media/image278.wmf"/><Relationship Id="rId639" Type="http://schemas.openxmlformats.org/officeDocument/2006/relationships/oleObject" Target="embeddings/oleObject316.bin"/><Relationship Id="rId790" Type="http://schemas.openxmlformats.org/officeDocument/2006/relationships/oleObject" Target="embeddings/oleObject392.bin"/><Relationship Id="rId804" Type="http://schemas.openxmlformats.org/officeDocument/2006/relationships/oleObject" Target="embeddings/oleObject399.bin"/><Relationship Id="rId4" Type="http://schemas.openxmlformats.org/officeDocument/2006/relationships/settings" Target="settings.xml"/><Relationship Id="rId180" Type="http://schemas.openxmlformats.org/officeDocument/2006/relationships/oleObject" Target="embeddings/oleObject74.bin"/><Relationship Id="rId236" Type="http://schemas.openxmlformats.org/officeDocument/2006/relationships/oleObject" Target="embeddings/oleObject107.bin"/><Relationship Id="rId278" Type="http://schemas.openxmlformats.org/officeDocument/2006/relationships/image" Target="media/image131.wmf"/><Relationship Id="rId401" Type="http://schemas.openxmlformats.org/officeDocument/2006/relationships/image" Target="media/image190.wmf"/><Relationship Id="rId443" Type="http://schemas.openxmlformats.org/officeDocument/2006/relationships/image" Target="media/image210.wmf"/><Relationship Id="rId650" Type="http://schemas.openxmlformats.org/officeDocument/2006/relationships/image" Target="media/image310.wmf"/><Relationship Id="rId846" Type="http://schemas.openxmlformats.org/officeDocument/2006/relationships/oleObject" Target="embeddings/oleObject420.bin"/><Relationship Id="rId888" Type="http://schemas.openxmlformats.org/officeDocument/2006/relationships/image" Target="media/image428.wmf"/><Relationship Id="rId303" Type="http://schemas.openxmlformats.org/officeDocument/2006/relationships/oleObject" Target="embeddings/oleObject141.bin"/><Relationship Id="rId485" Type="http://schemas.openxmlformats.org/officeDocument/2006/relationships/image" Target="media/image231.wmf"/><Relationship Id="rId692" Type="http://schemas.openxmlformats.org/officeDocument/2006/relationships/oleObject" Target="embeddings/oleObject343.bin"/><Relationship Id="rId706" Type="http://schemas.openxmlformats.org/officeDocument/2006/relationships/oleObject" Target="embeddings/oleObject350.bin"/><Relationship Id="rId748" Type="http://schemas.openxmlformats.org/officeDocument/2006/relationships/oleObject" Target="embeddings/oleObject371.bin"/><Relationship Id="rId913" Type="http://schemas.openxmlformats.org/officeDocument/2006/relationships/oleObject" Target="embeddings/oleObject454.bin"/><Relationship Id="rId955" Type="http://schemas.openxmlformats.org/officeDocument/2006/relationships/oleObject" Target="embeddings/oleObject475.bin"/><Relationship Id="rId42" Type="http://schemas.openxmlformats.org/officeDocument/2006/relationships/image" Target="media/image18.wmf"/><Relationship Id="rId84" Type="http://schemas.openxmlformats.org/officeDocument/2006/relationships/oleObject" Target="embeddings/oleObject29.bin"/><Relationship Id="rId138" Type="http://schemas.openxmlformats.org/officeDocument/2006/relationships/image" Target="media/image70.wmf"/><Relationship Id="rId345" Type="http://schemas.openxmlformats.org/officeDocument/2006/relationships/image" Target="media/image164.wmf"/><Relationship Id="rId387" Type="http://schemas.openxmlformats.org/officeDocument/2006/relationships/image" Target="media/image183.wmf"/><Relationship Id="rId510" Type="http://schemas.openxmlformats.org/officeDocument/2006/relationships/image" Target="media/image243.wmf"/><Relationship Id="rId552" Type="http://schemas.openxmlformats.org/officeDocument/2006/relationships/image" Target="media/image263.wmf"/><Relationship Id="rId594" Type="http://schemas.openxmlformats.org/officeDocument/2006/relationships/image" Target="media/image283.wmf"/><Relationship Id="rId608" Type="http://schemas.openxmlformats.org/officeDocument/2006/relationships/image" Target="media/image289.wmf"/><Relationship Id="rId815" Type="http://schemas.openxmlformats.org/officeDocument/2006/relationships/image" Target="media/image392.wmf"/><Relationship Id="rId997" Type="http://schemas.openxmlformats.org/officeDocument/2006/relationships/fontTable" Target="fontTable.xml"/><Relationship Id="rId191" Type="http://schemas.openxmlformats.org/officeDocument/2006/relationships/oleObject" Target="embeddings/oleObject84.bin"/><Relationship Id="rId205" Type="http://schemas.openxmlformats.org/officeDocument/2006/relationships/oleObject" Target="embeddings/oleObject91.bin"/><Relationship Id="rId247" Type="http://schemas.openxmlformats.org/officeDocument/2006/relationships/oleObject" Target="embeddings/oleObject113.bin"/><Relationship Id="rId412" Type="http://schemas.openxmlformats.org/officeDocument/2006/relationships/image" Target="media/image195.wmf"/><Relationship Id="rId857" Type="http://schemas.openxmlformats.org/officeDocument/2006/relationships/oleObject" Target="embeddings/oleObject426.bin"/><Relationship Id="rId899" Type="http://schemas.openxmlformats.org/officeDocument/2006/relationships/oleObject" Target="embeddings/oleObject447.bin"/><Relationship Id="rId107" Type="http://schemas.openxmlformats.org/officeDocument/2006/relationships/oleObject" Target="embeddings/oleObject36.bin"/><Relationship Id="rId289" Type="http://schemas.openxmlformats.org/officeDocument/2006/relationships/oleObject" Target="embeddings/oleObject134.bin"/><Relationship Id="rId454" Type="http://schemas.openxmlformats.org/officeDocument/2006/relationships/oleObject" Target="embeddings/oleObject220.bin"/><Relationship Id="rId496" Type="http://schemas.openxmlformats.org/officeDocument/2006/relationships/oleObject" Target="embeddings/oleObject241.bin"/><Relationship Id="rId661" Type="http://schemas.openxmlformats.org/officeDocument/2006/relationships/oleObject" Target="embeddings/oleObject327.bin"/><Relationship Id="rId717" Type="http://schemas.openxmlformats.org/officeDocument/2006/relationships/image" Target="media/image343.wmf"/><Relationship Id="rId759" Type="http://schemas.openxmlformats.org/officeDocument/2006/relationships/image" Target="media/image364.wmf"/><Relationship Id="rId924" Type="http://schemas.openxmlformats.org/officeDocument/2006/relationships/image" Target="media/image446.wmf"/><Relationship Id="rId966" Type="http://schemas.openxmlformats.org/officeDocument/2006/relationships/image" Target="media/image464.png"/><Relationship Id="rId11" Type="http://schemas.openxmlformats.org/officeDocument/2006/relationships/footer" Target="footer2.xml"/><Relationship Id="rId53" Type="http://schemas.openxmlformats.org/officeDocument/2006/relationships/image" Target="media/image29.wmf"/><Relationship Id="rId149" Type="http://schemas.openxmlformats.org/officeDocument/2006/relationships/oleObject" Target="embeddings/oleObject60.bin"/><Relationship Id="rId314" Type="http://schemas.openxmlformats.org/officeDocument/2006/relationships/image" Target="media/image149.wmf"/><Relationship Id="rId356" Type="http://schemas.openxmlformats.org/officeDocument/2006/relationships/oleObject" Target="embeddings/oleObject169.bin"/><Relationship Id="rId398" Type="http://schemas.openxmlformats.org/officeDocument/2006/relationships/oleObject" Target="embeddings/oleObject191.bin"/><Relationship Id="rId521" Type="http://schemas.openxmlformats.org/officeDocument/2006/relationships/oleObject" Target="embeddings/oleObject254.bin"/><Relationship Id="rId563" Type="http://schemas.openxmlformats.org/officeDocument/2006/relationships/oleObject" Target="embeddings/oleObject276.bin"/><Relationship Id="rId619" Type="http://schemas.openxmlformats.org/officeDocument/2006/relationships/oleObject" Target="embeddings/oleObject306.bin"/><Relationship Id="rId770" Type="http://schemas.openxmlformats.org/officeDocument/2006/relationships/oleObject" Target="embeddings/oleObject382.bin"/><Relationship Id="rId95" Type="http://schemas.openxmlformats.org/officeDocument/2006/relationships/image" Target="media/image43.wmf"/><Relationship Id="rId160" Type="http://schemas.openxmlformats.org/officeDocument/2006/relationships/image" Target="media/image75.wmf"/><Relationship Id="rId216" Type="http://schemas.openxmlformats.org/officeDocument/2006/relationships/image" Target="media/image101.wmf"/><Relationship Id="rId423" Type="http://schemas.openxmlformats.org/officeDocument/2006/relationships/oleObject" Target="embeddings/oleObject204.bin"/><Relationship Id="rId826" Type="http://schemas.openxmlformats.org/officeDocument/2006/relationships/oleObject" Target="embeddings/oleObject410.bin"/><Relationship Id="rId868" Type="http://schemas.openxmlformats.org/officeDocument/2006/relationships/image" Target="media/image418.wmf"/><Relationship Id="rId258" Type="http://schemas.openxmlformats.org/officeDocument/2006/relationships/image" Target="media/image121.wmf"/><Relationship Id="rId465" Type="http://schemas.openxmlformats.org/officeDocument/2006/relationships/image" Target="media/image221.wmf"/><Relationship Id="rId630" Type="http://schemas.openxmlformats.org/officeDocument/2006/relationships/image" Target="media/image300.wmf"/><Relationship Id="rId672" Type="http://schemas.openxmlformats.org/officeDocument/2006/relationships/oleObject" Target="embeddings/oleObject333.bin"/><Relationship Id="rId728" Type="http://schemas.openxmlformats.org/officeDocument/2006/relationships/oleObject" Target="embeddings/oleObject361.bin"/><Relationship Id="rId935" Type="http://schemas.openxmlformats.org/officeDocument/2006/relationships/oleObject" Target="embeddings/oleObject465.bin"/><Relationship Id="rId22" Type="http://schemas.openxmlformats.org/officeDocument/2006/relationships/image" Target="media/image3.png"/><Relationship Id="rId64" Type="http://schemas.openxmlformats.org/officeDocument/2006/relationships/oleObject" Target="embeddings/oleObject9.bin"/><Relationship Id="rId118" Type="http://schemas.openxmlformats.org/officeDocument/2006/relationships/oleObject" Target="embeddings/oleObject47.bin"/><Relationship Id="rId325" Type="http://schemas.openxmlformats.org/officeDocument/2006/relationships/oleObject" Target="embeddings/oleObject152.bin"/><Relationship Id="rId367" Type="http://schemas.openxmlformats.org/officeDocument/2006/relationships/oleObject" Target="embeddings/oleObject175.bin"/><Relationship Id="rId532" Type="http://schemas.openxmlformats.org/officeDocument/2006/relationships/oleObject" Target="embeddings/oleObject260.bin"/><Relationship Id="rId574" Type="http://schemas.openxmlformats.org/officeDocument/2006/relationships/image" Target="media/image274.wmf"/><Relationship Id="rId977" Type="http://schemas.openxmlformats.org/officeDocument/2006/relationships/image" Target="media/image467.wmf"/><Relationship Id="rId171" Type="http://schemas.openxmlformats.org/officeDocument/2006/relationships/image" Target="media/image86.wmf"/><Relationship Id="rId227" Type="http://schemas.openxmlformats.org/officeDocument/2006/relationships/image" Target="media/image106.wmf"/><Relationship Id="rId781" Type="http://schemas.openxmlformats.org/officeDocument/2006/relationships/image" Target="media/image375.wmf"/><Relationship Id="rId837" Type="http://schemas.openxmlformats.org/officeDocument/2006/relationships/image" Target="media/image403.wmf"/><Relationship Id="rId879" Type="http://schemas.openxmlformats.org/officeDocument/2006/relationships/oleObject" Target="embeddings/oleObject437.bin"/><Relationship Id="rId269" Type="http://schemas.openxmlformats.org/officeDocument/2006/relationships/oleObject" Target="embeddings/oleObject124.bin"/><Relationship Id="rId434" Type="http://schemas.openxmlformats.org/officeDocument/2006/relationships/oleObject" Target="embeddings/oleObject210.bin"/><Relationship Id="rId476" Type="http://schemas.openxmlformats.org/officeDocument/2006/relationships/oleObject" Target="embeddings/oleObject231.bin"/><Relationship Id="rId641" Type="http://schemas.openxmlformats.org/officeDocument/2006/relationships/oleObject" Target="embeddings/oleObject317.bin"/><Relationship Id="rId683" Type="http://schemas.openxmlformats.org/officeDocument/2006/relationships/image" Target="media/image326.wmf"/><Relationship Id="rId739" Type="http://schemas.openxmlformats.org/officeDocument/2006/relationships/image" Target="media/image354.wmf"/><Relationship Id="rId890" Type="http://schemas.openxmlformats.org/officeDocument/2006/relationships/image" Target="media/image429.wmf"/><Relationship Id="rId904" Type="http://schemas.openxmlformats.org/officeDocument/2006/relationships/image" Target="media/image436.wmf"/><Relationship Id="rId33" Type="http://schemas.openxmlformats.org/officeDocument/2006/relationships/image" Target="media/image9.emf"/><Relationship Id="rId129" Type="http://schemas.openxmlformats.org/officeDocument/2006/relationships/image" Target="media/image61.wmf"/><Relationship Id="rId280" Type="http://schemas.openxmlformats.org/officeDocument/2006/relationships/image" Target="media/image132.wmf"/><Relationship Id="rId336" Type="http://schemas.openxmlformats.org/officeDocument/2006/relationships/image" Target="media/image160.wmf"/><Relationship Id="rId501" Type="http://schemas.openxmlformats.org/officeDocument/2006/relationships/image" Target="media/image239.wmf"/><Relationship Id="rId543" Type="http://schemas.openxmlformats.org/officeDocument/2006/relationships/oleObject" Target="embeddings/oleObject266.bin"/><Relationship Id="rId946" Type="http://schemas.openxmlformats.org/officeDocument/2006/relationships/image" Target="media/image457.wmf"/><Relationship Id="rId988" Type="http://schemas.openxmlformats.org/officeDocument/2006/relationships/oleObject" Target="embeddings/oleObject486.bin"/><Relationship Id="rId75" Type="http://schemas.openxmlformats.org/officeDocument/2006/relationships/oleObject" Target="embeddings/oleObject20.bin"/><Relationship Id="rId140" Type="http://schemas.openxmlformats.org/officeDocument/2006/relationships/oleObject" Target="embeddings/oleObject51.bin"/><Relationship Id="rId182" Type="http://schemas.openxmlformats.org/officeDocument/2006/relationships/oleObject" Target="embeddings/oleObject76.bin"/><Relationship Id="rId378" Type="http://schemas.openxmlformats.org/officeDocument/2006/relationships/oleObject" Target="embeddings/oleObject181.bin"/><Relationship Id="rId403" Type="http://schemas.openxmlformats.org/officeDocument/2006/relationships/image" Target="media/image191.wmf"/><Relationship Id="rId585" Type="http://schemas.openxmlformats.org/officeDocument/2006/relationships/image" Target="media/image279.wmf"/><Relationship Id="rId750" Type="http://schemas.openxmlformats.org/officeDocument/2006/relationships/oleObject" Target="embeddings/oleObject372.bin"/><Relationship Id="rId792" Type="http://schemas.openxmlformats.org/officeDocument/2006/relationships/oleObject" Target="embeddings/oleObject393.bin"/><Relationship Id="rId806" Type="http://schemas.openxmlformats.org/officeDocument/2006/relationships/oleObject" Target="embeddings/oleObject400.bin"/><Relationship Id="rId848" Type="http://schemas.openxmlformats.org/officeDocument/2006/relationships/oleObject" Target="embeddings/oleObject421.bin"/><Relationship Id="rId6" Type="http://schemas.openxmlformats.org/officeDocument/2006/relationships/footnotes" Target="footnotes.xml"/><Relationship Id="rId238" Type="http://schemas.openxmlformats.org/officeDocument/2006/relationships/oleObject" Target="embeddings/oleObject108.bin"/><Relationship Id="rId445" Type="http://schemas.openxmlformats.org/officeDocument/2006/relationships/image" Target="media/image211.wmf"/><Relationship Id="rId487" Type="http://schemas.openxmlformats.org/officeDocument/2006/relationships/image" Target="media/image232.wmf"/><Relationship Id="rId610" Type="http://schemas.openxmlformats.org/officeDocument/2006/relationships/image" Target="media/image290.wmf"/><Relationship Id="rId652" Type="http://schemas.openxmlformats.org/officeDocument/2006/relationships/image" Target="media/image311.wmf"/><Relationship Id="rId694" Type="http://schemas.openxmlformats.org/officeDocument/2006/relationships/oleObject" Target="embeddings/oleObject344.bin"/><Relationship Id="rId708" Type="http://schemas.openxmlformats.org/officeDocument/2006/relationships/oleObject" Target="embeddings/oleObject351.bin"/><Relationship Id="rId915" Type="http://schemas.openxmlformats.org/officeDocument/2006/relationships/oleObject" Target="embeddings/oleObject455.bin"/><Relationship Id="rId291" Type="http://schemas.openxmlformats.org/officeDocument/2006/relationships/oleObject" Target="embeddings/oleObject135.bin"/><Relationship Id="rId305" Type="http://schemas.openxmlformats.org/officeDocument/2006/relationships/oleObject" Target="embeddings/oleObject142.bin"/><Relationship Id="rId347" Type="http://schemas.openxmlformats.org/officeDocument/2006/relationships/image" Target="media/image165.wmf"/><Relationship Id="rId512" Type="http://schemas.openxmlformats.org/officeDocument/2006/relationships/image" Target="media/image244.wmf"/><Relationship Id="rId957" Type="http://schemas.openxmlformats.org/officeDocument/2006/relationships/chart" Target="charts/chart4.xml"/><Relationship Id="rId44" Type="http://schemas.openxmlformats.org/officeDocument/2006/relationships/image" Target="media/image20.wmf"/><Relationship Id="rId86" Type="http://schemas.openxmlformats.org/officeDocument/2006/relationships/oleObject" Target="embeddings/oleObject31.bin"/><Relationship Id="rId151" Type="http://schemas.openxmlformats.org/officeDocument/2006/relationships/oleObject" Target="embeddings/oleObject62.bin"/><Relationship Id="rId389" Type="http://schemas.openxmlformats.org/officeDocument/2006/relationships/image" Target="media/image184.wmf"/><Relationship Id="rId554" Type="http://schemas.openxmlformats.org/officeDocument/2006/relationships/image" Target="media/image264.wmf"/><Relationship Id="rId596" Type="http://schemas.openxmlformats.org/officeDocument/2006/relationships/oleObject" Target="embeddings/oleObject294.bin"/><Relationship Id="rId761" Type="http://schemas.openxmlformats.org/officeDocument/2006/relationships/image" Target="media/image365.wmf"/><Relationship Id="rId817" Type="http://schemas.openxmlformats.org/officeDocument/2006/relationships/image" Target="media/image393.wmf"/><Relationship Id="rId859" Type="http://schemas.openxmlformats.org/officeDocument/2006/relationships/oleObject" Target="embeddings/oleObject427.bin"/><Relationship Id="rId193" Type="http://schemas.openxmlformats.org/officeDocument/2006/relationships/oleObject" Target="embeddings/oleObject85.bin"/><Relationship Id="rId207" Type="http://schemas.openxmlformats.org/officeDocument/2006/relationships/oleObject" Target="embeddings/oleObject92.bin"/><Relationship Id="rId249" Type="http://schemas.openxmlformats.org/officeDocument/2006/relationships/oleObject" Target="embeddings/oleObject114.bin"/><Relationship Id="rId414" Type="http://schemas.openxmlformats.org/officeDocument/2006/relationships/image" Target="media/image196.wmf"/><Relationship Id="rId456" Type="http://schemas.openxmlformats.org/officeDocument/2006/relationships/oleObject" Target="embeddings/oleObject221.bin"/><Relationship Id="rId498" Type="http://schemas.openxmlformats.org/officeDocument/2006/relationships/oleObject" Target="embeddings/oleObject242.bin"/><Relationship Id="rId621" Type="http://schemas.openxmlformats.org/officeDocument/2006/relationships/oleObject" Target="embeddings/oleObject307.bin"/><Relationship Id="rId663" Type="http://schemas.openxmlformats.org/officeDocument/2006/relationships/oleObject" Target="embeddings/oleObject328.bin"/><Relationship Id="rId870" Type="http://schemas.openxmlformats.org/officeDocument/2006/relationships/image" Target="media/image419.wmf"/><Relationship Id="rId13" Type="http://schemas.openxmlformats.org/officeDocument/2006/relationships/footer" Target="footer4.xml"/><Relationship Id="rId109" Type="http://schemas.openxmlformats.org/officeDocument/2006/relationships/oleObject" Target="embeddings/oleObject38.bin"/><Relationship Id="rId260" Type="http://schemas.openxmlformats.org/officeDocument/2006/relationships/image" Target="media/image122.wmf"/><Relationship Id="rId316" Type="http://schemas.openxmlformats.org/officeDocument/2006/relationships/image" Target="media/image150.wmf"/><Relationship Id="rId523" Type="http://schemas.openxmlformats.org/officeDocument/2006/relationships/oleObject" Target="embeddings/oleObject255.bin"/><Relationship Id="rId719" Type="http://schemas.openxmlformats.org/officeDocument/2006/relationships/image" Target="media/image344.wmf"/><Relationship Id="rId926" Type="http://schemas.openxmlformats.org/officeDocument/2006/relationships/image" Target="media/image447.wmf"/><Relationship Id="rId968" Type="http://schemas.openxmlformats.org/officeDocument/2006/relationships/oleObject" Target="embeddings/oleObject476.bin"/><Relationship Id="rId55" Type="http://schemas.openxmlformats.org/officeDocument/2006/relationships/image" Target="media/image31.wmf"/><Relationship Id="rId97" Type="http://schemas.openxmlformats.org/officeDocument/2006/relationships/image" Target="media/image45.wmf"/><Relationship Id="rId120" Type="http://schemas.openxmlformats.org/officeDocument/2006/relationships/oleObject" Target="embeddings/oleObject49.bin"/><Relationship Id="rId358" Type="http://schemas.openxmlformats.org/officeDocument/2006/relationships/oleObject" Target="embeddings/oleObject170.bin"/><Relationship Id="rId565" Type="http://schemas.openxmlformats.org/officeDocument/2006/relationships/oleObject" Target="embeddings/oleObject277.bin"/><Relationship Id="rId730" Type="http://schemas.openxmlformats.org/officeDocument/2006/relationships/oleObject" Target="embeddings/oleObject362.bin"/><Relationship Id="rId772" Type="http://schemas.openxmlformats.org/officeDocument/2006/relationships/oleObject" Target="embeddings/oleObject383.bin"/><Relationship Id="rId828" Type="http://schemas.openxmlformats.org/officeDocument/2006/relationships/oleObject" Target="embeddings/oleObject411.bin"/><Relationship Id="rId162" Type="http://schemas.openxmlformats.org/officeDocument/2006/relationships/image" Target="media/image77.wmf"/><Relationship Id="rId218" Type="http://schemas.openxmlformats.org/officeDocument/2006/relationships/image" Target="media/image102.wmf"/><Relationship Id="rId425" Type="http://schemas.openxmlformats.org/officeDocument/2006/relationships/oleObject" Target="embeddings/oleObject205.bin"/><Relationship Id="rId467" Type="http://schemas.openxmlformats.org/officeDocument/2006/relationships/image" Target="media/image222.wmf"/><Relationship Id="rId632" Type="http://schemas.openxmlformats.org/officeDocument/2006/relationships/image" Target="media/image301.wmf"/><Relationship Id="rId271" Type="http://schemas.openxmlformats.org/officeDocument/2006/relationships/oleObject" Target="embeddings/oleObject125.bin"/><Relationship Id="rId674" Type="http://schemas.openxmlformats.org/officeDocument/2006/relationships/oleObject" Target="embeddings/oleObject334.bin"/><Relationship Id="rId881" Type="http://schemas.openxmlformats.org/officeDocument/2006/relationships/oleObject" Target="embeddings/oleObject438.bin"/><Relationship Id="rId937" Type="http://schemas.openxmlformats.org/officeDocument/2006/relationships/oleObject" Target="embeddings/oleObject466.bin"/><Relationship Id="rId979" Type="http://schemas.openxmlformats.org/officeDocument/2006/relationships/image" Target="media/image468.wmf"/><Relationship Id="rId24" Type="http://schemas.openxmlformats.org/officeDocument/2006/relationships/oleObject" Target="embeddings/oleObject1.bin"/><Relationship Id="rId66" Type="http://schemas.openxmlformats.org/officeDocument/2006/relationships/oleObject" Target="embeddings/oleObject11.bin"/><Relationship Id="rId131" Type="http://schemas.openxmlformats.org/officeDocument/2006/relationships/image" Target="media/image63.wmf"/><Relationship Id="rId327" Type="http://schemas.openxmlformats.org/officeDocument/2006/relationships/oleObject" Target="embeddings/oleObject153.bin"/><Relationship Id="rId369" Type="http://schemas.openxmlformats.org/officeDocument/2006/relationships/oleObject" Target="embeddings/oleObject176.bin"/><Relationship Id="rId534" Type="http://schemas.openxmlformats.org/officeDocument/2006/relationships/oleObject" Target="embeddings/oleObject261.bin"/><Relationship Id="rId576" Type="http://schemas.openxmlformats.org/officeDocument/2006/relationships/image" Target="media/image275.wmf"/><Relationship Id="rId741" Type="http://schemas.openxmlformats.org/officeDocument/2006/relationships/image" Target="media/image355.wmf"/><Relationship Id="rId783" Type="http://schemas.openxmlformats.org/officeDocument/2006/relationships/image" Target="media/image376.wmf"/><Relationship Id="rId839" Type="http://schemas.openxmlformats.org/officeDocument/2006/relationships/image" Target="media/image404.wmf"/><Relationship Id="rId990" Type="http://schemas.openxmlformats.org/officeDocument/2006/relationships/oleObject" Target="embeddings/oleObject487.bin"/><Relationship Id="rId173" Type="http://schemas.openxmlformats.org/officeDocument/2006/relationships/oleObject" Target="embeddings/oleObject67.bin"/><Relationship Id="rId229" Type="http://schemas.openxmlformats.org/officeDocument/2006/relationships/image" Target="media/image107.wmf"/><Relationship Id="rId380" Type="http://schemas.openxmlformats.org/officeDocument/2006/relationships/oleObject" Target="embeddings/oleObject182.bin"/><Relationship Id="rId436" Type="http://schemas.openxmlformats.org/officeDocument/2006/relationships/oleObject" Target="embeddings/oleObject211.bin"/><Relationship Id="rId601" Type="http://schemas.openxmlformats.org/officeDocument/2006/relationships/image" Target="media/image286.wmf"/><Relationship Id="rId643" Type="http://schemas.openxmlformats.org/officeDocument/2006/relationships/oleObject" Target="embeddings/oleObject318.bin"/><Relationship Id="rId240" Type="http://schemas.openxmlformats.org/officeDocument/2006/relationships/oleObject" Target="embeddings/oleObject109.bin"/><Relationship Id="rId478" Type="http://schemas.openxmlformats.org/officeDocument/2006/relationships/oleObject" Target="embeddings/oleObject232.bin"/><Relationship Id="rId685" Type="http://schemas.openxmlformats.org/officeDocument/2006/relationships/image" Target="media/image327.wmf"/><Relationship Id="rId850" Type="http://schemas.openxmlformats.org/officeDocument/2006/relationships/oleObject" Target="embeddings/oleObject422.bin"/><Relationship Id="rId892" Type="http://schemas.openxmlformats.org/officeDocument/2006/relationships/image" Target="media/image430.wmf"/><Relationship Id="rId906" Type="http://schemas.openxmlformats.org/officeDocument/2006/relationships/image" Target="media/image437.wmf"/><Relationship Id="rId948" Type="http://schemas.openxmlformats.org/officeDocument/2006/relationships/image" Target="media/image458.wmf"/><Relationship Id="rId35" Type="http://schemas.openxmlformats.org/officeDocument/2006/relationships/image" Target="media/image11.wmf"/><Relationship Id="rId77" Type="http://schemas.openxmlformats.org/officeDocument/2006/relationships/oleObject" Target="embeddings/oleObject22.bin"/><Relationship Id="rId100" Type="http://schemas.openxmlformats.org/officeDocument/2006/relationships/image" Target="media/image48.wmf"/><Relationship Id="rId282" Type="http://schemas.openxmlformats.org/officeDocument/2006/relationships/image" Target="media/image133.wmf"/><Relationship Id="rId338" Type="http://schemas.openxmlformats.org/officeDocument/2006/relationships/image" Target="media/image161.wmf"/><Relationship Id="rId503" Type="http://schemas.openxmlformats.org/officeDocument/2006/relationships/image" Target="media/image240.wmf"/><Relationship Id="rId545" Type="http://schemas.openxmlformats.org/officeDocument/2006/relationships/oleObject" Target="embeddings/oleObject267.bin"/><Relationship Id="rId587" Type="http://schemas.openxmlformats.org/officeDocument/2006/relationships/image" Target="media/image280.wmf"/><Relationship Id="rId710" Type="http://schemas.openxmlformats.org/officeDocument/2006/relationships/oleObject" Target="embeddings/oleObject352.bin"/><Relationship Id="rId752" Type="http://schemas.openxmlformats.org/officeDocument/2006/relationships/oleObject" Target="embeddings/oleObject373.bin"/><Relationship Id="rId808" Type="http://schemas.openxmlformats.org/officeDocument/2006/relationships/oleObject" Target="embeddings/oleObject401.bin"/><Relationship Id="rId8" Type="http://schemas.openxmlformats.org/officeDocument/2006/relationships/image" Target="media/image1.png"/><Relationship Id="rId142" Type="http://schemas.openxmlformats.org/officeDocument/2006/relationships/oleObject" Target="embeddings/oleObject53.bin"/><Relationship Id="rId184" Type="http://schemas.openxmlformats.org/officeDocument/2006/relationships/oleObject" Target="embeddings/oleObject78.bin"/><Relationship Id="rId391" Type="http://schemas.openxmlformats.org/officeDocument/2006/relationships/image" Target="media/image185.wmf"/><Relationship Id="rId405" Type="http://schemas.openxmlformats.org/officeDocument/2006/relationships/image" Target="media/image192.wmf"/><Relationship Id="rId447" Type="http://schemas.openxmlformats.org/officeDocument/2006/relationships/image" Target="media/image212.wmf"/><Relationship Id="rId612" Type="http://schemas.openxmlformats.org/officeDocument/2006/relationships/image" Target="media/image291.wmf"/><Relationship Id="rId794" Type="http://schemas.openxmlformats.org/officeDocument/2006/relationships/oleObject" Target="embeddings/oleObject394.bin"/><Relationship Id="rId251" Type="http://schemas.openxmlformats.org/officeDocument/2006/relationships/oleObject" Target="embeddings/oleObject115.bin"/><Relationship Id="rId489" Type="http://schemas.openxmlformats.org/officeDocument/2006/relationships/image" Target="media/image233.wmf"/><Relationship Id="rId654" Type="http://schemas.openxmlformats.org/officeDocument/2006/relationships/image" Target="media/image312.wmf"/><Relationship Id="rId696" Type="http://schemas.openxmlformats.org/officeDocument/2006/relationships/oleObject" Target="embeddings/oleObject345.bin"/><Relationship Id="rId861" Type="http://schemas.openxmlformats.org/officeDocument/2006/relationships/oleObject" Target="embeddings/oleObject428.bin"/><Relationship Id="rId917" Type="http://schemas.openxmlformats.org/officeDocument/2006/relationships/oleObject" Target="embeddings/oleObject456.bin"/><Relationship Id="rId959" Type="http://schemas.openxmlformats.org/officeDocument/2006/relationships/image" Target="media/image462.png"/><Relationship Id="rId46" Type="http://schemas.openxmlformats.org/officeDocument/2006/relationships/image" Target="media/image22.wmf"/><Relationship Id="rId293" Type="http://schemas.openxmlformats.org/officeDocument/2006/relationships/oleObject" Target="embeddings/oleObject136.bin"/><Relationship Id="rId307" Type="http://schemas.openxmlformats.org/officeDocument/2006/relationships/oleObject" Target="embeddings/oleObject143.bin"/><Relationship Id="rId349" Type="http://schemas.openxmlformats.org/officeDocument/2006/relationships/oleObject" Target="embeddings/oleObject165.bin"/><Relationship Id="rId514" Type="http://schemas.openxmlformats.org/officeDocument/2006/relationships/image" Target="media/image245.wmf"/><Relationship Id="rId556" Type="http://schemas.openxmlformats.org/officeDocument/2006/relationships/image" Target="media/image265.wmf"/><Relationship Id="rId721" Type="http://schemas.openxmlformats.org/officeDocument/2006/relationships/image" Target="media/image345.wmf"/><Relationship Id="rId763" Type="http://schemas.openxmlformats.org/officeDocument/2006/relationships/image" Target="media/image366.wmf"/><Relationship Id="rId88" Type="http://schemas.openxmlformats.org/officeDocument/2006/relationships/image" Target="media/image38.wmf"/><Relationship Id="rId111" Type="http://schemas.openxmlformats.org/officeDocument/2006/relationships/oleObject" Target="embeddings/oleObject40.bin"/><Relationship Id="rId153" Type="http://schemas.openxmlformats.org/officeDocument/2006/relationships/oleObject" Target="embeddings/oleObject64.bin"/><Relationship Id="rId195" Type="http://schemas.openxmlformats.org/officeDocument/2006/relationships/oleObject" Target="embeddings/oleObject86.bin"/><Relationship Id="rId209" Type="http://schemas.openxmlformats.org/officeDocument/2006/relationships/oleObject" Target="embeddings/oleObject93.bin"/><Relationship Id="rId360" Type="http://schemas.openxmlformats.org/officeDocument/2006/relationships/oleObject" Target="embeddings/oleObject171.bin"/><Relationship Id="rId416" Type="http://schemas.openxmlformats.org/officeDocument/2006/relationships/image" Target="media/image197.wmf"/><Relationship Id="rId598" Type="http://schemas.openxmlformats.org/officeDocument/2006/relationships/oleObject" Target="embeddings/oleObject295.bin"/><Relationship Id="rId819" Type="http://schemas.openxmlformats.org/officeDocument/2006/relationships/image" Target="media/image394.wmf"/><Relationship Id="rId970" Type="http://schemas.openxmlformats.org/officeDocument/2006/relationships/oleObject" Target="embeddings/oleObject477.bin"/><Relationship Id="rId220" Type="http://schemas.openxmlformats.org/officeDocument/2006/relationships/image" Target="media/image103.wmf"/><Relationship Id="rId458" Type="http://schemas.openxmlformats.org/officeDocument/2006/relationships/oleObject" Target="embeddings/oleObject222.bin"/><Relationship Id="rId623" Type="http://schemas.openxmlformats.org/officeDocument/2006/relationships/oleObject" Target="embeddings/oleObject308.bin"/><Relationship Id="rId665" Type="http://schemas.openxmlformats.org/officeDocument/2006/relationships/oleObject" Target="embeddings/oleObject329.bin"/><Relationship Id="rId830" Type="http://schemas.openxmlformats.org/officeDocument/2006/relationships/oleObject" Target="embeddings/oleObject412.bin"/><Relationship Id="rId872" Type="http://schemas.openxmlformats.org/officeDocument/2006/relationships/image" Target="media/image420.wmf"/><Relationship Id="rId928" Type="http://schemas.openxmlformats.org/officeDocument/2006/relationships/image" Target="media/image448.wmf"/><Relationship Id="rId15" Type="http://schemas.openxmlformats.org/officeDocument/2006/relationships/chart" Target="charts/chart1.xml"/><Relationship Id="rId57" Type="http://schemas.openxmlformats.org/officeDocument/2006/relationships/image" Target="media/image33.wmf"/><Relationship Id="rId262" Type="http://schemas.openxmlformats.org/officeDocument/2006/relationships/image" Target="media/image123.wmf"/><Relationship Id="rId318" Type="http://schemas.openxmlformats.org/officeDocument/2006/relationships/image" Target="media/image151.wmf"/><Relationship Id="rId525" Type="http://schemas.openxmlformats.org/officeDocument/2006/relationships/oleObject" Target="embeddings/oleObject256.bin"/><Relationship Id="rId567" Type="http://schemas.openxmlformats.org/officeDocument/2006/relationships/oleObject" Target="embeddings/oleObject278.bin"/><Relationship Id="rId732" Type="http://schemas.openxmlformats.org/officeDocument/2006/relationships/oleObject" Target="embeddings/oleObject363.bin"/><Relationship Id="rId99" Type="http://schemas.openxmlformats.org/officeDocument/2006/relationships/image" Target="media/image47.wmf"/><Relationship Id="rId122" Type="http://schemas.openxmlformats.org/officeDocument/2006/relationships/image" Target="media/image54.wmf"/><Relationship Id="rId164" Type="http://schemas.openxmlformats.org/officeDocument/2006/relationships/image" Target="media/image79.wmf"/><Relationship Id="rId371" Type="http://schemas.openxmlformats.org/officeDocument/2006/relationships/image" Target="media/image175.wmf"/><Relationship Id="rId774" Type="http://schemas.openxmlformats.org/officeDocument/2006/relationships/oleObject" Target="embeddings/oleObject384.bin"/><Relationship Id="rId981" Type="http://schemas.openxmlformats.org/officeDocument/2006/relationships/image" Target="media/image469.wmf"/><Relationship Id="rId427" Type="http://schemas.openxmlformats.org/officeDocument/2006/relationships/oleObject" Target="embeddings/oleObject206.bin"/><Relationship Id="rId469" Type="http://schemas.openxmlformats.org/officeDocument/2006/relationships/image" Target="media/image223.wmf"/><Relationship Id="rId634" Type="http://schemas.openxmlformats.org/officeDocument/2006/relationships/image" Target="media/image302.wmf"/><Relationship Id="rId676" Type="http://schemas.openxmlformats.org/officeDocument/2006/relationships/oleObject" Target="embeddings/oleObject335.bin"/><Relationship Id="rId841" Type="http://schemas.openxmlformats.org/officeDocument/2006/relationships/image" Target="media/image405.wmf"/><Relationship Id="rId883" Type="http://schemas.openxmlformats.org/officeDocument/2006/relationships/oleObject" Target="embeddings/oleObject439.bin"/><Relationship Id="rId26" Type="http://schemas.openxmlformats.org/officeDocument/2006/relationships/oleObject" Target="embeddings/oleObject2.bin"/><Relationship Id="rId231" Type="http://schemas.openxmlformats.org/officeDocument/2006/relationships/image" Target="media/image108.wmf"/><Relationship Id="rId273" Type="http://schemas.openxmlformats.org/officeDocument/2006/relationships/oleObject" Target="embeddings/oleObject126.bin"/><Relationship Id="rId329" Type="http://schemas.openxmlformats.org/officeDocument/2006/relationships/oleObject" Target="embeddings/oleObject154.bin"/><Relationship Id="rId480" Type="http://schemas.openxmlformats.org/officeDocument/2006/relationships/oleObject" Target="embeddings/oleObject233.bin"/><Relationship Id="rId536" Type="http://schemas.openxmlformats.org/officeDocument/2006/relationships/oleObject" Target="embeddings/oleObject262.bin"/><Relationship Id="rId701" Type="http://schemas.openxmlformats.org/officeDocument/2006/relationships/image" Target="media/image335.wmf"/><Relationship Id="rId939" Type="http://schemas.openxmlformats.org/officeDocument/2006/relationships/oleObject" Target="embeddings/oleObject467.bin"/><Relationship Id="rId68" Type="http://schemas.openxmlformats.org/officeDocument/2006/relationships/oleObject" Target="embeddings/oleObject13.bin"/><Relationship Id="rId133" Type="http://schemas.openxmlformats.org/officeDocument/2006/relationships/image" Target="media/image65.wmf"/><Relationship Id="rId175" Type="http://schemas.openxmlformats.org/officeDocument/2006/relationships/oleObject" Target="embeddings/oleObject69.bin"/><Relationship Id="rId340" Type="http://schemas.openxmlformats.org/officeDocument/2006/relationships/image" Target="media/image162.wmf"/><Relationship Id="rId578" Type="http://schemas.openxmlformats.org/officeDocument/2006/relationships/image" Target="media/image276.wmf"/><Relationship Id="rId743" Type="http://schemas.openxmlformats.org/officeDocument/2006/relationships/image" Target="media/image356.wmf"/><Relationship Id="rId785" Type="http://schemas.openxmlformats.org/officeDocument/2006/relationships/image" Target="media/image377.wmf"/><Relationship Id="rId950" Type="http://schemas.openxmlformats.org/officeDocument/2006/relationships/image" Target="media/image459.wmf"/><Relationship Id="rId992" Type="http://schemas.openxmlformats.org/officeDocument/2006/relationships/oleObject" Target="embeddings/oleObject488.bin"/><Relationship Id="rId200" Type="http://schemas.openxmlformats.org/officeDocument/2006/relationships/image" Target="media/image93.wmf"/><Relationship Id="rId382" Type="http://schemas.openxmlformats.org/officeDocument/2006/relationships/oleObject" Target="embeddings/oleObject183.bin"/><Relationship Id="rId438" Type="http://schemas.openxmlformats.org/officeDocument/2006/relationships/oleObject" Target="embeddings/oleObject212.bin"/><Relationship Id="rId603" Type="http://schemas.openxmlformats.org/officeDocument/2006/relationships/oleObject" Target="embeddings/oleObject298.bin"/><Relationship Id="rId645" Type="http://schemas.openxmlformats.org/officeDocument/2006/relationships/oleObject" Target="embeddings/oleObject319.bin"/><Relationship Id="rId687" Type="http://schemas.openxmlformats.org/officeDocument/2006/relationships/image" Target="media/image328.wmf"/><Relationship Id="rId810" Type="http://schemas.openxmlformats.org/officeDocument/2006/relationships/oleObject" Target="embeddings/oleObject402.bin"/><Relationship Id="rId852" Type="http://schemas.openxmlformats.org/officeDocument/2006/relationships/oleObject" Target="embeddings/oleObject423.bin"/><Relationship Id="rId908" Type="http://schemas.openxmlformats.org/officeDocument/2006/relationships/image" Target="media/image438.wmf"/><Relationship Id="rId242" Type="http://schemas.openxmlformats.org/officeDocument/2006/relationships/image" Target="media/image113.wmf"/><Relationship Id="rId284" Type="http://schemas.openxmlformats.org/officeDocument/2006/relationships/image" Target="media/image134.wmf"/><Relationship Id="rId491" Type="http://schemas.openxmlformats.org/officeDocument/2006/relationships/image" Target="media/image234.wmf"/><Relationship Id="rId505" Type="http://schemas.openxmlformats.org/officeDocument/2006/relationships/image" Target="media/image241.wmf"/><Relationship Id="rId712" Type="http://schemas.openxmlformats.org/officeDocument/2006/relationships/oleObject" Target="embeddings/oleObject353.bin"/><Relationship Id="rId894" Type="http://schemas.openxmlformats.org/officeDocument/2006/relationships/image" Target="media/image431.wmf"/><Relationship Id="rId37" Type="http://schemas.openxmlformats.org/officeDocument/2006/relationships/image" Target="media/image13.wmf"/><Relationship Id="rId79" Type="http://schemas.openxmlformats.org/officeDocument/2006/relationships/oleObject" Target="embeddings/oleObject24.bin"/><Relationship Id="rId102" Type="http://schemas.openxmlformats.org/officeDocument/2006/relationships/image" Target="media/image50.wmf"/><Relationship Id="rId144" Type="http://schemas.openxmlformats.org/officeDocument/2006/relationships/oleObject" Target="embeddings/oleObject55.bin"/><Relationship Id="rId547" Type="http://schemas.openxmlformats.org/officeDocument/2006/relationships/oleObject" Target="embeddings/oleObject268.bin"/><Relationship Id="rId589" Type="http://schemas.openxmlformats.org/officeDocument/2006/relationships/oleObject" Target="embeddings/oleObject290.bin"/><Relationship Id="rId754" Type="http://schemas.openxmlformats.org/officeDocument/2006/relationships/oleObject" Target="embeddings/oleObject374.bin"/><Relationship Id="rId796" Type="http://schemas.openxmlformats.org/officeDocument/2006/relationships/oleObject" Target="embeddings/oleObject395.bin"/><Relationship Id="rId961" Type="http://schemas.openxmlformats.org/officeDocument/2006/relationships/image" Target="media/image463.png"/><Relationship Id="rId90" Type="http://schemas.openxmlformats.org/officeDocument/2006/relationships/oleObject" Target="embeddings/oleObject33.bin"/><Relationship Id="rId186" Type="http://schemas.openxmlformats.org/officeDocument/2006/relationships/oleObject" Target="embeddings/oleObject80.bin"/><Relationship Id="rId351" Type="http://schemas.openxmlformats.org/officeDocument/2006/relationships/oleObject" Target="embeddings/oleObject166.bin"/><Relationship Id="rId393" Type="http://schemas.openxmlformats.org/officeDocument/2006/relationships/image" Target="media/image186.wmf"/><Relationship Id="rId407" Type="http://schemas.openxmlformats.org/officeDocument/2006/relationships/image" Target="media/image193.wmf"/><Relationship Id="rId449" Type="http://schemas.openxmlformats.org/officeDocument/2006/relationships/image" Target="media/image213.wmf"/><Relationship Id="rId614" Type="http://schemas.openxmlformats.org/officeDocument/2006/relationships/image" Target="media/image292.wmf"/><Relationship Id="rId656" Type="http://schemas.openxmlformats.org/officeDocument/2006/relationships/image" Target="media/image313.wmf"/><Relationship Id="rId821" Type="http://schemas.openxmlformats.org/officeDocument/2006/relationships/image" Target="media/image395.wmf"/><Relationship Id="rId863" Type="http://schemas.openxmlformats.org/officeDocument/2006/relationships/oleObject" Target="embeddings/oleObject429.bin"/><Relationship Id="rId211" Type="http://schemas.openxmlformats.org/officeDocument/2006/relationships/oleObject" Target="embeddings/oleObject94.bin"/><Relationship Id="rId253" Type="http://schemas.openxmlformats.org/officeDocument/2006/relationships/oleObject" Target="embeddings/oleObject116.bin"/><Relationship Id="rId295" Type="http://schemas.openxmlformats.org/officeDocument/2006/relationships/oleObject" Target="embeddings/oleObject137.bin"/><Relationship Id="rId309" Type="http://schemas.openxmlformats.org/officeDocument/2006/relationships/oleObject" Target="embeddings/oleObject144.bin"/><Relationship Id="rId460" Type="http://schemas.openxmlformats.org/officeDocument/2006/relationships/oleObject" Target="embeddings/oleObject223.bin"/><Relationship Id="rId516" Type="http://schemas.openxmlformats.org/officeDocument/2006/relationships/image" Target="media/image246.wmf"/><Relationship Id="rId698" Type="http://schemas.openxmlformats.org/officeDocument/2006/relationships/oleObject" Target="embeddings/oleObject346.bin"/><Relationship Id="rId919" Type="http://schemas.openxmlformats.org/officeDocument/2006/relationships/oleObject" Target="embeddings/oleObject457.bin"/><Relationship Id="rId48" Type="http://schemas.openxmlformats.org/officeDocument/2006/relationships/image" Target="media/image24.wmf"/><Relationship Id="rId113" Type="http://schemas.openxmlformats.org/officeDocument/2006/relationships/oleObject" Target="embeddings/oleObject42.bin"/><Relationship Id="rId320" Type="http://schemas.openxmlformats.org/officeDocument/2006/relationships/image" Target="media/image152.wmf"/><Relationship Id="rId558" Type="http://schemas.openxmlformats.org/officeDocument/2006/relationships/image" Target="media/image266.wmf"/><Relationship Id="rId723" Type="http://schemas.openxmlformats.org/officeDocument/2006/relationships/image" Target="media/image346.wmf"/><Relationship Id="rId765" Type="http://schemas.openxmlformats.org/officeDocument/2006/relationships/image" Target="media/image367.wmf"/><Relationship Id="rId930" Type="http://schemas.openxmlformats.org/officeDocument/2006/relationships/image" Target="media/image449.wmf"/><Relationship Id="rId972" Type="http://schemas.openxmlformats.org/officeDocument/2006/relationships/oleObject" Target="embeddings/oleObject478.bin"/><Relationship Id="rId155" Type="http://schemas.openxmlformats.org/officeDocument/2006/relationships/oleObject" Target="embeddings/oleObject66.bin"/><Relationship Id="rId197" Type="http://schemas.openxmlformats.org/officeDocument/2006/relationships/oleObject" Target="embeddings/oleObject87.bin"/><Relationship Id="rId362" Type="http://schemas.openxmlformats.org/officeDocument/2006/relationships/oleObject" Target="embeddings/oleObject172.bin"/><Relationship Id="rId418" Type="http://schemas.openxmlformats.org/officeDocument/2006/relationships/image" Target="media/image198.wmf"/><Relationship Id="rId625" Type="http://schemas.openxmlformats.org/officeDocument/2006/relationships/oleObject" Target="embeddings/oleObject309.bin"/><Relationship Id="rId832" Type="http://schemas.openxmlformats.org/officeDocument/2006/relationships/oleObject" Target="embeddings/oleObject413.bin"/><Relationship Id="rId222" Type="http://schemas.openxmlformats.org/officeDocument/2006/relationships/image" Target="media/image104.wmf"/><Relationship Id="rId264" Type="http://schemas.openxmlformats.org/officeDocument/2006/relationships/image" Target="media/image124.wmf"/><Relationship Id="rId471" Type="http://schemas.openxmlformats.org/officeDocument/2006/relationships/image" Target="media/image224.wmf"/><Relationship Id="rId667" Type="http://schemas.openxmlformats.org/officeDocument/2006/relationships/oleObject" Target="embeddings/oleObject330.bin"/><Relationship Id="rId874" Type="http://schemas.openxmlformats.org/officeDocument/2006/relationships/image" Target="media/image421.wmf"/><Relationship Id="rId17" Type="http://schemas.openxmlformats.org/officeDocument/2006/relationships/diagramData" Target="diagrams/data1.xml"/><Relationship Id="rId59" Type="http://schemas.openxmlformats.org/officeDocument/2006/relationships/image" Target="media/image35.wmf"/><Relationship Id="rId124" Type="http://schemas.openxmlformats.org/officeDocument/2006/relationships/image" Target="media/image56.wmf"/><Relationship Id="rId527" Type="http://schemas.openxmlformats.org/officeDocument/2006/relationships/image" Target="media/image251.wmf"/><Relationship Id="rId569" Type="http://schemas.openxmlformats.org/officeDocument/2006/relationships/oleObject" Target="embeddings/oleObject279.bin"/><Relationship Id="rId734" Type="http://schemas.openxmlformats.org/officeDocument/2006/relationships/oleObject" Target="embeddings/oleObject364.bin"/><Relationship Id="rId776" Type="http://schemas.openxmlformats.org/officeDocument/2006/relationships/oleObject" Target="embeddings/oleObject385.bin"/><Relationship Id="rId941" Type="http://schemas.openxmlformats.org/officeDocument/2006/relationships/oleObject" Target="embeddings/oleObject468.bin"/><Relationship Id="rId983" Type="http://schemas.openxmlformats.org/officeDocument/2006/relationships/image" Target="media/image470.wmf"/><Relationship Id="rId70" Type="http://schemas.openxmlformats.org/officeDocument/2006/relationships/oleObject" Target="embeddings/oleObject15.bin"/><Relationship Id="rId166" Type="http://schemas.openxmlformats.org/officeDocument/2006/relationships/image" Target="media/image81.wmf"/><Relationship Id="rId331" Type="http://schemas.openxmlformats.org/officeDocument/2006/relationships/oleObject" Target="embeddings/oleObject155.bin"/><Relationship Id="rId373" Type="http://schemas.openxmlformats.org/officeDocument/2006/relationships/image" Target="media/image176.wmf"/><Relationship Id="rId429" Type="http://schemas.openxmlformats.org/officeDocument/2006/relationships/oleObject" Target="embeddings/oleObject207.bin"/><Relationship Id="rId580" Type="http://schemas.openxmlformats.org/officeDocument/2006/relationships/image" Target="media/image277.wmf"/><Relationship Id="rId636" Type="http://schemas.openxmlformats.org/officeDocument/2006/relationships/image" Target="media/image303.wmf"/><Relationship Id="rId801" Type="http://schemas.openxmlformats.org/officeDocument/2006/relationships/image" Target="media/image385.wmf"/><Relationship Id="rId1" Type="http://schemas.openxmlformats.org/officeDocument/2006/relationships/customXml" Target="../customXml/item1.xml"/><Relationship Id="rId233" Type="http://schemas.openxmlformats.org/officeDocument/2006/relationships/image" Target="media/image109.wmf"/><Relationship Id="rId440" Type="http://schemas.openxmlformats.org/officeDocument/2006/relationships/oleObject" Target="embeddings/oleObject213.bin"/><Relationship Id="rId678" Type="http://schemas.openxmlformats.org/officeDocument/2006/relationships/oleObject" Target="embeddings/oleObject336.bin"/><Relationship Id="rId843" Type="http://schemas.openxmlformats.org/officeDocument/2006/relationships/image" Target="media/image406.wmf"/><Relationship Id="rId885" Type="http://schemas.openxmlformats.org/officeDocument/2006/relationships/oleObject" Target="embeddings/oleObject440.bin"/><Relationship Id="rId28" Type="http://schemas.openxmlformats.org/officeDocument/2006/relationships/oleObject" Target="embeddings/oleObject3.bin"/><Relationship Id="rId275" Type="http://schemas.openxmlformats.org/officeDocument/2006/relationships/oleObject" Target="embeddings/oleObject127.bin"/><Relationship Id="rId300" Type="http://schemas.openxmlformats.org/officeDocument/2006/relationships/image" Target="media/image142.wmf"/><Relationship Id="rId482" Type="http://schemas.openxmlformats.org/officeDocument/2006/relationships/oleObject" Target="embeddings/oleObject234.bin"/><Relationship Id="rId538" Type="http://schemas.openxmlformats.org/officeDocument/2006/relationships/oleObject" Target="embeddings/oleObject263.bin"/><Relationship Id="rId703" Type="http://schemas.openxmlformats.org/officeDocument/2006/relationships/image" Target="media/image336.wmf"/><Relationship Id="rId745" Type="http://schemas.openxmlformats.org/officeDocument/2006/relationships/image" Target="media/image357.wmf"/><Relationship Id="rId910" Type="http://schemas.openxmlformats.org/officeDocument/2006/relationships/image" Target="media/image439.wmf"/><Relationship Id="rId952" Type="http://schemas.openxmlformats.org/officeDocument/2006/relationships/image" Target="media/image460.wmf"/><Relationship Id="rId81" Type="http://schemas.openxmlformats.org/officeDocument/2006/relationships/oleObject" Target="embeddings/oleObject26.bin"/><Relationship Id="rId135" Type="http://schemas.openxmlformats.org/officeDocument/2006/relationships/image" Target="media/image67.wmf"/><Relationship Id="rId177" Type="http://schemas.openxmlformats.org/officeDocument/2006/relationships/oleObject" Target="embeddings/oleObject71.bin"/><Relationship Id="rId342" Type="http://schemas.openxmlformats.org/officeDocument/2006/relationships/oleObject" Target="embeddings/oleObject161.bin"/><Relationship Id="rId384" Type="http://schemas.openxmlformats.org/officeDocument/2006/relationships/oleObject" Target="embeddings/oleObject184.bin"/><Relationship Id="rId591" Type="http://schemas.openxmlformats.org/officeDocument/2006/relationships/oleObject" Target="embeddings/oleObject291.bin"/><Relationship Id="rId605" Type="http://schemas.openxmlformats.org/officeDocument/2006/relationships/oleObject" Target="embeddings/oleObject299.bin"/><Relationship Id="rId787" Type="http://schemas.openxmlformats.org/officeDocument/2006/relationships/image" Target="media/image378.wmf"/><Relationship Id="rId812" Type="http://schemas.openxmlformats.org/officeDocument/2006/relationships/oleObject" Target="embeddings/oleObject403.bin"/><Relationship Id="rId994" Type="http://schemas.openxmlformats.org/officeDocument/2006/relationships/oleObject" Target="embeddings/oleObject489.bin"/><Relationship Id="rId202" Type="http://schemas.openxmlformats.org/officeDocument/2006/relationships/image" Target="media/image94.wmf"/><Relationship Id="rId244" Type="http://schemas.openxmlformats.org/officeDocument/2006/relationships/image" Target="media/image114.wmf"/><Relationship Id="rId647" Type="http://schemas.openxmlformats.org/officeDocument/2006/relationships/oleObject" Target="embeddings/oleObject320.bin"/><Relationship Id="rId689" Type="http://schemas.openxmlformats.org/officeDocument/2006/relationships/image" Target="media/image329.wmf"/><Relationship Id="rId854" Type="http://schemas.openxmlformats.org/officeDocument/2006/relationships/oleObject" Target="embeddings/oleObject424.bin"/><Relationship Id="rId896" Type="http://schemas.openxmlformats.org/officeDocument/2006/relationships/image" Target="media/image432.wmf"/><Relationship Id="rId39" Type="http://schemas.openxmlformats.org/officeDocument/2006/relationships/image" Target="media/image15.wmf"/><Relationship Id="rId286" Type="http://schemas.openxmlformats.org/officeDocument/2006/relationships/image" Target="media/image135.wmf"/><Relationship Id="rId451" Type="http://schemas.openxmlformats.org/officeDocument/2006/relationships/image" Target="media/image214.wmf"/><Relationship Id="rId493" Type="http://schemas.openxmlformats.org/officeDocument/2006/relationships/image" Target="media/image235.wmf"/><Relationship Id="rId507" Type="http://schemas.openxmlformats.org/officeDocument/2006/relationships/image" Target="media/image242.wmf"/><Relationship Id="rId549" Type="http://schemas.openxmlformats.org/officeDocument/2006/relationships/oleObject" Target="embeddings/oleObject269.bin"/><Relationship Id="rId714" Type="http://schemas.openxmlformats.org/officeDocument/2006/relationships/oleObject" Target="embeddings/oleObject354.bin"/><Relationship Id="rId756" Type="http://schemas.openxmlformats.org/officeDocument/2006/relationships/oleObject" Target="embeddings/oleObject375.bin"/><Relationship Id="rId921" Type="http://schemas.openxmlformats.org/officeDocument/2006/relationships/oleObject" Target="embeddings/oleObject458.bin"/><Relationship Id="rId50" Type="http://schemas.openxmlformats.org/officeDocument/2006/relationships/image" Target="media/image26.wmf"/><Relationship Id="rId104" Type="http://schemas.openxmlformats.org/officeDocument/2006/relationships/image" Target="media/image52.wmf"/><Relationship Id="rId146" Type="http://schemas.openxmlformats.org/officeDocument/2006/relationships/oleObject" Target="embeddings/oleObject57.bin"/><Relationship Id="rId188" Type="http://schemas.openxmlformats.org/officeDocument/2006/relationships/oleObject" Target="embeddings/oleObject82.bin"/><Relationship Id="rId311" Type="http://schemas.openxmlformats.org/officeDocument/2006/relationships/oleObject" Target="embeddings/oleObject145.bin"/><Relationship Id="rId353" Type="http://schemas.openxmlformats.org/officeDocument/2006/relationships/oleObject" Target="embeddings/oleObject167.bin"/><Relationship Id="rId395" Type="http://schemas.openxmlformats.org/officeDocument/2006/relationships/image" Target="media/image187.wmf"/><Relationship Id="rId409" Type="http://schemas.openxmlformats.org/officeDocument/2006/relationships/image" Target="media/image194.wmf"/><Relationship Id="rId560" Type="http://schemas.openxmlformats.org/officeDocument/2006/relationships/image" Target="media/image267.wmf"/><Relationship Id="rId798" Type="http://schemas.openxmlformats.org/officeDocument/2006/relationships/oleObject" Target="embeddings/oleObject396.bin"/><Relationship Id="rId963" Type="http://schemas.openxmlformats.org/officeDocument/2006/relationships/chart" Target="charts/chart6.xml"/><Relationship Id="rId92" Type="http://schemas.openxmlformats.org/officeDocument/2006/relationships/image" Target="media/image40.wmf"/><Relationship Id="rId213" Type="http://schemas.openxmlformats.org/officeDocument/2006/relationships/oleObject" Target="embeddings/oleObject95.bin"/><Relationship Id="rId420" Type="http://schemas.openxmlformats.org/officeDocument/2006/relationships/image" Target="media/image199.wmf"/><Relationship Id="rId616" Type="http://schemas.openxmlformats.org/officeDocument/2006/relationships/image" Target="media/image293.wmf"/><Relationship Id="rId658" Type="http://schemas.openxmlformats.org/officeDocument/2006/relationships/image" Target="media/image314.wmf"/><Relationship Id="rId823" Type="http://schemas.openxmlformats.org/officeDocument/2006/relationships/image" Target="media/image396.wmf"/><Relationship Id="rId865" Type="http://schemas.openxmlformats.org/officeDocument/2006/relationships/oleObject" Target="embeddings/oleObject430.bin"/><Relationship Id="rId255" Type="http://schemas.openxmlformats.org/officeDocument/2006/relationships/oleObject" Target="embeddings/oleObject117.bin"/><Relationship Id="rId297" Type="http://schemas.openxmlformats.org/officeDocument/2006/relationships/oleObject" Target="embeddings/oleObject138.bin"/><Relationship Id="rId462" Type="http://schemas.openxmlformats.org/officeDocument/2006/relationships/oleObject" Target="embeddings/oleObject224.bin"/><Relationship Id="rId518" Type="http://schemas.openxmlformats.org/officeDocument/2006/relationships/image" Target="media/image247.wmf"/><Relationship Id="rId725" Type="http://schemas.openxmlformats.org/officeDocument/2006/relationships/image" Target="media/image347.wmf"/><Relationship Id="rId932" Type="http://schemas.openxmlformats.org/officeDocument/2006/relationships/image" Target="media/image450.wmf"/><Relationship Id="rId115" Type="http://schemas.openxmlformats.org/officeDocument/2006/relationships/oleObject" Target="embeddings/oleObject44.bin"/><Relationship Id="rId157" Type="http://schemas.openxmlformats.org/officeDocument/2006/relationships/image" Target="media/image72.wmf"/><Relationship Id="rId322" Type="http://schemas.openxmlformats.org/officeDocument/2006/relationships/image" Target="media/image153.wmf"/><Relationship Id="rId364" Type="http://schemas.openxmlformats.org/officeDocument/2006/relationships/image" Target="media/image172.wmf"/><Relationship Id="rId767" Type="http://schemas.openxmlformats.org/officeDocument/2006/relationships/image" Target="media/image368.wmf"/><Relationship Id="rId974" Type="http://schemas.openxmlformats.org/officeDocument/2006/relationships/oleObject" Target="embeddings/oleObject479.bin"/><Relationship Id="rId61" Type="http://schemas.openxmlformats.org/officeDocument/2006/relationships/oleObject" Target="embeddings/oleObject6.bin"/><Relationship Id="rId199" Type="http://schemas.openxmlformats.org/officeDocument/2006/relationships/oleObject" Target="embeddings/oleObject88.bin"/><Relationship Id="rId571" Type="http://schemas.openxmlformats.org/officeDocument/2006/relationships/oleObject" Target="embeddings/oleObject280.bin"/><Relationship Id="rId627" Type="http://schemas.openxmlformats.org/officeDocument/2006/relationships/oleObject" Target="embeddings/oleObject310.bin"/><Relationship Id="rId669" Type="http://schemas.openxmlformats.org/officeDocument/2006/relationships/oleObject" Target="embeddings/oleObject331.bin"/><Relationship Id="rId834" Type="http://schemas.openxmlformats.org/officeDocument/2006/relationships/oleObject" Target="embeddings/oleObject414.bin"/><Relationship Id="rId876" Type="http://schemas.openxmlformats.org/officeDocument/2006/relationships/image" Target="media/image422.wmf"/><Relationship Id="rId19" Type="http://schemas.openxmlformats.org/officeDocument/2006/relationships/diagramQuickStyle" Target="diagrams/quickStyle1.xml"/><Relationship Id="rId224" Type="http://schemas.openxmlformats.org/officeDocument/2006/relationships/oleObject" Target="embeddings/oleObject101.bin"/><Relationship Id="rId266" Type="http://schemas.openxmlformats.org/officeDocument/2006/relationships/image" Target="media/image125.wmf"/><Relationship Id="rId431" Type="http://schemas.openxmlformats.org/officeDocument/2006/relationships/oleObject" Target="embeddings/oleObject208.bin"/><Relationship Id="rId473" Type="http://schemas.openxmlformats.org/officeDocument/2006/relationships/image" Target="media/image225.wmf"/><Relationship Id="rId529" Type="http://schemas.openxmlformats.org/officeDocument/2006/relationships/image" Target="media/image252.wmf"/><Relationship Id="rId680" Type="http://schemas.openxmlformats.org/officeDocument/2006/relationships/oleObject" Target="embeddings/oleObject337.bin"/><Relationship Id="rId736" Type="http://schemas.openxmlformats.org/officeDocument/2006/relationships/oleObject" Target="embeddings/oleObject365.bin"/><Relationship Id="rId901" Type="http://schemas.openxmlformats.org/officeDocument/2006/relationships/oleObject" Target="embeddings/oleObject448.bin"/><Relationship Id="rId30" Type="http://schemas.openxmlformats.org/officeDocument/2006/relationships/oleObject" Target="embeddings/oleObject4.bin"/><Relationship Id="rId126" Type="http://schemas.openxmlformats.org/officeDocument/2006/relationships/image" Target="media/image58.wmf"/><Relationship Id="rId168" Type="http://schemas.openxmlformats.org/officeDocument/2006/relationships/image" Target="media/image83.wmf"/><Relationship Id="rId333" Type="http://schemas.openxmlformats.org/officeDocument/2006/relationships/oleObject" Target="embeddings/oleObject156.bin"/><Relationship Id="rId540" Type="http://schemas.openxmlformats.org/officeDocument/2006/relationships/image" Target="media/image257.wmf"/><Relationship Id="rId778" Type="http://schemas.openxmlformats.org/officeDocument/2006/relationships/oleObject" Target="embeddings/oleObject386.bin"/><Relationship Id="rId943" Type="http://schemas.openxmlformats.org/officeDocument/2006/relationships/oleObject" Target="embeddings/oleObject469.bin"/><Relationship Id="rId985" Type="http://schemas.openxmlformats.org/officeDocument/2006/relationships/image" Target="media/image471.wmf"/><Relationship Id="rId72" Type="http://schemas.openxmlformats.org/officeDocument/2006/relationships/oleObject" Target="embeddings/oleObject17.bin"/><Relationship Id="rId375" Type="http://schemas.openxmlformats.org/officeDocument/2006/relationships/image" Target="media/image177.wmf"/><Relationship Id="rId582" Type="http://schemas.openxmlformats.org/officeDocument/2006/relationships/oleObject" Target="embeddings/oleObject286.bin"/><Relationship Id="rId638" Type="http://schemas.openxmlformats.org/officeDocument/2006/relationships/image" Target="media/image304.wmf"/><Relationship Id="rId803" Type="http://schemas.openxmlformats.org/officeDocument/2006/relationships/image" Target="media/image386.wmf"/><Relationship Id="rId845" Type="http://schemas.openxmlformats.org/officeDocument/2006/relationships/image" Target="media/image407.wmf"/><Relationship Id="rId3" Type="http://schemas.openxmlformats.org/officeDocument/2006/relationships/styles" Target="styles.xml"/><Relationship Id="rId235" Type="http://schemas.openxmlformats.org/officeDocument/2006/relationships/image" Target="media/image110.wmf"/><Relationship Id="rId277" Type="http://schemas.openxmlformats.org/officeDocument/2006/relationships/oleObject" Target="embeddings/oleObject128.bin"/><Relationship Id="rId400" Type="http://schemas.openxmlformats.org/officeDocument/2006/relationships/oleObject" Target="embeddings/oleObject192.bin"/><Relationship Id="rId442" Type="http://schemas.openxmlformats.org/officeDocument/2006/relationships/oleObject" Target="embeddings/oleObject214.bin"/><Relationship Id="rId484" Type="http://schemas.openxmlformats.org/officeDocument/2006/relationships/oleObject" Target="embeddings/oleObject235.bin"/><Relationship Id="rId705" Type="http://schemas.openxmlformats.org/officeDocument/2006/relationships/image" Target="media/image337.wmf"/><Relationship Id="rId887" Type="http://schemas.openxmlformats.org/officeDocument/2006/relationships/oleObject" Target="embeddings/oleObject441.bin"/><Relationship Id="rId137" Type="http://schemas.openxmlformats.org/officeDocument/2006/relationships/image" Target="media/image69.wmf"/><Relationship Id="rId302" Type="http://schemas.openxmlformats.org/officeDocument/2006/relationships/image" Target="media/image143.wmf"/><Relationship Id="rId344" Type="http://schemas.openxmlformats.org/officeDocument/2006/relationships/oleObject" Target="embeddings/oleObject162.bin"/><Relationship Id="rId691" Type="http://schemas.openxmlformats.org/officeDocument/2006/relationships/image" Target="media/image330.wmf"/><Relationship Id="rId747" Type="http://schemas.openxmlformats.org/officeDocument/2006/relationships/image" Target="media/image358.wmf"/><Relationship Id="rId789" Type="http://schemas.openxmlformats.org/officeDocument/2006/relationships/image" Target="media/image379.wmf"/><Relationship Id="rId912" Type="http://schemas.openxmlformats.org/officeDocument/2006/relationships/image" Target="media/image440.wmf"/><Relationship Id="rId954" Type="http://schemas.openxmlformats.org/officeDocument/2006/relationships/image" Target="media/image461.wmf"/><Relationship Id="rId996" Type="http://schemas.openxmlformats.org/officeDocument/2006/relationships/oleObject" Target="embeddings/oleObject490.bin"/><Relationship Id="rId41" Type="http://schemas.openxmlformats.org/officeDocument/2006/relationships/image" Target="media/image17.wmf"/><Relationship Id="rId83" Type="http://schemas.openxmlformats.org/officeDocument/2006/relationships/oleObject" Target="embeddings/oleObject28.bin"/><Relationship Id="rId179" Type="http://schemas.openxmlformats.org/officeDocument/2006/relationships/oleObject" Target="embeddings/oleObject73.bin"/><Relationship Id="rId386" Type="http://schemas.openxmlformats.org/officeDocument/2006/relationships/oleObject" Target="embeddings/oleObject185.bin"/><Relationship Id="rId551" Type="http://schemas.openxmlformats.org/officeDocument/2006/relationships/oleObject" Target="embeddings/oleObject270.bin"/><Relationship Id="rId593" Type="http://schemas.openxmlformats.org/officeDocument/2006/relationships/oleObject" Target="embeddings/oleObject292.bin"/><Relationship Id="rId607" Type="http://schemas.openxmlformats.org/officeDocument/2006/relationships/oleObject" Target="embeddings/oleObject300.bin"/><Relationship Id="rId649" Type="http://schemas.openxmlformats.org/officeDocument/2006/relationships/oleObject" Target="embeddings/oleObject321.bin"/><Relationship Id="rId814" Type="http://schemas.openxmlformats.org/officeDocument/2006/relationships/oleObject" Target="embeddings/oleObject404.bin"/><Relationship Id="rId856" Type="http://schemas.openxmlformats.org/officeDocument/2006/relationships/oleObject" Target="embeddings/oleObject425.bin"/><Relationship Id="rId190" Type="http://schemas.openxmlformats.org/officeDocument/2006/relationships/image" Target="media/image88.wmf"/><Relationship Id="rId204" Type="http://schemas.openxmlformats.org/officeDocument/2006/relationships/image" Target="media/image95.wmf"/><Relationship Id="rId246" Type="http://schemas.openxmlformats.org/officeDocument/2006/relationships/image" Target="media/image115.wmf"/><Relationship Id="rId288" Type="http://schemas.openxmlformats.org/officeDocument/2006/relationships/image" Target="media/image136.wmf"/><Relationship Id="rId411" Type="http://schemas.openxmlformats.org/officeDocument/2006/relationships/oleObject" Target="embeddings/oleObject198.bin"/><Relationship Id="rId453" Type="http://schemas.openxmlformats.org/officeDocument/2006/relationships/image" Target="media/image215.wmf"/><Relationship Id="rId509" Type="http://schemas.openxmlformats.org/officeDocument/2006/relationships/oleObject" Target="embeddings/oleObject248.bin"/><Relationship Id="rId660" Type="http://schemas.openxmlformats.org/officeDocument/2006/relationships/image" Target="media/image315.wmf"/><Relationship Id="rId898" Type="http://schemas.openxmlformats.org/officeDocument/2006/relationships/image" Target="media/image433.wmf"/><Relationship Id="rId106" Type="http://schemas.openxmlformats.org/officeDocument/2006/relationships/oleObject" Target="embeddings/oleObject35.bin"/><Relationship Id="rId313" Type="http://schemas.openxmlformats.org/officeDocument/2006/relationships/oleObject" Target="embeddings/oleObject146.bin"/><Relationship Id="rId495" Type="http://schemas.openxmlformats.org/officeDocument/2006/relationships/image" Target="media/image236.wmf"/><Relationship Id="rId716" Type="http://schemas.openxmlformats.org/officeDocument/2006/relationships/oleObject" Target="embeddings/oleObject355.bin"/><Relationship Id="rId758" Type="http://schemas.openxmlformats.org/officeDocument/2006/relationships/oleObject" Target="embeddings/oleObject376.bin"/><Relationship Id="rId923" Type="http://schemas.openxmlformats.org/officeDocument/2006/relationships/oleObject" Target="embeddings/oleObject459.bin"/><Relationship Id="rId965" Type="http://schemas.microsoft.com/office/2014/relationships/chartEx" Target="charts/chartEx3.xml"/><Relationship Id="rId10" Type="http://schemas.openxmlformats.org/officeDocument/2006/relationships/footer" Target="footer1.xml"/><Relationship Id="rId52" Type="http://schemas.openxmlformats.org/officeDocument/2006/relationships/image" Target="media/image28.wmf"/><Relationship Id="rId94" Type="http://schemas.openxmlformats.org/officeDocument/2006/relationships/image" Target="media/image42.wmf"/><Relationship Id="rId148" Type="http://schemas.openxmlformats.org/officeDocument/2006/relationships/oleObject" Target="embeddings/oleObject59.bin"/><Relationship Id="rId355" Type="http://schemas.openxmlformats.org/officeDocument/2006/relationships/oleObject" Target="embeddings/oleObject168.bin"/><Relationship Id="rId397" Type="http://schemas.openxmlformats.org/officeDocument/2006/relationships/image" Target="media/image188.wmf"/><Relationship Id="rId520" Type="http://schemas.openxmlformats.org/officeDocument/2006/relationships/image" Target="media/image248.wmf"/><Relationship Id="rId562" Type="http://schemas.openxmlformats.org/officeDocument/2006/relationships/image" Target="media/image268.wmf"/><Relationship Id="rId618" Type="http://schemas.openxmlformats.org/officeDocument/2006/relationships/image" Target="media/image294.wmf"/><Relationship Id="rId825" Type="http://schemas.openxmlformats.org/officeDocument/2006/relationships/image" Target="media/image397.wmf"/><Relationship Id="rId215" Type="http://schemas.openxmlformats.org/officeDocument/2006/relationships/oleObject" Target="embeddings/oleObject96.bin"/><Relationship Id="rId257" Type="http://schemas.openxmlformats.org/officeDocument/2006/relationships/oleObject" Target="embeddings/oleObject118.bin"/><Relationship Id="rId422" Type="http://schemas.openxmlformats.org/officeDocument/2006/relationships/image" Target="media/image200.wmf"/><Relationship Id="rId464" Type="http://schemas.openxmlformats.org/officeDocument/2006/relationships/oleObject" Target="embeddings/oleObject225.bin"/><Relationship Id="rId867" Type="http://schemas.openxmlformats.org/officeDocument/2006/relationships/oleObject" Target="embeddings/oleObject431.bin"/><Relationship Id="rId299" Type="http://schemas.openxmlformats.org/officeDocument/2006/relationships/oleObject" Target="embeddings/oleObject139.bin"/><Relationship Id="rId727" Type="http://schemas.openxmlformats.org/officeDocument/2006/relationships/image" Target="media/image348.wmf"/><Relationship Id="rId934" Type="http://schemas.openxmlformats.org/officeDocument/2006/relationships/image" Target="media/image451.wmf"/><Relationship Id="rId63" Type="http://schemas.openxmlformats.org/officeDocument/2006/relationships/oleObject" Target="embeddings/oleObject8.bin"/><Relationship Id="rId159" Type="http://schemas.openxmlformats.org/officeDocument/2006/relationships/image" Target="media/image74.wmf"/><Relationship Id="rId366" Type="http://schemas.openxmlformats.org/officeDocument/2006/relationships/image" Target="media/image173.wmf"/><Relationship Id="rId573" Type="http://schemas.openxmlformats.org/officeDocument/2006/relationships/oleObject" Target="embeddings/oleObject281.bin"/><Relationship Id="rId780" Type="http://schemas.openxmlformats.org/officeDocument/2006/relationships/oleObject" Target="embeddings/oleObject387.bin"/><Relationship Id="rId226" Type="http://schemas.openxmlformats.org/officeDocument/2006/relationships/oleObject" Target="embeddings/oleObject102.bin"/><Relationship Id="rId433" Type="http://schemas.openxmlformats.org/officeDocument/2006/relationships/oleObject" Target="embeddings/oleObject209.bin"/><Relationship Id="rId878" Type="http://schemas.openxmlformats.org/officeDocument/2006/relationships/image" Target="media/image423.wmf"/><Relationship Id="rId640" Type="http://schemas.openxmlformats.org/officeDocument/2006/relationships/image" Target="media/image305.wmf"/><Relationship Id="rId738" Type="http://schemas.openxmlformats.org/officeDocument/2006/relationships/oleObject" Target="embeddings/oleObject366.bin"/><Relationship Id="rId945" Type="http://schemas.openxmlformats.org/officeDocument/2006/relationships/oleObject" Target="embeddings/oleObject470.bin"/><Relationship Id="rId74" Type="http://schemas.openxmlformats.org/officeDocument/2006/relationships/oleObject" Target="embeddings/oleObject19.bin"/><Relationship Id="rId377" Type="http://schemas.openxmlformats.org/officeDocument/2006/relationships/image" Target="media/image178.wmf"/><Relationship Id="rId500" Type="http://schemas.openxmlformats.org/officeDocument/2006/relationships/oleObject" Target="embeddings/oleObject243.bin"/><Relationship Id="rId584" Type="http://schemas.openxmlformats.org/officeDocument/2006/relationships/oleObject" Target="embeddings/oleObject287.bin"/><Relationship Id="rId805" Type="http://schemas.openxmlformats.org/officeDocument/2006/relationships/image" Target="media/image387.wmf"/><Relationship Id="rId5" Type="http://schemas.openxmlformats.org/officeDocument/2006/relationships/webSettings" Target="webSettings.xml"/><Relationship Id="rId237" Type="http://schemas.openxmlformats.org/officeDocument/2006/relationships/image" Target="media/image111.wmf"/><Relationship Id="rId791" Type="http://schemas.openxmlformats.org/officeDocument/2006/relationships/image" Target="media/image380.wmf"/><Relationship Id="rId889" Type="http://schemas.openxmlformats.org/officeDocument/2006/relationships/oleObject" Target="embeddings/oleObject442.bin"/><Relationship Id="rId444" Type="http://schemas.openxmlformats.org/officeDocument/2006/relationships/oleObject" Target="embeddings/oleObject215.bin"/><Relationship Id="rId651" Type="http://schemas.openxmlformats.org/officeDocument/2006/relationships/oleObject" Target="embeddings/oleObject322.bin"/><Relationship Id="rId749" Type="http://schemas.openxmlformats.org/officeDocument/2006/relationships/image" Target="media/image359.wmf"/><Relationship Id="rId290" Type="http://schemas.openxmlformats.org/officeDocument/2006/relationships/image" Target="media/image137.wmf"/><Relationship Id="rId304" Type="http://schemas.openxmlformats.org/officeDocument/2006/relationships/image" Target="media/image144.wmf"/><Relationship Id="rId388" Type="http://schemas.openxmlformats.org/officeDocument/2006/relationships/oleObject" Target="embeddings/oleObject186.bin"/><Relationship Id="rId511" Type="http://schemas.openxmlformats.org/officeDocument/2006/relationships/oleObject" Target="embeddings/oleObject249.bin"/><Relationship Id="rId609" Type="http://schemas.openxmlformats.org/officeDocument/2006/relationships/oleObject" Target="embeddings/oleObject301.bin"/><Relationship Id="rId956" Type="http://schemas.openxmlformats.org/officeDocument/2006/relationships/chart" Target="charts/chart3.xml"/><Relationship Id="rId85" Type="http://schemas.openxmlformats.org/officeDocument/2006/relationships/oleObject" Target="embeddings/oleObject30.bin"/><Relationship Id="rId150" Type="http://schemas.openxmlformats.org/officeDocument/2006/relationships/oleObject" Target="embeddings/oleObject61.bin"/><Relationship Id="rId595" Type="http://schemas.openxmlformats.org/officeDocument/2006/relationships/oleObject" Target="embeddings/oleObject293.bin"/><Relationship Id="rId816" Type="http://schemas.openxmlformats.org/officeDocument/2006/relationships/oleObject" Target="embeddings/oleObject405.bin"/><Relationship Id="rId248" Type="http://schemas.openxmlformats.org/officeDocument/2006/relationships/image" Target="media/image116.wmf"/><Relationship Id="rId455" Type="http://schemas.openxmlformats.org/officeDocument/2006/relationships/image" Target="media/image216.wmf"/><Relationship Id="rId662" Type="http://schemas.openxmlformats.org/officeDocument/2006/relationships/image" Target="media/image316.wmf"/><Relationship Id="rId12" Type="http://schemas.openxmlformats.org/officeDocument/2006/relationships/footer" Target="footer3.xml"/><Relationship Id="rId108" Type="http://schemas.openxmlformats.org/officeDocument/2006/relationships/oleObject" Target="embeddings/oleObject37.bin"/><Relationship Id="rId315" Type="http://schemas.openxmlformats.org/officeDocument/2006/relationships/oleObject" Target="embeddings/oleObject147.bin"/><Relationship Id="rId522" Type="http://schemas.openxmlformats.org/officeDocument/2006/relationships/image" Target="media/image249.wmf"/><Relationship Id="rId967" Type="http://schemas.openxmlformats.org/officeDocument/2006/relationships/image" Target="media/image462.wmf"/><Relationship Id="rId96" Type="http://schemas.openxmlformats.org/officeDocument/2006/relationships/image" Target="media/image44.wmf"/><Relationship Id="rId161" Type="http://schemas.openxmlformats.org/officeDocument/2006/relationships/image" Target="media/image76.wmf"/><Relationship Id="rId399" Type="http://schemas.openxmlformats.org/officeDocument/2006/relationships/image" Target="media/image189.wmf"/><Relationship Id="rId827" Type="http://schemas.openxmlformats.org/officeDocument/2006/relationships/image" Target="media/image398.wmf"/><Relationship Id="rId259" Type="http://schemas.openxmlformats.org/officeDocument/2006/relationships/oleObject" Target="embeddings/oleObject119.bin"/><Relationship Id="rId466" Type="http://schemas.openxmlformats.org/officeDocument/2006/relationships/oleObject" Target="embeddings/oleObject226.bin"/><Relationship Id="rId673" Type="http://schemas.openxmlformats.org/officeDocument/2006/relationships/image" Target="media/image321.wmf"/><Relationship Id="rId880" Type="http://schemas.openxmlformats.org/officeDocument/2006/relationships/image" Target="media/image424.wmf"/><Relationship Id="rId23" Type="http://schemas.openxmlformats.org/officeDocument/2006/relationships/image" Target="media/image4.wmf"/><Relationship Id="rId119" Type="http://schemas.openxmlformats.org/officeDocument/2006/relationships/oleObject" Target="embeddings/oleObject48.bin"/><Relationship Id="rId326" Type="http://schemas.openxmlformats.org/officeDocument/2006/relationships/image" Target="media/image155.wmf"/><Relationship Id="rId533" Type="http://schemas.openxmlformats.org/officeDocument/2006/relationships/image" Target="media/image254.wmf"/><Relationship Id="rId978" Type="http://schemas.openxmlformats.org/officeDocument/2006/relationships/oleObject" Target="embeddings/oleObject481.bin"/><Relationship Id="rId740" Type="http://schemas.openxmlformats.org/officeDocument/2006/relationships/oleObject" Target="embeddings/oleObject367.bin"/><Relationship Id="rId838" Type="http://schemas.openxmlformats.org/officeDocument/2006/relationships/oleObject" Target="embeddings/oleObject416.bin"/><Relationship Id="rId172" Type="http://schemas.openxmlformats.org/officeDocument/2006/relationships/image" Target="media/image87.wmf"/><Relationship Id="rId477" Type="http://schemas.openxmlformats.org/officeDocument/2006/relationships/image" Target="media/image227.wmf"/><Relationship Id="rId600" Type="http://schemas.openxmlformats.org/officeDocument/2006/relationships/oleObject" Target="embeddings/oleObject296.bin"/><Relationship Id="rId684" Type="http://schemas.openxmlformats.org/officeDocument/2006/relationships/oleObject" Target="embeddings/oleObject339.bin"/><Relationship Id="rId337" Type="http://schemas.openxmlformats.org/officeDocument/2006/relationships/oleObject" Target="embeddings/oleObject158.bin"/><Relationship Id="rId891" Type="http://schemas.openxmlformats.org/officeDocument/2006/relationships/oleObject" Target="embeddings/oleObject443.bin"/><Relationship Id="rId905" Type="http://schemas.openxmlformats.org/officeDocument/2006/relationships/oleObject" Target="embeddings/oleObject450.bin"/><Relationship Id="rId989" Type="http://schemas.openxmlformats.org/officeDocument/2006/relationships/image" Target="media/image473.wmf"/><Relationship Id="rId34" Type="http://schemas.openxmlformats.org/officeDocument/2006/relationships/image" Target="media/image10.emf"/><Relationship Id="rId544" Type="http://schemas.openxmlformats.org/officeDocument/2006/relationships/image" Target="media/image259.wmf"/><Relationship Id="rId751" Type="http://schemas.openxmlformats.org/officeDocument/2006/relationships/image" Target="media/image360.wmf"/><Relationship Id="rId849" Type="http://schemas.openxmlformats.org/officeDocument/2006/relationships/image" Target="media/image409.wmf"/><Relationship Id="rId183" Type="http://schemas.openxmlformats.org/officeDocument/2006/relationships/oleObject" Target="embeddings/oleObject77.bin"/><Relationship Id="rId390" Type="http://schemas.openxmlformats.org/officeDocument/2006/relationships/oleObject" Target="embeddings/oleObject187.bin"/><Relationship Id="rId404" Type="http://schemas.openxmlformats.org/officeDocument/2006/relationships/oleObject" Target="embeddings/oleObject194.bin"/><Relationship Id="rId611" Type="http://schemas.openxmlformats.org/officeDocument/2006/relationships/oleObject" Target="embeddings/oleObject302.bin"/><Relationship Id="rId250" Type="http://schemas.openxmlformats.org/officeDocument/2006/relationships/image" Target="media/image117.wmf"/><Relationship Id="rId488" Type="http://schemas.openxmlformats.org/officeDocument/2006/relationships/oleObject" Target="embeddings/oleObject237.bin"/><Relationship Id="rId695" Type="http://schemas.openxmlformats.org/officeDocument/2006/relationships/image" Target="media/image332.wmf"/><Relationship Id="rId709" Type="http://schemas.openxmlformats.org/officeDocument/2006/relationships/image" Target="media/image339.wmf"/><Relationship Id="rId916" Type="http://schemas.openxmlformats.org/officeDocument/2006/relationships/image" Target="media/image442.wmf"/><Relationship Id="rId45" Type="http://schemas.openxmlformats.org/officeDocument/2006/relationships/image" Target="media/image21.wmf"/><Relationship Id="rId110" Type="http://schemas.openxmlformats.org/officeDocument/2006/relationships/oleObject" Target="embeddings/oleObject39.bin"/><Relationship Id="rId348" Type="http://schemas.openxmlformats.org/officeDocument/2006/relationships/oleObject" Target="embeddings/oleObject164.bin"/><Relationship Id="rId555" Type="http://schemas.openxmlformats.org/officeDocument/2006/relationships/oleObject" Target="embeddings/oleObject272.bin"/><Relationship Id="rId762" Type="http://schemas.openxmlformats.org/officeDocument/2006/relationships/oleObject" Target="embeddings/oleObject378.bin"/><Relationship Id="rId194" Type="http://schemas.openxmlformats.org/officeDocument/2006/relationships/image" Target="media/image90.wmf"/><Relationship Id="rId208" Type="http://schemas.openxmlformats.org/officeDocument/2006/relationships/image" Target="media/image97.wmf"/><Relationship Id="rId415" Type="http://schemas.openxmlformats.org/officeDocument/2006/relationships/oleObject" Target="embeddings/oleObject200.bin"/><Relationship Id="rId622" Type="http://schemas.openxmlformats.org/officeDocument/2006/relationships/image" Target="media/image296.wmf"/><Relationship Id="rId261" Type="http://schemas.openxmlformats.org/officeDocument/2006/relationships/oleObject" Target="embeddings/oleObject120.bin"/><Relationship Id="rId499" Type="http://schemas.openxmlformats.org/officeDocument/2006/relationships/image" Target="media/image238.wmf"/><Relationship Id="rId927" Type="http://schemas.openxmlformats.org/officeDocument/2006/relationships/oleObject" Target="embeddings/oleObject461.bin"/><Relationship Id="rId56" Type="http://schemas.openxmlformats.org/officeDocument/2006/relationships/image" Target="media/image32.wmf"/><Relationship Id="rId359" Type="http://schemas.openxmlformats.org/officeDocument/2006/relationships/image" Target="media/image170.wmf"/><Relationship Id="rId566" Type="http://schemas.openxmlformats.org/officeDocument/2006/relationships/image" Target="media/image270.wmf"/><Relationship Id="rId773" Type="http://schemas.openxmlformats.org/officeDocument/2006/relationships/image" Target="media/image371.wmf"/><Relationship Id="rId121" Type="http://schemas.openxmlformats.org/officeDocument/2006/relationships/image" Target="media/image53.wmf"/><Relationship Id="rId219" Type="http://schemas.openxmlformats.org/officeDocument/2006/relationships/oleObject" Target="embeddings/oleObject98.bin"/><Relationship Id="rId426" Type="http://schemas.openxmlformats.org/officeDocument/2006/relationships/image" Target="media/image202.wmf"/><Relationship Id="rId633" Type="http://schemas.openxmlformats.org/officeDocument/2006/relationships/oleObject" Target="embeddings/oleObject313.bin"/><Relationship Id="rId980" Type="http://schemas.openxmlformats.org/officeDocument/2006/relationships/oleObject" Target="embeddings/oleObject482.bin"/><Relationship Id="rId840" Type="http://schemas.openxmlformats.org/officeDocument/2006/relationships/oleObject" Target="embeddings/oleObject417.bin"/><Relationship Id="rId938" Type="http://schemas.openxmlformats.org/officeDocument/2006/relationships/image" Target="media/image453.wmf"/><Relationship Id="rId67" Type="http://schemas.openxmlformats.org/officeDocument/2006/relationships/oleObject" Target="embeddings/oleObject12.bin"/><Relationship Id="rId272" Type="http://schemas.openxmlformats.org/officeDocument/2006/relationships/image" Target="media/image128.wmf"/><Relationship Id="rId577" Type="http://schemas.openxmlformats.org/officeDocument/2006/relationships/oleObject" Target="embeddings/oleObject283.bin"/><Relationship Id="rId700" Type="http://schemas.openxmlformats.org/officeDocument/2006/relationships/oleObject" Target="embeddings/oleObject347.bin"/><Relationship Id="rId132" Type="http://schemas.openxmlformats.org/officeDocument/2006/relationships/image" Target="media/image64.wmf"/><Relationship Id="rId784" Type="http://schemas.openxmlformats.org/officeDocument/2006/relationships/oleObject" Target="embeddings/oleObject389.bin"/><Relationship Id="rId991" Type="http://schemas.openxmlformats.org/officeDocument/2006/relationships/image" Target="media/image474.wmf"/><Relationship Id="rId437" Type="http://schemas.openxmlformats.org/officeDocument/2006/relationships/image" Target="media/image207.wmf"/><Relationship Id="rId644" Type="http://schemas.openxmlformats.org/officeDocument/2006/relationships/image" Target="media/image307.wmf"/><Relationship Id="rId851" Type="http://schemas.openxmlformats.org/officeDocument/2006/relationships/image" Target="media/image410.wmf"/><Relationship Id="rId283" Type="http://schemas.openxmlformats.org/officeDocument/2006/relationships/oleObject" Target="embeddings/oleObject131.bin"/><Relationship Id="rId490" Type="http://schemas.openxmlformats.org/officeDocument/2006/relationships/oleObject" Target="embeddings/oleObject238.bin"/><Relationship Id="rId504" Type="http://schemas.openxmlformats.org/officeDocument/2006/relationships/oleObject" Target="embeddings/oleObject245.bin"/><Relationship Id="rId711" Type="http://schemas.openxmlformats.org/officeDocument/2006/relationships/image" Target="media/image340.wmf"/><Relationship Id="rId949" Type="http://schemas.openxmlformats.org/officeDocument/2006/relationships/oleObject" Target="embeddings/oleObject472.bin"/><Relationship Id="rId78" Type="http://schemas.openxmlformats.org/officeDocument/2006/relationships/oleObject" Target="embeddings/oleObject23.bin"/><Relationship Id="rId143" Type="http://schemas.openxmlformats.org/officeDocument/2006/relationships/oleObject" Target="embeddings/oleObject54.bin"/><Relationship Id="rId350" Type="http://schemas.openxmlformats.org/officeDocument/2006/relationships/image" Target="media/image166.wmf"/><Relationship Id="rId588" Type="http://schemas.openxmlformats.org/officeDocument/2006/relationships/oleObject" Target="embeddings/oleObject289.bin"/><Relationship Id="rId795" Type="http://schemas.openxmlformats.org/officeDocument/2006/relationships/image" Target="media/image382.wmf"/><Relationship Id="rId809" Type="http://schemas.openxmlformats.org/officeDocument/2006/relationships/image" Target="media/image389.wmf"/><Relationship Id="rId9" Type="http://schemas.openxmlformats.org/officeDocument/2006/relationships/image" Target="media/image2.png"/><Relationship Id="rId210" Type="http://schemas.openxmlformats.org/officeDocument/2006/relationships/image" Target="media/image98.wmf"/><Relationship Id="rId448" Type="http://schemas.openxmlformats.org/officeDocument/2006/relationships/oleObject" Target="embeddings/oleObject217.bin"/><Relationship Id="rId655" Type="http://schemas.openxmlformats.org/officeDocument/2006/relationships/oleObject" Target="embeddings/oleObject324.bin"/><Relationship Id="rId862" Type="http://schemas.openxmlformats.org/officeDocument/2006/relationships/image" Target="media/image415.wmf"/><Relationship Id="rId294" Type="http://schemas.openxmlformats.org/officeDocument/2006/relationships/image" Target="media/image139.wmf"/><Relationship Id="rId308" Type="http://schemas.openxmlformats.org/officeDocument/2006/relationships/image" Target="media/image146.wmf"/><Relationship Id="rId515" Type="http://schemas.openxmlformats.org/officeDocument/2006/relationships/oleObject" Target="embeddings/oleObject251.bin"/><Relationship Id="rId722" Type="http://schemas.openxmlformats.org/officeDocument/2006/relationships/oleObject" Target="embeddings/oleObject358.bin"/><Relationship Id="rId89" Type="http://schemas.openxmlformats.org/officeDocument/2006/relationships/oleObject" Target="embeddings/oleObject32.bin"/><Relationship Id="rId154" Type="http://schemas.openxmlformats.org/officeDocument/2006/relationships/oleObject" Target="embeddings/oleObject65.bin"/><Relationship Id="rId361" Type="http://schemas.openxmlformats.org/officeDocument/2006/relationships/image" Target="media/image171.wmf"/><Relationship Id="rId599" Type="http://schemas.openxmlformats.org/officeDocument/2006/relationships/image" Target="media/image285.wmf"/><Relationship Id="rId459" Type="http://schemas.openxmlformats.org/officeDocument/2006/relationships/image" Target="media/image218.wmf"/><Relationship Id="rId666" Type="http://schemas.openxmlformats.org/officeDocument/2006/relationships/image" Target="media/image318.wmf"/><Relationship Id="rId873" Type="http://schemas.openxmlformats.org/officeDocument/2006/relationships/oleObject" Target="embeddings/oleObject434.bin"/><Relationship Id="rId16" Type="http://schemas.openxmlformats.org/officeDocument/2006/relationships/chart" Target="charts/chart2.xml"/><Relationship Id="rId221" Type="http://schemas.openxmlformats.org/officeDocument/2006/relationships/oleObject" Target="embeddings/oleObject99.bin"/><Relationship Id="rId319" Type="http://schemas.openxmlformats.org/officeDocument/2006/relationships/oleObject" Target="embeddings/oleObject149.bin"/><Relationship Id="rId526" Type="http://schemas.openxmlformats.org/officeDocument/2006/relationships/oleObject" Target="embeddings/oleObject257.bin"/><Relationship Id="rId733" Type="http://schemas.openxmlformats.org/officeDocument/2006/relationships/image" Target="media/image351.wmf"/><Relationship Id="rId940" Type="http://schemas.openxmlformats.org/officeDocument/2006/relationships/image" Target="media/image454.wmf"/><Relationship Id="rId165" Type="http://schemas.openxmlformats.org/officeDocument/2006/relationships/image" Target="media/image80.wmf"/><Relationship Id="rId372" Type="http://schemas.openxmlformats.org/officeDocument/2006/relationships/oleObject" Target="embeddings/oleObject178.bin"/><Relationship Id="rId677" Type="http://schemas.openxmlformats.org/officeDocument/2006/relationships/image" Target="media/image323.wmf"/><Relationship Id="rId800" Type="http://schemas.openxmlformats.org/officeDocument/2006/relationships/oleObject" Target="embeddings/oleObject397.bin"/><Relationship Id="rId232" Type="http://schemas.openxmlformats.org/officeDocument/2006/relationships/oleObject" Target="embeddings/oleObject105.bin"/><Relationship Id="rId884" Type="http://schemas.openxmlformats.org/officeDocument/2006/relationships/image" Target="media/image426.wmf"/></Relationships>
</file>

<file path=word/charts/_rels/chart1.xml.rels><?xml version="1.0" encoding="UTF-8" standalone="yes"?>
<Relationships xmlns="http://schemas.openxmlformats.org/package/2006/relationships"><Relationship Id="rId3" Type="http://schemas.openxmlformats.org/officeDocument/2006/relationships/oleObject" Target="https://d.docs.live.net/61c901455e5f235b/Documentos/Tesis_Word/graph.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https://d.docs.live.net/61c901455e5f235b/Documentos/Tesis_Word/graph.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Marlon\Desktop\Resultados.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oleObject" Target="file:///C:\Users\Marlon\Desktop\Resultados.xlsx" TargetMode="External"/></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package" Target="../embeddings/Microsoft_Excel_Worksheet.xlsx"/></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8.xml"/><Relationship Id="rId1" Type="http://schemas.microsoft.com/office/2011/relationships/chartStyle" Target="style8.xml"/><Relationship Id="rId4" Type="http://schemas.openxmlformats.org/officeDocument/2006/relationships/package" Target="../embeddings/Microsoft_Excel_Worksheet1.xlsx"/></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9.xml"/><Relationship Id="rId1" Type="http://schemas.microsoft.com/office/2011/relationships/chartStyle" Target="style9.xml"/><Relationship Id="rId4" Type="http://schemas.openxmlformats.org/officeDocument/2006/relationships/package" Target="../embeddings/Microsoft_Excel_Worksheet2.xlsx"/></Relationships>
</file>

<file path=word/charts/_rels/chartEx1.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oleObject" Target="file:///C:\Users\Marlon\Desktop\Resultados.xlsx" TargetMode="External"/></Relationships>
</file>

<file path=word/charts/_rels/chartEx2.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oleObject" Target="file:///C:\Users\Marlon\Desktop\Resultados.xlsx" TargetMode="External"/><Relationship Id="rId4" Type="http://schemas.openxmlformats.org/officeDocument/2006/relationships/themeOverride" Target="../theme/themeOverride2.xml"/></Relationships>
</file>

<file path=word/charts/_rels/chartEx3.xml.rels><?xml version="1.0" encoding="UTF-8" standalone="yes"?>
<Relationships xmlns="http://schemas.openxmlformats.org/package/2006/relationships"><Relationship Id="rId3" Type="http://schemas.microsoft.com/office/2011/relationships/chartColorStyle" Target="colors10.xml"/><Relationship Id="rId2" Type="http://schemas.microsoft.com/office/2011/relationships/chartStyle" Target="style10.xml"/><Relationship Id="rId1" Type="http://schemas.openxmlformats.org/officeDocument/2006/relationships/oleObject" Target="file:///C:\Users\Marlon\Desktop\Resultados.xlsx" TargetMode="External"/><Relationship Id="rId4" Type="http://schemas.openxmlformats.org/officeDocument/2006/relationships/themeOverride" Target="../theme/themeOverride6.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Sheet4!$B$1</c:f>
              <c:strCache>
                <c:ptCount val="1"/>
                <c:pt idx="0">
                  <c:v>Déficit/Superávit  Financiero</c:v>
                </c:pt>
              </c:strCache>
            </c:strRef>
          </c:tx>
          <c:spPr>
            <a:ln w="28575" cap="rnd">
              <a:solidFill>
                <a:srgbClr val="70AD47"/>
              </a:solidFill>
              <a:round/>
            </a:ln>
            <a:effectLst/>
          </c:spPr>
          <c:marker>
            <c:symbol val="diamond"/>
            <c:size val="4"/>
            <c:spPr>
              <a:solidFill>
                <a:srgbClr val="70AD47"/>
              </a:solidFill>
              <a:ln w="9525">
                <a:solidFill>
                  <a:srgbClr val="70AD47"/>
                </a:solidFill>
              </a:ln>
              <a:effectLst/>
            </c:spPr>
          </c:marker>
          <c:cat>
            <c:numRef>
              <c:f>Sheet4!$A$2:$A$28</c:f>
              <c:numCache>
                <c:formatCode>General</c:formatCode>
                <c:ptCount val="27"/>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pt idx="20">
                  <c:v>2011</c:v>
                </c:pt>
                <c:pt idx="21">
                  <c:v>2012</c:v>
                </c:pt>
                <c:pt idx="22">
                  <c:v>2013</c:v>
                </c:pt>
                <c:pt idx="23">
                  <c:v>2014</c:v>
                </c:pt>
                <c:pt idx="24">
                  <c:v>2015</c:v>
                </c:pt>
                <c:pt idx="25">
                  <c:v>2016</c:v>
                </c:pt>
                <c:pt idx="26">
                  <c:v>2017</c:v>
                </c:pt>
              </c:numCache>
            </c:numRef>
          </c:cat>
          <c:val>
            <c:numRef>
              <c:f>Sheet4!$B$2:$B$28</c:f>
              <c:numCache>
                <c:formatCode>0.00%</c:formatCode>
                <c:ptCount val="27"/>
                <c:pt idx="0">
                  <c:v>-2.4196746912300907E-2</c:v>
                </c:pt>
                <c:pt idx="1">
                  <c:v>-1.519941325202042E-2</c:v>
                </c:pt>
                <c:pt idx="2">
                  <c:v>-1.5298165389515461E-2</c:v>
                </c:pt>
                <c:pt idx="3">
                  <c:v>-5.4899036851426178E-2</c:v>
                </c:pt>
                <c:pt idx="4">
                  <c:v>-3.5363810856556925E-2</c:v>
                </c:pt>
                <c:pt idx="5">
                  <c:v>-4.1174907532219307E-2</c:v>
                </c:pt>
                <c:pt idx="6">
                  <c:v>-3.0134930661970927E-2</c:v>
                </c:pt>
                <c:pt idx="7">
                  <c:v>-2.5478516177296791E-2</c:v>
                </c:pt>
                <c:pt idx="8">
                  <c:v>-2.4621614497683762E-2</c:v>
                </c:pt>
                <c:pt idx="9">
                  <c:v>-3.181218943639897E-2</c:v>
                </c:pt>
                <c:pt idx="10">
                  <c:v>-2.99437529187992E-2</c:v>
                </c:pt>
                <c:pt idx="11">
                  <c:v>-4.3664282492518393E-2</c:v>
                </c:pt>
                <c:pt idx="12">
                  <c:v>-2.9143249489867219E-2</c:v>
                </c:pt>
                <c:pt idx="13">
                  <c:v>-2.7379423888066606E-2</c:v>
                </c:pt>
                <c:pt idx="14">
                  <c:v>-2.1001584683107852E-2</c:v>
                </c:pt>
                <c:pt idx="15">
                  <c:v>-1.047607411377964E-2</c:v>
                </c:pt>
                <c:pt idx="16">
                  <c:v>5.61390753185764E-3</c:v>
                </c:pt>
                <c:pt idx="17">
                  <c:v>1.8373429990480154E-3</c:v>
                </c:pt>
                <c:pt idx="18">
                  <c:v>-3.270583117348444E-2</c:v>
                </c:pt>
                <c:pt idx="19">
                  <c:v>-5.0079138682940949E-2</c:v>
                </c:pt>
                <c:pt idx="20">
                  <c:v>-3.9557152320564899E-2</c:v>
                </c:pt>
                <c:pt idx="21">
                  <c:v>-4.2838280079863372E-2</c:v>
                </c:pt>
                <c:pt idx="22">
                  <c:v>-5.3698028812054835E-2</c:v>
                </c:pt>
                <c:pt idx="23">
                  <c:v>-5.6084197231799277E-2</c:v>
                </c:pt>
                <c:pt idx="24">
                  <c:v>-5.6901837828110008E-2</c:v>
                </c:pt>
                <c:pt idx="25">
                  <c:v>-5.2600982669981068E-2</c:v>
                </c:pt>
                <c:pt idx="26">
                  <c:v>-6.1866481122448178E-2</c:v>
                </c:pt>
              </c:numCache>
            </c:numRef>
          </c:val>
          <c:smooth val="0"/>
          <c:extLst>
            <c:ext xmlns:c16="http://schemas.microsoft.com/office/drawing/2014/chart" uri="{C3380CC4-5D6E-409C-BE32-E72D297353CC}">
              <c16:uniqueId val="{00000000-AB59-4D75-8744-4DF2F4A50EDD}"/>
            </c:ext>
          </c:extLst>
        </c:ser>
        <c:ser>
          <c:idx val="1"/>
          <c:order val="1"/>
          <c:tx>
            <c:strRef>
              <c:f>Sheet4!$C$1</c:f>
              <c:strCache>
                <c:ptCount val="1"/>
                <c:pt idx="0">
                  <c:v>Ingresos Totales</c:v>
                </c:pt>
              </c:strCache>
            </c:strRef>
          </c:tx>
          <c:spPr>
            <a:ln w="28575" cap="rnd">
              <a:solidFill>
                <a:srgbClr val="2C3E50"/>
              </a:solidFill>
              <a:round/>
            </a:ln>
            <a:effectLst/>
          </c:spPr>
          <c:marker>
            <c:symbol val="circle"/>
            <c:size val="5"/>
            <c:spPr>
              <a:solidFill>
                <a:srgbClr val="2C3E50"/>
              </a:solidFill>
              <a:ln w="9525">
                <a:solidFill>
                  <a:srgbClr val="2C3E50"/>
                </a:solidFill>
              </a:ln>
              <a:effectLst/>
            </c:spPr>
          </c:marker>
          <c:cat>
            <c:numRef>
              <c:f>Sheet4!$A$2:$A$28</c:f>
              <c:numCache>
                <c:formatCode>General</c:formatCode>
                <c:ptCount val="27"/>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pt idx="20">
                  <c:v>2011</c:v>
                </c:pt>
                <c:pt idx="21">
                  <c:v>2012</c:v>
                </c:pt>
                <c:pt idx="22">
                  <c:v>2013</c:v>
                </c:pt>
                <c:pt idx="23">
                  <c:v>2014</c:v>
                </c:pt>
                <c:pt idx="24">
                  <c:v>2015</c:v>
                </c:pt>
                <c:pt idx="25">
                  <c:v>2016</c:v>
                </c:pt>
                <c:pt idx="26">
                  <c:v>2017</c:v>
                </c:pt>
              </c:numCache>
            </c:numRef>
          </c:cat>
          <c:val>
            <c:numRef>
              <c:f>Sheet4!$C$2:$C$28</c:f>
              <c:numCache>
                <c:formatCode>0.00%</c:formatCode>
                <c:ptCount val="27"/>
                <c:pt idx="0">
                  <c:v>0.11638364671413949</c:v>
                </c:pt>
                <c:pt idx="1">
                  <c:v>0.1228261830241843</c:v>
                </c:pt>
                <c:pt idx="2">
                  <c:v>0.12353110174098823</c:v>
                </c:pt>
                <c:pt idx="3">
                  <c:v>0.12022332808718417</c:v>
                </c:pt>
                <c:pt idx="4">
                  <c:v>0.12790323068971782</c:v>
                </c:pt>
                <c:pt idx="5">
                  <c:v>0.1303230263753925</c:v>
                </c:pt>
                <c:pt idx="6">
                  <c:v>0.12929801022357937</c:v>
                </c:pt>
                <c:pt idx="7">
                  <c:v>0.13125916937194129</c:v>
                </c:pt>
                <c:pt idx="8">
                  <c:v>0.13888307235335293</c:v>
                </c:pt>
                <c:pt idx="9">
                  <c:v>0.13242875411753091</c:v>
                </c:pt>
                <c:pt idx="10">
                  <c:v>0.13864018439158954</c:v>
                </c:pt>
                <c:pt idx="11">
                  <c:v>0.13619048522149563</c:v>
                </c:pt>
                <c:pt idx="12">
                  <c:v>0.14197255877264892</c:v>
                </c:pt>
                <c:pt idx="13">
                  <c:v>0.13650875977923785</c:v>
                </c:pt>
                <c:pt idx="14">
                  <c:v>0.13861343626512829</c:v>
                </c:pt>
                <c:pt idx="15">
                  <c:v>0.14177946388506155</c:v>
                </c:pt>
                <c:pt idx="16">
                  <c:v>0.15233372964448011</c:v>
                </c:pt>
                <c:pt idx="17">
                  <c:v>0.15456800609624705</c:v>
                </c:pt>
                <c:pt idx="18">
                  <c:v>0.13488162760724967</c:v>
                </c:pt>
                <c:pt idx="19">
                  <c:v>0.13998004816752793</c:v>
                </c:pt>
                <c:pt idx="20">
                  <c:v>0.14152201494432376</c:v>
                </c:pt>
                <c:pt idx="21">
                  <c:v>0.14009859643944744</c:v>
                </c:pt>
                <c:pt idx="22">
                  <c:v>0.14228404732795308</c:v>
                </c:pt>
                <c:pt idx="23">
                  <c:v>0.13956719044733673</c:v>
                </c:pt>
                <c:pt idx="24">
                  <c:v>0.14278353945880057</c:v>
                </c:pt>
                <c:pt idx="25">
                  <c:v>0.14714751444118332</c:v>
                </c:pt>
                <c:pt idx="26">
                  <c:v>0.14518204006085289</c:v>
                </c:pt>
              </c:numCache>
            </c:numRef>
          </c:val>
          <c:smooth val="0"/>
          <c:extLst>
            <c:ext xmlns:c16="http://schemas.microsoft.com/office/drawing/2014/chart" uri="{C3380CC4-5D6E-409C-BE32-E72D297353CC}">
              <c16:uniqueId val="{00000001-AB59-4D75-8744-4DF2F4A50EDD}"/>
            </c:ext>
          </c:extLst>
        </c:ser>
        <c:ser>
          <c:idx val="2"/>
          <c:order val="2"/>
          <c:tx>
            <c:strRef>
              <c:f>Sheet4!$D$1</c:f>
              <c:strCache>
                <c:ptCount val="1"/>
                <c:pt idx="0">
                  <c:v>Gastos Totales</c:v>
                </c:pt>
              </c:strCache>
            </c:strRef>
          </c:tx>
          <c:spPr>
            <a:ln w="28575" cap="rnd">
              <a:solidFill>
                <a:srgbClr val="C00000"/>
              </a:solidFill>
              <a:round/>
            </a:ln>
            <a:effectLst/>
          </c:spPr>
          <c:marker>
            <c:symbol val="square"/>
            <c:size val="4"/>
            <c:spPr>
              <a:solidFill>
                <a:srgbClr val="C00000"/>
              </a:solidFill>
              <a:ln w="9525">
                <a:solidFill>
                  <a:srgbClr val="C00000"/>
                </a:solidFill>
              </a:ln>
              <a:effectLst/>
            </c:spPr>
          </c:marker>
          <c:cat>
            <c:numRef>
              <c:f>Sheet4!$A$2:$A$28</c:f>
              <c:numCache>
                <c:formatCode>General</c:formatCode>
                <c:ptCount val="27"/>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pt idx="20">
                  <c:v>2011</c:v>
                </c:pt>
                <c:pt idx="21">
                  <c:v>2012</c:v>
                </c:pt>
                <c:pt idx="22">
                  <c:v>2013</c:v>
                </c:pt>
                <c:pt idx="23">
                  <c:v>2014</c:v>
                </c:pt>
                <c:pt idx="24">
                  <c:v>2015</c:v>
                </c:pt>
                <c:pt idx="25">
                  <c:v>2016</c:v>
                </c:pt>
                <c:pt idx="26">
                  <c:v>2017</c:v>
                </c:pt>
              </c:numCache>
            </c:numRef>
          </c:cat>
          <c:val>
            <c:numRef>
              <c:f>Sheet4!$D$2:$D$28</c:f>
              <c:numCache>
                <c:formatCode>0.00%</c:formatCode>
                <c:ptCount val="27"/>
                <c:pt idx="0">
                  <c:v>0.1405803936264404</c:v>
                </c:pt>
                <c:pt idx="1">
                  <c:v>0.13802559627620473</c:v>
                </c:pt>
                <c:pt idx="2">
                  <c:v>0.1388292671305037</c:v>
                </c:pt>
                <c:pt idx="3">
                  <c:v>0.17512236493861033</c:v>
                </c:pt>
                <c:pt idx="4">
                  <c:v>0.16326704154627475</c:v>
                </c:pt>
                <c:pt idx="5">
                  <c:v>0.17149793390761181</c:v>
                </c:pt>
                <c:pt idx="6">
                  <c:v>0.15943294088555029</c:v>
                </c:pt>
                <c:pt idx="7">
                  <c:v>0.15673768554923809</c:v>
                </c:pt>
                <c:pt idx="8">
                  <c:v>0.16350468685103667</c:v>
                </c:pt>
                <c:pt idx="9">
                  <c:v>0.16523936108997636</c:v>
                </c:pt>
                <c:pt idx="10">
                  <c:v>0.16858393731038873</c:v>
                </c:pt>
                <c:pt idx="11">
                  <c:v>0.17985476771401401</c:v>
                </c:pt>
                <c:pt idx="12">
                  <c:v>0.17111580826251616</c:v>
                </c:pt>
                <c:pt idx="13">
                  <c:v>0.16388818366730445</c:v>
                </c:pt>
                <c:pt idx="14">
                  <c:v>0.1596150209482361</c:v>
                </c:pt>
                <c:pt idx="15">
                  <c:v>0.15225553799884117</c:v>
                </c:pt>
                <c:pt idx="16">
                  <c:v>0.14671982211262247</c:v>
                </c:pt>
                <c:pt idx="17">
                  <c:v>0.14870172373824572</c:v>
                </c:pt>
                <c:pt idx="18">
                  <c:v>0.16758745878073408</c:v>
                </c:pt>
                <c:pt idx="19">
                  <c:v>0.19005918685046888</c:v>
                </c:pt>
                <c:pt idx="20">
                  <c:v>0.18107916726488868</c:v>
                </c:pt>
                <c:pt idx="21">
                  <c:v>0.18293687651931081</c:v>
                </c:pt>
                <c:pt idx="22">
                  <c:v>0.1959820761400079</c:v>
                </c:pt>
                <c:pt idx="23">
                  <c:v>0.19565138767913601</c:v>
                </c:pt>
                <c:pt idx="24">
                  <c:v>0.19968537728691058</c:v>
                </c:pt>
                <c:pt idx="25">
                  <c:v>0.19974849711116438</c:v>
                </c:pt>
                <c:pt idx="26">
                  <c:v>0.20704852118330105</c:v>
                </c:pt>
              </c:numCache>
            </c:numRef>
          </c:val>
          <c:smooth val="0"/>
          <c:extLst>
            <c:ext xmlns:c16="http://schemas.microsoft.com/office/drawing/2014/chart" uri="{C3380CC4-5D6E-409C-BE32-E72D297353CC}">
              <c16:uniqueId val="{00000002-AB59-4D75-8744-4DF2F4A50EDD}"/>
            </c:ext>
          </c:extLst>
        </c:ser>
        <c:dLbls>
          <c:showLegendKey val="0"/>
          <c:showVal val="0"/>
          <c:showCatName val="0"/>
          <c:showSerName val="0"/>
          <c:showPercent val="0"/>
          <c:showBubbleSize val="0"/>
        </c:dLbls>
        <c:marker val="1"/>
        <c:smooth val="0"/>
        <c:axId val="1468312335"/>
        <c:axId val="153311312"/>
      </c:lineChart>
      <c:catAx>
        <c:axId val="1468312335"/>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Año</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out"/>
        <c:tickLblPos val="low"/>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3311312"/>
        <c:crosses val="autoZero"/>
        <c:auto val="1"/>
        <c:lblAlgn val="ctr"/>
        <c:lblOffset val="100"/>
        <c:noMultiLvlLbl val="0"/>
      </c:catAx>
      <c:valAx>
        <c:axId val="153311312"/>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Porcentaje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 sourceLinked="0"/>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6831233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areaChart>
        <c:grouping val="stacked"/>
        <c:varyColors val="0"/>
        <c:ser>
          <c:idx val="0"/>
          <c:order val="0"/>
          <c:tx>
            <c:strRef>
              <c:f>Sheet5!$M$2</c:f>
              <c:strCache>
                <c:ptCount val="1"/>
                <c:pt idx="0">
                  <c:v>Impuesto a los ingresos y utilidades</c:v>
                </c:pt>
              </c:strCache>
            </c:strRef>
          </c:tx>
          <c:spPr>
            <a:solidFill>
              <a:srgbClr val="004358">
                <a:alpha val="80000"/>
              </a:srgbClr>
            </a:solidFill>
            <a:ln>
              <a:noFill/>
            </a:ln>
            <a:effectLst/>
          </c:spPr>
          <c:cat>
            <c:numRef>
              <c:f>Sheet5!$L$3:$L$13</c:f>
              <c:numCache>
                <c:formatCode>General</c:formatCode>
                <c:ptCount val="11"/>
                <c:pt idx="0">
                  <c:v>2017</c:v>
                </c:pt>
                <c:pt idx="1">
                  <c:v>2016</c:v>
                </c:pt>
                <c:pt idx="2">
                  <c:v>2015</c:v>
                </c:pt>
                <c:pt idx="3">
                  <c:v>2014</c:v>
                </c:pt>
                <c:pt idx="4">
                  <c:v>2013</c:v>
                </c:pt>
                <c:pt idx="5">
                  <c:v>2012</c:v>
                </c:pt>
                <c:pt idx="6">
                  <c:v>2011</c:v>
                </c:pt>
                <c:pt idx="7">
                  <c:v>2010</c:v>
                </c:pt>
                <c:pt idx="8">
                  <c:v>2009</c:v>
                </c:pt>
                <c:pt idx="9">
                  <c:v>2008</c:v>
                </c:pt>
                <c:pt idx="10">
                  <c:v>2007</c:v>
                </c:pt>
              </c:numCache>
            </c:numRef>
          </c:cat>
          <c:val>
            <c:numRef>
              <c:f>Sheet5!$M$3:$M$13</c:f>
              <c:numCache>
                <c:formatCode>0.00%</c:formatCode>
                <c:ptCount val="11"/>
                <c:pt idx="0">
                  <c:v>4.7815095675194277E-2</c:v>
                </c:pt>
                <c:pt idx="1">
                  <c:v>4.5619476703969826E-2</c:v>
                </c:pt>
                <c:pt idx="2">
                  <c:v>4.2597350417401612E-2</c:v>
                </c:pt>
                <c:pt idx="3">
                  <c:v>4.0087954985122465E-2</c:v>
                </c:pt>
                <c:pt idx="4">
                  <c:v>4.0804533576826868E-2</c:v>
                </c:pt>
                <c:pt idx="5">
                  <c:v>3.8152107172418591E-2</c:v>
                </c:pt>
                <c:pt idx="6">
                  <c:v>3.8776972260694771E-2</c:v>
                </c:pt>
                <c:pt idx="7">
                  <c:v>3.8174006226329042E-2</c:v>
                </c:pt>
                <c:pt idx="8">
                  <c:v>3.923399724753758E-2</c:v>
                </c:pt>
                <c:pt idx="9">
                  <c:v>4.2783441057460701E-2</c:v>
                </c:pt>
                <c:pt idx="10">
                  <c:v>3.8472660104565487E-2</c:v>
                </c:pt>
              </c:numCache>
            </c:numRef>
          </c:val>
          <c:extLst>
            <c:ext xmlns:c16="http://schemas.microsoft.com/office/drawing/2014/chart" uri="{C3380CC4-5D6E-409C-BE32-E72D297353CC}">
              <c16:uniqueId val="{00000000-E9A9-4B20-962B-1C6A5A4E2C6E}"/>
            </c:ext>
          </c:extLst>
        </c:ser>
        <c:ser>
          <c:idx val="1"/>
          <c:order val="1"/>
          <c:tx>
            <c:strRef>
              <c:f>Sheet5!$N$2</c:f>
              <c:strCache>
                <c:ptCount val="1"/>
                <c:pt idx="0">
                  <c:v>Impuesto a las importaciones</c:v>
                </c:pt>
              </c:strCache>
            </c:strRef>
          </c:tx>
          <c:spPr>
            <a:solidFill>
              <a:srgbClr val="1F8A70">
                <a:alpha val="80000"/>
              </a:srgbClr>
            </a:solidFill>
            <a:ln>
              <a:noFill/>
            </a:ln>
            <a:effectLst/>
          </c:spPr>
          <c:cat>
            <c:numRef>
              <c:f>Sheet5!$L$3:$L$13</c:f>
              <c:numCache>
                <c:formatCode>General</c:formatCode>
                <c:ptCount val="11"/>
                <c:pt idx="0">
                  <c:v>2017</c:v>
                </c:pt>
                <c:pt idx="1">
                  <c:v>2016</c:v>
                </c:pt>
                <c:pt idx="2">
                  <c:v>2015</c:v>
                </c:pt>
                <c:pt idx="3">
                  <c:v>2014</c:v>
                </c:pt>
                <c:pt idx="4">
                  <c:v>2013</c:v>
                </c:pt>
                <c:pt idx="5">
                  <c:v>2012</c:v>
                </c:pt>
                <c:pt idx="6">
                  <c:v>2011</c:v>
                </c:pt>
                <c:pt idx="7">
                  <c:v>2010</c:v>
                </c:pt>
                <c:pt idx="8">
                  <c:v>2009</c:v>
                </c:pt>
                <c:pt idx="9">
                  <c:v>2008</c:v>
                </c:pt>
                <c:pt idx="10">
                  <c:v>2007</c:v>
                </c:pt>
              </c:numCache>
            </c:numRef>
          </c:cat>
          <c:val>
            <c:numRef>
              <c:f>Sheet5!$N$3:$N$13</c:f>
              <c:numCache>
                <c:formatCode>0.00%</c:formatCode>
                <c:ptCount val="11"/>
                <c:pt idx="0">
                  <c:v>5.4849931015043358E-3</c:v>
                </c:pt>
                <c:pt idx="1">
                  <c:v>5.9767883558465539E-3</c:v>
                </c:pt>
                <c:pt idx="2">
                  <c:v>5.9617502692331827E-3</c:v>
                </c:pt>
                <c:pt idx="3">
                  <c:v>6.2115026102873543E-3</c:v>
                </c:pt>
                <c:pt idx="4">
                  <c:v>6.2176270860901106E-3</c:v>
                </c:pt>
                <c:pt idx="5">
                  <c:v>6.5154131845755617E-3</c:v>
                </c:pt>
                <c:pt idx="6">
                  <c:v>6.8556534432474255E-3</c:v>
                </c:pt>
                <c:pt idx="7">
                  <c:v>6.4364357609388318E-3</c:v>
                </c:pt>
                <c:pt idx="8">
                  <c:v>6.6922974143354512E-3</c:v>
                </c:pt>
                <c:pt idx="9">
                  <c:v>9.7343149962514745E-3</c:v>
                </c:pt>
                <c:pt idx="10">
                  <c:v>9.7403435293761161E-3</c:v>
                </c:pt>
              </c:numCache>
            </c:numRef>
          </c:val>
          <c:extLst>
            <c:ext xmlns:c16="http://schemas.microsoft.com/office/drawing/2014/chart" uri="{C3380CC4-5D6E-409C-BE32-E72D297353CC}">
              <c16:uniqueId val="{00000001-E9A9-4B20-962B-1C6A5A4E2C6E}"/>
            </c:ext>
          </c:extLst>
        </c:ser>
        <c:ser>
          <c:idx val="2"/>
          <c:order val="2"/>
          <c:tx>
            <c:strRef>
              <c:f>Sheet5!$O$2</c:f>
              <c:strCache>
                <c:ptCount val="1"/>
                <c:pt idx="0">
                  <c:v>Impuesto a las exportaciones</c:v>
                </c:pt>
              </c:strCache>
            </c:strRef>
          </c:tx>
          <c:spPr>
            <a:solidFill>
              <a:schemeClr val="accent3"/>
            </a:solidFill>
            <a:ln>
              <a:noFill/>
            </a:ln>
            <a:effectLst/>
          </c:spPr>
          <c:cat>
            <c:numRef>
              <c:f>Sheet5!$L$3:$L$13</c:f>
              <c:numCache>
                <c:formatCode>General</c:formatCode>
                <c:ptCount val="11"/>
                <c:pt idx="0">
                  <c:v>2017</c:v>
                </c:pt>
                <c:pt idx="1">
                  <c:v>2016</c:v>
                </c:pt>
                <c:pt idx="2">
                  <c:v>2015</c:v>
                </c:pt>
                <c:pt idx="3">
                  <c:v>2014</c:v>
                </c:pt>
                <c:pt idx="4">
                  <c:v>2013</c:v>
                </c:pt>
                <c:pt idx="5">
                  <c:v>2012</c:v>
                </c:pt>
                <c:pt idx="6">
                  <c:v>2011</c:v>
                </c:pt>
                <c:pt idx="7">
                  <c:v>2010</c:v>
                </c:pt>
                <c:pt idx="8">
                  <c:v>2009</c:v>
                </c:pt>
                <c:pt idx="9">
                  <c:v>2008</c:v>
                </c:pt>
                <c:pt idx="10">
                  <c:v>2007</c:v>
                </c:pt>
              </c:numCache>
            </c:numRef>
          </c:cat>
          <c:val>
            <c:numRef>
              <c:f>Sheet5!$O$3:$O$13</c:f>
              <c:numCache>
                <c:formatCode>0.00%</c:formatCode>
                <c:ptCount val="11"/>
                <c:pt idx="0">
                  <c:v>1.7259632555175519E-4</c:v>
                </c:pt>
                <c:pt idx="1">
                  <c:v>1.6340427968928703E-4</c:v>
                </c:pt>
                <c:pt idx="2">
                  <c:v>1.5258845167169361E-4</c:v>
                </c:pt>
                <c:pt idx="3">
                  <c:v>1.7825317265888165E-4</c:v>
                </c:pt>
                <c:pt idx="4">
                  <c:v>1.9615211877265323E-4</c:v>
                </c:pt>
                <c:pt idx="5">
                  <c:v>1.6360116982220885E-4</c:v>
                </c:pt>
                <c:pt idx="6">
                  <c:v>1.8672380846087449E-4</c:v>
                </c:pt>
                <c:pt idx="7">
                  <c:v>2.0272784523015305E-4</c:v>
                </c:pt>
                <c:pt idx="8">
                  <c:v>2.6695183693389185E-4</c:v>
                </c:pt>
                <c:pt idx="9">
                  <c:v>2.8972804326640142E-4</c:v>
                </c:pt>
                <c:pt idx="10">
                  <c:v>1.7603020389118159E-4</c:v>
                </c:pt>
              </c:numCache>
            </c:numRef>
          </c:val>
          <c:extLst>
            <c:ext xmlns:c16="http://schemas.microsoft.com/office/drawing/2014/chart" uri="{C3380CC4-5D6E-409C-BE32-E72D297353CC}">
              <c16:uniqueId val="{00000002-E9A9-4B20-962B-1C6A5A4E2C6E}"/>
            </c:ext>
          </c:extLst>
        </c:ser>
        <c:ser>
          <c:idx val="3"/>
          <c:order val="3"/>
          <c:tx>
            <c:strRef>
              <c:f>Sheet5!$P$2</c:f>
              <c:strCache>
                <c:ptCount val="1"/>
                <c:pt idx="0">
                  <c:v>Ventas</c:v>
                </c:pt>
              </c:strCache>
            </c:strRef>
          </c:tx>
          <c:spPr>
            <a:solidFill>
              <a:srgbClr val="BEDB39">
                <a:alpha val="80000"/>
              </a:srgbClr>
            </a:solidFill>
            <a:ln>
              <a:noFill/>
            </a:ln>
            <a:effectLst/>
          </c:spPr>
          <c:cat>
            <c:numRef>
              <c:f>Sheet5!$L$3:$L$13</c:f>
              <c:numCache>
                <c:formatCode>General</c:formatCode>
                <c:ptCount val="11"/>
                <c:pt idx="0">
                  <c:v>2017</c:v>
                </c:pt>
                <c:pt idx="1">
                  <c:v>2016</c:v>
                </c:pt>
                <c:pt idx="2">
                  <c:v>2015</c:v>
                </c:pt>
                <c:pt idx="3">
                  <c:v>2014</c:v>
                </c:pt>
                <c:pt idx="4">
                  <c:v>2013</c:v>
                </c:pt>
                <c:pt idx="5">
                  <c:v>2012</c:v>
                </c:pt>
                <c:pt idx="6">
                  <c:v>2011</c:v>
                </c:pt>
                <c:pt idx="7">
                  <c:v>2010</c:v>
                </c:pt>
                <c:pt idx="8">
                  <c:v>2009</c:v>
                </c:pt>
                <c:pt idx="9">
                  <c:v>2008</c:v>
                </c:pt>
                <c:pt idx="10">
                  <c:v>2007</c:v>
                </c:pt>
              </c:numCache>
            </c:numRef>
          </c:cat>
          <c:val>
            <c:numRef>
              <c:f>Sheet5!$P$3:$P$13</c:f>
              <c:numCache>
                <c:formatCode>0.00%</c:formatCode>
                <c:ptCount val="11"/>
                <c:pt idx="0">
                  <c:v>4.4487400005579013E-2</c:v>
                </c:pt>
                <c:pt idx="1">
                  <c:v>4.5559577140028992E-2</c:v>
                </c:pt>
                <c:pt idx="2">
                  <c:v>4.5628848963709626E-2</c:v>
                </c:pt>
                <c:pt idx="3">
                  <c:v>4.6527454303047333E-2</c:v>
                </c:pt>
                <c:pt idx="4">
                  <c:v>4.733307055845281E-2</c:v>
                </c:pt>
                <c:pt idx="5">
                  <c:v>4.8049224254875261E-2</c:v>
                </c:pt>
                <c:pt idx="6">
                  <c:v>4.8187917242382937E-2</c:v>
                </c:pt>
                <c:pt idx="7">
                  <c:v>4.6961305722413402E-2</c:v>
                </c:pt>
                <c:pt idx="8">
                  <c:v>4.7402331590877263E-2</c:v>
                </c:pt>
                <c:pt idx="9">
                  <c:v>5.8146709849232529E-2</c:v>
                </c:pt>
                <c:pt idx="10">
                  <c:v>5.7746822010316973E-2</c:v>
                </c:pt>
              </c:numCache>
            </c:numRef>
          </c:val>
          <c:extLst>
            <c:ext xmlns:c16="http://schemas.microsoft.com/office/drawing/2014/chart" uri="{C3380CC4-5D6E-409C-BE32-E72D297353CC}">
              <c16:uniqueId val="{00000003-E9A9-4B20-962B-1C6A5A4E2C6E}"/>
            </c:ext>
          </c:extLst>
        </c:ser>
        <c:ser>
          <c:idx val="4"/>
          <c:order val="4"/>
          <c:tx>
            <c:strRef>
              <c:f>Sheet5!$Q$2</c:f>
              <c:strCache>
                <c:ptCount val="1"/>
                <c:pt idx="0">
                  <c:v>Consumo</c:v>
                </c:pt>
              </c:strCache>
            </c:strRef>
          </c:tx>
          <c:spPr>
            <a:solidFill>
              <a:srgbClr val="FFFF1A">
                <a:alpha val="80000"/>
              </a:srgbClr>
            </a:solidFill>
            <a:ln>
              <a:noFill/>
            </a:ln>
            <a:effectLst/>
          </c:spPr>
          <c:cat>
            <c:numRef>
              <c:f>Sheet5!$L$3:$L$13</c:f>
              <c:numCache>
                <c:formatCode>General</c:formatCode>
                <c:ptCount val="11"/>
                <c:pt idx="0">
                  <c:v>2017</c:v>
                </c:pt>
                <c:pt idx="1">
                  <c:v>2016</c:v>
                </c:pt>
                <c:pt idx="2">
                  <c:v>2015</c:v>
                </c:pt>
                <c:pt idx="3">
                  <c:v>2014</c:v>
                </c:pt>
                <c:pt idx="4">
                  <c:v>2013</c:v>
                </c:pt>
                <c:pt idx="5">
                  <c:v>2012</c:v>
                </c:pt>
                <c:pt idx="6">
                  <c:v>2011</c:v>
                </c:pt>
                <c:pt idx="7">
                  <c:v>2010</c:v>
                </c:pt>
                <c:pt idx="8">
                  <c:v>2009</c:v>
                </c:pt>
                <c:pt idx="9">
                  <c:v>2008</c:v>
                </c:pt>
                <c:pt idx="10">
                  <c:v>2007</c:v>
                </c:pt>
              </c:numCache>
            </c:numRef>
          </c:cat>
          <c:val>
            <c:numRef>
              <c:f>Sheet5!$Q$3:$Q$13</c:f>
              <c:numCache>
                <c:formatCode>0.00%</c:formatCode>
                <c:ptCount val="11"/>
                <c:pt idx="0">
                  <c:v>7.4620091247785359E-3</c:v>
                </c:pt>
                <c:pt idx="1">
                  <c:v>8.2243120427563498E-3</c:v>
                </c:pt>
                <c:pt idx="2">
                  <c:v>7.6700656507055053E-3</c:v>
                </c:pt>
                <c:pt idx="3">
                  <c:v>7.1928085798736935E-3</c:v>
                </c:pt>
                <c:pt idx="4">
                  <c:v>7.0956509623348284E-3</c:v>
                </c:pt>
                <c:pt idx="5">
                  <c:v>8.0381364276773722E-3</c:v>
                </c:pt>
                <c:pt idx="6">
                  <c:v>8.1620012225217375E-3</c:v>
                </c:pt>
                <c:pt idx="7">
                  <c:v>7.4927146137498358E-3</c:v>
                </c:pt>
                <c:pt idx="8">
                  <c:v>6.7030183465874044E-3</c:v>
                </c:pt>
                <c:pt idx="9">
                  <c:v>1.0196872097560958E-2</c:v>
                </c:pt>
                <c:pt idx="10">
                  <c:v>1.1120367963914787E-2</c:v>
                </c:pt>
              </c:numCache>
            </c:numRef>
          </c:val>
          <c:extLst>
            <c:ext xmlns:c16="http://schemas.microsoft.com/office/drawing/2014/chart" uri="{C3380CC4-5D6E-409C-BE32-E72D297353CC}">
              <c16:uniqueId val="{00000004-E9A9-4B20-962B-1C6A5A4E2C6E}"/>
            </c:ext>
          </c:extLst>
        </c:ser>
        <c:ser>
          <c:idx val="5"/>
          <c:order val="5"/>
          <c:tx>
            <c:strRef>
              <c:f>Sheet5!$R$2</c:f>
              <c:strCache>
                <c:ptCount val="1"/>
                <c:pt idx="0">
                  <c:v>Otros ingresos tributarios</c:v>
                </c:pt>
              </c:strCache>
            </c:strRef>
          </c:tx>
          <c:spPr>
            <a:solidFill>
              <a:srgbClr val="FD7400">
                <a:alpha val="80000"/>
              </a:srgbClr>
            </a:solidFill>
            <a:ln>
              <a:noFill/>
            </a:ln>
            <a:effectLst/>
          </c:spPr>
          <c:cat>
            <c:numRef>
              <c:f>Sheet5!$L$3:$L$13</c:f>
              <c:numCache>
                <c:formatCode>General</c:formatCode>
                <c:ptCount val="11"/>
                <c:pt idx="0">
                  <c:v>2017</c:v>
                </c:pt>
                <c:pt idx="1">
                  <c:v>2016</c:v>
                </c:pt>
                <c:pt idx="2">
                  <c:v>2015</c:v>
                </c:pt>
                <c:pt idx="3">
                  <c:v>2014</c:v>
                </c:pt>
                <c:pt idx="4">
                  <c:v>2013</c:v>
                </c:pt>
                <c:pt idx="5">
                  <c:v>2012</c:v>
                </c:pt>
                <c:pt idx="6">
                  <c:v>2011</c:v>
                </c:pt>
                <c:pt idx="7">
                  <c:v>2010</c:v>
                </c:pt>
                <c:pt idx="8">
                  <c:v>2009</c:v>
                </c:pt>
                <c:pt idx="9">
                  <c:v>2008</c:v>
                </c:pt>
                <c:pt idx="10">
                  <c:v>2007</c:v>
                </c:pt>
              </c:numCache>
            </c:numRef>
          </c:cat>
          <c:val>
            <c:numRef>
              <c:f>Sheet5!$R$3:$R$13</c:f>
              <c:numCache>
                <c:formatCode>0.00%</c:formatCode>
                <c:ptCount val="11"/>
                <c:pt idx="0">
                  <c:v>2.8958829250270254E-2</c:v>
                </c:pt>
                <c:pt idx="1">
                  <c:v>2.8708468045776158E-2</c:v>
                </c:pt>
                <c:pt idx="2">
                  <c:v>2.9879201755951698E-2</c:v>
                </c:pt>
                <c:pt idx="3">
                  <c:v>2.9175720566073652E-2</c:v>
                </c:pt>
                <c:pt idx="4">
                  <c:v>3.0781923637575388E-2</c:v>
                </c:pt>
                <c:pt idx="5">
                  <c:v>2.7782469592052283E-2</c:v>
                </c:pt>
                <c:pt idx="6">
                  <c:v>2.7416033299358315E-2</c:v>
                </c:pt>
                <c:pt idx="7">
                  <c:v>2.7877786754470987E-2</c:v>
                </c:pt>
                <c:pt idx="8">
                  <c:v>2.8819915014020991E-2</c:v>
                </c:pt>
                <c:pt idx="9">
                  <c:v>2.836082904960523E-2</c:v>
                </c:pt>
                <c:pt idx="10">
                  <c:v>2.9594551793355729E-2</c:v>
                </c:pt>
              </c:numCache>
            </c:numRef>
          </c:val>
          <c:extLst>
            <c:ext xmlns:c16="http://schemas.microsoft.com/office/drawing/2014/chart" uri="{C3380CC4-5D6E-409C-BE32-E72D297353CC}">
              <c16:uniqueId val="{00000005-E9A9-4B20-962B-1C6A5A4E2C6E}"/>
            </c:ext>
          </c:extLst>
        </c:ser>
        <c:dLbls>
          <c:showLegendKey val="0"/>
          <c:showVal val="0"/>
          <c:showCatName val="0"/>
          <c:showSerName val="0"/>
          <c:showPercent val="0"/>
          <c:showBubbleSize val="0"/>
        </c:dLbls>
        <c:axId val="269041120"/>
        <c:axId val="429779392"/>
      </c:areaChart>
      <c:catAx>
        <c:axId val="26904112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A</a:t>
                </a:r>
                <a:r>
                  <a:rPr lang="es-CR"/>
                  <a:t>ño</a:t>
                </a:r>
                <a:endParaRPr 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29779392"/>
        <c:crosses val="autoZero"/>
        <c:auto val="1"/>
        <c:lblAlgn val="ctr"/>
        <c:lblOffset val="100"/>
        <c:noMultiLvlLbl val="0"/>
      </c:catAx>
      <c:valAx>
        <c:axId val="429779392"/>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Porcentaje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 sourceLinked="0"/>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69041120"/>
        <c:crosses val="autoZero"/>
        <c:crossBetween val="midCat"/>
      </c:valAx>
      <c:spPr>
        <a:noFill/>
        <a:ln>
          <a:noFill/>
        </a:ln>
        <a:effectLst/>
      </c:spPr>
    </c:plotArea>
    <c:legend>
      <c:legendPos val="b"/>
      <c:layout>
        <c:manualLayout>
          <c:xMode val="edge"/>
          <c:yMode val="edge"/>
          <c:x val="5.3859133222912102E-2"/>
          <c:y val="0.82982998147395293"/>
          <c:w val="0.90960170687321018"/>
          <c:h val="0.16347871657473764"/>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zero"/>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2"/>
          <c:order val="0"/>
          <c:tx>
            <c:strRef>
              <c:f>Deciles!$C$1</c:f>
              <c:strCache>
                <c:ptCount val="1"/>
                <c:pt idx="0">
                  <c:v>ISFLSH</c:v>
                </c:pt>
              </c:strCache>
            </c:strRef>
          </c:tx>
          <c:spPr>
            <a:solidFill>
              <a:srgbClr val="005277"/>
            </a:solidFill>
            <a:ln>
              <a:noFill/>
            </a:ln>
            <a:effectLst/>
          </c:spPr>
          <c:invertIfNegative val="0"/>
          <c:cat>
            <c:strRef>
              <c:f>Deciles!$A$2:$A$6</c:f>
              <c:strCache>
                <c:ptCount val="5"/>
                <c:pt idx="0">
                  <c:v>Consumo privado</c:v>
                </c:pt>
                <c:pt idx="1">
                  <c:v>Inversión</c:v>
                </c:pt>
                <c:pt idx="2">
                  <c:v>Gobierno</c:v>
                </c:pt>
                <c:pt idx="3">
                  <c:v>Importaciones</c:v>
                </c:pt>
                <c:pt idx="4">
                  <c:v>Exportaciones</c:v>
                </c:pt>
              </c:strCache>
            </c:strRef>
          </c:cat>
          <c:val>
            <c:numRef>
              <c:f>Deciles!$C$2:$C$6</c:f>
              <c:numCache>
                <c:formatCode>0%</c:formatCode>
                <c:ptCount val="5"/>
                <c:pt idx="0">
                  <c:v>7.7934454937817641E-3</c:v>
                </c:pt>
                <c:pt idx="1">
                  <c:v>0</c:v>
                </c:pt>
                <c:pt idx="2">
                  <c:v>0</c:v>
                </c:pt>
                <c:pt idx="3">
                  <c:v>0</c:v>
                </c:pt>
                <c:pt idx="4">
                  <c:v>0</c:v>
                </c:pt>
              </c:numCache>
            </c:numRef>
          </c:val>
          <c:extLst>
            <c:ext xmlns:c16="http://schemas.microsoft.com/office/drawing/2014/chart" uri="{C3380CC4-5D6E-409C-BE32-E72D297353CC}">
              <c16:uniqueId val="{00000000-4540-4F29-AE0F-520FCB26F0C7}"/>
            </c:ext>
          </c:extLst>
        </c:ser>
        <c:ser>
          <c:idx val="3"/>
          <c:order val="1"/>
          <c:tx>
            <c:strRef>
              <c:f>Deciles!$D$1</c:f>
              <c:strCache>
                <c:ptCount val="1"/>
                <c:pt idx="0">
                  <c:v>Privado</c:v>
                </c:pt>
              </c:strCache>
            </c:strRef>
          </c:tx>
          <c:spPr>
            <a:solidFill>
              <a:srgbClr val="8BC652"/>
            </a:solidFill>
            <a:ln>
              <a:noFill/>
            </a:ln>
            <a:effectLst/>
          </c:spPr>
          <c:invertIfNegative val="0"/>
          <c:cat>
            <c:strRef>
              <c:f>Deciles!$A$2:$A$6</c:f>
              <c:strCache>
                <c:ptCount val="5"/>
                <c:pt idx="0">
                  <c:v>Consumo privado</c:v>
                </c:pt>
                <c:pt idx="1">
                  <c:v>Inversión</c:v>
                </c:pt>
                <c:pt idx="2">
                  <c:v>Gobierno</c:v>
                </c:pt>
                <c:pt idx="3">
                  <c:v>Importaciones</c:v>
                </c:pt>
                <c:pt idx="4">
                  <c:v>Exportaciones</c:v>
                </c:pt>
              </c:strCache>
            </c:strRef>
          </c:cat>
          <c:val>
            <c:numRef>
              <c:f>Deciles!$D$2:$D$6</c:f>
              <c:numCache>
                <c:formatCode>0%</c:formatCode>
                <c:ptCount val="5"/>
                <c:pt idx="0">
                  <c:v>0</c:v>
                </c:pt>
                <c:pt idx="1">
                  <c:v>0.18652095554139736</c:v>
                </c:pt>
                <c:pt idx="2">
                  <c:v>0</c:v>
                </c:pt>
                <c:pt idx="3">
                  <c:v>0</c:v>
                </c:pt>
                <c:pt idx="4">
                  <c:v>0</c:v>
                </c:pt>
              </c:numCache>
            </c:numRef>
          </c:val>
          <c:extLst>
            <c:ext xmlns:c16="http://schemas.microsoft.com/office/drawing/2014/chart" uri="{C3380CC4-5D6E-409C-BE32-E72D297353CC}">
              <c16:uniqueId val="{00000001-4540-4F29-AE0F-520FCB26F0C7}"/>
            </c:ext>
          </c:extLst>
        </c:ser>
        <c:ser>
          <c:idx val="4"/>
          <c:order val="2"/>
          <c:tx>
            <c:strRef>
              <c:f>Deciles!$E$1</c:f>
              <c:strCache>
                <c:ptCount val="1"/>
                <c:pt idx="0">
                  <c:v>Público</c:v>
                </c:pt>
              </c:strCache>
            </c:strRef>
          </c:tx>
          <c:spPr>
            <a:solidFill>
              <a:srgbClr val="8BC652">
                <a:alpha val="69000"/>
              </a:srgbClr>
            </a:solidFill>
            <a:ln>
              <a:noFill/>
            </a:ln>
            <a:effectLst/>
          </c:spPr>
          <c:invertIfNegative val="0"/>
          <c:dPt>
            <c:idx val="1"/>
            <c:invertIfNegative val="0"/>
            <c:bubble3D val="0"/>
            <c:spPr>
              <a:solidFill>
                <a:srgbClr val="8BC652">
                  <a:alpha val="50000"/>
                </a:srgbClr>
              </a:solidFill>
              <a:ln>
                <a:noFill/>
              </a:ln>
              <a:effectLst/>
            </c:spPr>
            <c:extLst>
              <c:ext xmlns:c16="http://schemas.microsoft.com/office/drawing/2014/chart" uri="{C3380CC4-5D6E-409C-BE32-E72D297353CC}">
                <c16:uniqueId val="{00000003-4540-4F29-AE0F-520FCB26F0C7}"/>
              </c:ext>
            </c:extLst>
          </c:dPt>
          <c:cat>
            <c:strRef>
              <c:f>Deciles!$A$2:$A$6</c:f>
              <c:strCache>
                <c:ptCount val="5"/>
                <c:pt idx="0">
                  <c:v>Consumo privado</c:v>
                </c:pt>
                <c:pt idx="1">
                  <c:v>Inversión</c:v>
                </c:pt>
                <c:pt idx="2">
                  <c:v>Gobierno</c:v>
                </c:pt>
                <c:pt idx="3">
                  <c:v>Importaciones</c:v>
                </c:pt>
                <c:pt idx="4">
                  <c:v>Exportaciones</c:v>
                </c:pt>
              </c:strCache>
            </c:strRef>
          </c:cat>
          <c:val>
            <c:numRef>
              <c:f>Deciles!$E$2:$E$6</c:f>
              <c:numCache>
                <c:formatCode>0%</c:formatCode>
                <c:ptCount val="5"/>
                <c:pt idx="0">
                  <c:v>0</c:v>
                </c:pt>
                <c:pt idx="1">
                  <c:v>1.9460416908262435E-2</c:v>
                </c:pt>
                <c:pt idx="2">
                  <c:v>0</c:v>
                </c:pt>
                <c:pt idx="3">
                  <c:v>0</c:v>
                </c:pt>
                <c:pt idx="4">
                  <c:v>0</c:v>
                </c:pt>
              </c:numCache>
            </c:numRef>
          </c:val>
          <c:extLst>
            <c:ext xmlns:c16="http://schemas.microsoft.com/office/drawing/2014/chart" uri="{C3380CC4-5D6E-409C-BE32-E72D297353CC}">
              <c16:uniqueId val="{00000004-4540-4F29-AE0F-520FCB26F0C7}"/>
            </c:ext>
          </c:extLst>
        </c:ser>
        <c:ser>
          <c:idx val="5"/>
          <c:order val="3"/>
          <c:tx>
            <c:strRef>
              <c:f>Deciles!$F$1</c:f>
              <c:strCache>
                <c:ptCount val="1"/>
                <c:pt idx="0">
                  <c:v>ISFLSH</c:v>
                </c:pt>
              </c:strCache>
            </c:strRef>
          </c:tx>
          <c:spPr>
            <a:solidFill>
              <a:srgbClr val="8BC652"/>
            </a:solidFill>
            <a:ln>
              <a:noFill/>
            </a:ln>
            <a:effectLst/>
          </c:spPr>
          <c:invertIfNegative val="0"/>
          <c:cat>
            <c:strRef>
              <c:f>Deciles!$A$2:$A$6</c:f>
              <c:strCache>
                <c:ptCount val="5"/>
                <c:pt idx="0">
                  <c:v>Consumo privado</c:v>
                </c:pt>
                <c:pt idx="1">
                  <c:v>Inversión</c:v>
                </c:pt>
                <c:pt idx="2">
                  <c:v>Gobierno</c:v>
                </c:pt>
                <c:pt idx="3">
                  <c:v>Importaciones</c:v>
                </c:pt>
                <c:pt idx="4">
                  <c:v>Exportaciones</c:v>
                </c:pt>
              </c:strCache>
            </c:strRef>
          </c:cat>
          <c:val>
            <c:numRef>
              <c:f>Deciles!$F$2:$F$6</c:f>
              <c:numCache>
                <c:formatCode>0%</c:formatCode>
                <c:ptCount val="5"/>
                <c:pt idx="0">
                  <c:v>0</c:v>
                </c:pt>
                <c:pt idx="1">
                  <c:v>0</c:v>
                </c:pt>
                <c:pt idx="2">
                  <c:v>0</c:v>
                </c:pt>
                <c:pt idx="3">
                  <c:v>0</c:v>
                </c:pt>
                <c:pt idx="4">
                  <c:v>0</c:v>
                </c:pt>
              </c:numCache>
            </c:numRef>
          </c:val>
          <c:extLst>
            <c:ext xmlns:c16="http://schemas.microsoft.com/office/drawing/2014/chart" uri="{C3380CC4-5D6E-409C-BE32-E72D297353CC}">
              <c16:uniqueId val="{00000005-4540-4F29-AE0F-520FCB26F0C7}"/>
            </c:ext>
          </c:extLst>
        </c:ser>
        <c:ser>
          <c:idx val="6"/>
          <c:order val="4"/>
          <c:tx>
            <c:strRef>
              <c:f>Deciles!$G$1</c:f>
              <c:strCache>
                <c:ptCount val="1"/>
                <c:pt idx="0">
                  <c:v>Gobierno</c:v>
                </c:pt>
              </c:strCache>
            </c:strRef>
          </c:tx>
          <c:spPr>
            <a:solidFill>
              <a:schemeClr val="accent3"/>
            </a:solidFill>
            <a:ln>
              <a:solidFill>
                <a:schemeClr val="accent6"/>
              </a:solidFill>
            </a:ln>
            <a:effectLst/>
          </c:spPr>
          <c:invertIfNegative val="0"/>
          <c:dPt>
            <c:idx val="2"/>
            <c:invertIfNegative val="0"/>
            <c:bubble3D val="0"/>
            <c:spPr>
              <a:solidFill>
                <a:schemeClr val="accent3"/>
              </a:solidFill>
              <a:ln>
                <a:solidFill>
                  <a:schemeClr val="accent3"/>
                </a:solidFill>
              </a:ln>
              <a:effectLst/>
            </c:spPr>
            <c:extLst>
              <c:ext xmlns:c16="http://schemas.microsoft.com/office/drawing/2014/chart" uri="{C3380CC4-5D6E-409C-BE32-E72D297353CC}">
                <c16:uniqueId val="{0000000A-4540-4F29-AE0F-520FCB26F0C7}"/>
              </c:ext>
            </c:extLst>
          </c:dPt>
          <c:cat>
            <c:strRef>
              <c:f>Deciles!$A$2:$A$6</c:f>
              <c:strCache>
                <c:ptCount val="5"/>
                <c:pt idx="0">
                  <c:v>Consumo privado</c:v>
                </c:pt>
                <c:pt idx="1">
                  <c:v>Inversión</c:v>
                </c:pt>
                <c:pt idx="2">
                  <c:v>Gobierno</c:v>
                </c:pt>
                <c:pt idx="3">
                  <c:v>Importaciones</c:v>
                </c:pt>
                <c:pt idx="4">
                  <c:v>Exportaciones</c:v>
                </c:pt>
              </c:strCache>
            </c:strRef>
          </c:cat>
          <c:val>
            <c:numRef>
              <c:f>Deciles!$G$2:$G$6</c:f>
              <c:numCache>
                <c:formatCode>0%</c:formatCode>
                <c:ptCount val="5"/>
                <c:pt idx="0">
                  <c:v>0</c:v>
                </c:pt>
                <c:pt idx="1">
                  <c:v>0</c:v>
                </c:pt>
                <c:pt idx="2">
                  <c:v>0.17079234106588448</c:v>
                </c:pt>
                <c:pt idx="3">
                  <c:v>0</c:v>
                </c:pt>
                <c:pt idx="4">
                  <c:v>0</c:v>
                </c:pt>
              </c:numCache>
            </c:numRef>
          </c:val>
          <c:extLst>
            <c:ext xmlns:c16="http://schemas.microsoft.com/office/drawing/2014/chart" uri="{C3380CC4-5D6E-409C-BE32-E72D297353CC}">
              <c16:uniqueId val="{00000006-4540-4F29-AE0F-520FCB26F0C7}"/>
            </c:ext>
          </c:extLst>
        </c:ser>
        <c:ser>
          <c:idx val="7"/>
          <c:order val="5"/>
          <c:tx>
            <c:strRef>
              <c:f>Deciles!$H$1</c:f>
              <c:strCache>
                <c:ptCount val="1"/>
                <c:pt idx="0">
                  <c:v>Importaciones</c:v>
                </c:pt>
              </c:strCache>
            </c:strRef>
          </c:tx>
          <c:spPr>
            <a:solidFill>
              <a:srgbClr val="ED7D31"/>
            </a:solidFill>
            <a:ln>
              <a:noFill/>
            </a:ln>
            <a:effectLst/>
          </c:spPr>
          <c:invertIfNegative val="1"/>
          <c:cat>
            <c:strRef>
              <c:f>Deciles!$A$2:$A$6</c:f>
              <c:strCache>
                <c:ptCount val="5"/>
                <c:pt idx="0">
                  <c:v>Consumo privado</c:v>
                </c:pt>
                <c:pt idx="1">
                  <c:v>Inversión</c:v>
                </c:pt>
                <c:pt idx="2">
                  <c:v>Gobierno</c:v>
                </c:pt>
                <c:pt idx="3">
                  <c:v>Importaciones</c:v>
                </c:pt>
                <c:pt idx="4">
                  <c:v>Exportaciones</c:v>
                </c:pt>
              </c:strCache>
            </c:strRef>
          </c:cat>
          <c:val>
            <c:numRef>
              <c:f>Deciles!$H$2:$H$6</c:f>
              <c:numCache>
                <c:formatCode>0%</c:formatCode>
                <c:ptCount val="5"/>
                <c:pt idx="0">
                  <c:v>0</c:v>
                </c:pt>
                <c:pt idx="1">
                  <c:v>0</c:v>
                </c:pt>
                <c:pt idx="2">
                  <c:v>0</c:v>
                </c:pt>
                <c:pt idx="3">
                  <c:v>0.35391203874159599</c:v>
                </c:pt>
                <c:pt idx="4">
                  <c:v>0</c:v>
                </c:pt>
              </c:numCache>
            </c:numRef>
          </c:val>
          <c:extLst>
            <c:ext xmlns:c14="http://schemas.microsoft.com/office/drawing/2007/8/2/chart" uri="{6F2FDCE9-48DA-4B69-8628-5D25D57E5C99}">
              <c14:invertSolidFillFmt>
                <c14:spPr xmlns:c14="http://schemas.microsoft.com/office/drawing/2007/8/2/chart">
                  <a:solidFill>
                    <a:srgbClr val="FFFFFF"/>
                  </a:solidFill>
                  <a:ln>
                    <a:noFill/>
                  </a:ln>
                  <a:effectLst/>
                </c14:spPr>
              </c14:invertSolidFillFmt>
            </c:ext>
            <c:ext xmlns:c16="http://schemas.microsoft.com/office/drawing/2014/chart" uri="{C3380CC4-5D6E-409C-BE32-E72D297353CC}">
              <c16:uniqueId val="{00000007-4540-4F29-AE0F-520FCB26F0C7}"/>
            </c:ext>
          </c:extLst>
        </c:ser>
        <c:ser>
          <c:idx val="8"/>
          <c:order val="6"/>
          <c:tx>
            <c:strRef>
              <c:f>Deciles!$I$1</c:f>
              <c:strCache>
                <c:ptCount val="1"/>
                <c:pt idx="0">
                  <c:v>Exportaciones</c:v>
                </c:pt>
              </c:strCache>
            </c:strRef>
          </c:tx>
          <c:spPr>
            <a:solidFill>
              <a:srgbClr val="F6B53F"/>
            </a:solidFill>
            <a:ln>
              <a:noFill/>
            </a:ln>
            <a:effectLst/>
          </c:spPr>
          <c:invertIfNegative val="0"/>
          <c:cat>
            <c:strRef>
              <c:f>Deciles!$A$2:$A$6</c:f>
              <c:strCache>
                <c:ptCount val="5"/>
                <c:pt idx="0">
                  <c:v>Consumo privado</c:v>
                </c:pt>
                <c:pt idx="1">
                  <c:v>Inversión</c:v>
                </c:pt>
                <c:pt idx="2">
                  <c:v>Gobierno</c:v>
                </c:pt>
                <c:pt idx="3">
                  <c:v>Importaciones</c:v>
                </c:pt>
                <c:pt idx="4">
                  <c:v>Exportaciones</c:v>
                </c:pt>
              </c:strCache>
            </c:strRef>
          </c:cat>
          <c:val>
            <c:numRef>
              <c:f>Deciles!$I$2:$I$6</c:f>
              <c:numCache>
                <c:formatCode>0%</c:formatCode>
                <c:ptCount val="5"/>
                <c:pt idx="0">
                  <c:v>0</c:v>
                </c:pt>
                <c:pt idx="1">
                  <c:v>0</c:v>
                </c:pt>
                <c:pt idx="2">
                  <c:v>0</c:v>
                </c:pt>
                <c:pt idx="3">
                  <c:v>0</c:v>
                </c:pt>
                <c:pt idx="4">
                  <c:v>0.31585805530006306</c:v>
                </c:pt>
              </c:numCache>
            </c:numRef>
          </c:val>
          <c:extLst>
            <c:ext xmlns:c16="http://schemas.microsoft.com/office/drawing/2014/chart" uri="{C3380CC4-5D6E-409C-BE32-E72D297353CC}">
              <c16:uniqueId val="{00000008-4540-4F29-AE0F-520FCB26F0C7}"/>
            </c:ext>
          </c:extLst>
        </c:ser>
        <c:ser>
          <c:idx val="0"/>
          <c:order val="7"/>
          <c:tx>
            <c:strRef>
              <c:f>Deciles!$B$1</c:f>
              <c:strCache>
                <c:ptCount val="1"/>
                <c:pt idx="0">
                  <c:v>Hogares</c:v>
                </c:pt>
              </c:strCache>
            </c:strRef>
          </c:tx>
          <c:spPr>
            <a:solidFill>
              <a:srgbClr val="0077AC"/>
            </a:solidFill>
            <a:ln>
              <a:noFill/>
            </a:ln>
            <a:effectLst/>
          </c:spPr>
          <c:invertIfNegative val="0"/>
          <c:val>
            <c:numRef>
              <c:f>Deciles!$B$2:$B$6</c:f>
              <c:numCache>
                <c:formatCode>0%</c:formatCode>
                <c:ptCount val="5"/>
                <c:pt idx="0">
                  <c:v>0.65467224722024364</c:v>
                </c:pt>
                <c:pt idx="1">
                  <c:v>0</c:v>
                </c:pt>
                <c:pt idx="2">
                  <c:v>0</c:v>
                </c:pt>
                <c:pt idx="3">
                  <c:v>0</c:v>
                </c:pt>
                <c:pt idx="4">
                  <c:v>0</c:v>
                </c:pt>
              </c:numCache>
            </c:numRef>
          </c:val>
          <c:extLst>
            <c:ext xmlns:c16="http://schemas.microsoft.com/office/drawing/2014/chart" uri="{C3380CC4-5D6E-409C-BE32-E72D297353CC}">
              <c16:uniqueId val="{00000009-4540-4F29-AE0F-520FCB26F0C7}"/>
            </c:ext>
          </c:extLst>
        </c:ser>
        <c:dLbls>
          <c:showLegendKey val="0"/>
          <c:showVal val="0"/>
          <c:showCatName val="0"/>
          <c:showSerName val="0"/>
          <c:showPercent val="0"/>
          <c:showBubbleSize val="0"/>
        </c:dLbls>
        <c:gapWidth val="150"/>
        <c:overlap val="100"/>
        <c:axId val="839548896"/>
        <c:axId val="753012800"/>
      </c:barChart>
      <c:catAx>
        <c:axId val="83954889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Componente</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53012800"/>
        <c:crosses val="autoZero"/>
        <c:auto val="1"/>
        <c:lblAlgn val="ctr"/>
        <c:lblOffset val="100"/>
        <c:noMultiLvlLbl val="0"/>
      </c:catAx>
      <c:valAx>
        <c:axId val="753012800"/>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Porcentaje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 sourceLinked="1"/>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395488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bar"/>
        <c:grouping val="stacked"/>
        <c:varyColors val="0"/>
        <c:ser>
          <c:idx val="0"/>
          <c:order val="0"/>
          <c:tx>
            <c:strRef>
              <c:f>Deciles!$B$81:$B$82</c:f>
              <c:strCache>
                <c:ptCount val="2"/>
                <c:pt idx="1">
                  <c:v>Asalariado</c:v>
                </c:pt>
              </c:strCache>
            </c:strRef>
          </c:tx>
          <c:spPr>
            <a:solidFill>
              <a:srgbClr val="005277"/>
            </a:solidFill>
            <a:ln>
              <a:noFill/>
            </a:ln>
            <a:effectLst/>
          </c:spPr>
          <c:invertIfNegative val="0"/>
          <c:cat>
            <c:strRef>
              <c:f>Deciles!$A$83:$A$92</c:f>
              <c:strCache>
                <c:ptCount val="10"/>
                <c:pt idx="0">
                  <c:v>Decil 1</c:v>
                </c:pt>
                <c:pt idx="1">
                  <c:v>Decil 2</c:v>
                </c:pt>
                <c:pt idx="2">
                  <c:v>Decil 3</c:v>
                </c:pt>
                <c:pt idx="3">
                  <c:v>Decil 4</c:v>
                </c:pt>
                <c:pt idx="4">
                  <c:v>Decil 5</c:v>
                </c:pt>
                <c:pt idx="5">
                  <c:v>Decil 6</c:v>
                </c:pt>
                <c:pt idx="6">
                  <c:v>Decil 7</c:v>
                </c:pt>
                <c:pt idx="7">
                  <c:v>Decil 8</c:v>
                </c:pt>
                <c:pt idx="8">
                  <c:v>Decil 9</c:v>
                </c:pt>
                <c:pt idx="9">
                  <c:v>Decil 10</c:v>
                </c:pt>
              </c:strCache>
            </c:strRef>
          </c:cat>
          <c:val>
            <c:numRef>
              <c:f>Deciles!$B$83:$B$92</c:f>
              <c:numCache>
                <c:formatCode>0.00%</c:formatCode>
                <c:ptCount val="10"/>
                <c:pt idx="0">
                  <c:v>9.3291823740104002E-2</c:v>
                </c:pt>
                <c:pt idx="1">
                  <c:v>0.21264861100607635</c:v>
                </c:pt>
                <c:pt idx="2">
                  <c:v>0.30310815191462348</c:v>
                </c:pt>
                <c:pt idx="3">
                  <c:v>0.42709234643133376</c:v>
                </c:pt>
                <c:pt idx="4">
                  <c:v>0.47756599817471679</c:v>
                </c:pt>
                <c:pt idx="5">
                  <c:v>0.52465097360054969</c:v>
                </c:pt>
                <c:pt idx="6">
                  <c:v>0.53861135412503702</c:v>
                </c:pt>
                <c:pt idx="7">
                  <c:v>0.60431100908104707</c:v>
                </c:pt>
                <c:pt idx="8">
                  <c:v>0.60817437630749427</c:v>
                </c:pt>
                <c:pt idx="9">
                  <c:v>0.39992081016520192</c:v>
                </c:pt>
              </c:numCache>
            </c:numRef>
          </c:val>
          <c:extLst>
            <c:ext xmlns:c16="http://schemas.microsoft.com/office/drawing/2014/chart" uri="{C3380CC4-5D6E-409C-BE32-E72D297353CC}">
              <c16:uniqueId val="{00000000-3262-4618-959B-B4C72B8216A8}"/>
            </c:ext>
          </c:extLst>
        </c:ser>
        <c:ser>
          <c:idx val="1"/>
          <c:order val="1"/>
          <c:tx>
            <c:strRef>
              <c:f>Deciles!$C$81:$C$82</c:f>
              <c:strCache>
                <c:ptCount val="2"/>
                <c:pt idx="1">
                  <c:v>No asalariado</c:v>
                </c:pt>
              </c:strCache>
            </c:strRef>
          </c:tx>
          <c:spPr>
            <a:solidFill>
              <a:srgbClr val="ED7D31"/>
            </a:solidFill>
            <a:ln>
              <a:noFill/>
            </a:ln>
            <a:effectLst/>
          </c:spPr>
          <c:invertIfNegative val="0"/>
          <c:cat>
            <c:strRef>
              <c:f>Deciles!$A$83:$A$92</c:f>
              <c:strCache>
                <c:ptCount val="10"/>
                <c:pt idx="0">
                  <c:v>Decil 1</c:v>
                </c:pt>
                <c:pt idx="1">
                  <c:v>Decil 2</c:v>
                </c:pt>
                <c:pt idx="2">
                  <c:v>Decil 3</c:v>
                </c:pt>
                <c:pt idx="3">
                  <c:v>Decil 4</c:v>
                </c:pt>
                <c:pt idx="4">
                  <c:v>Decil 5</c:v>
                </c:pt>
                <c:pt idx="5">
                  <c:v>Decil 6</c:v>
                </c:pt>
                <c:pt idx="6">
                  <c:v>Decil 7</c:v>
                </c:pt>
                <c:pt idx="7">
                  <c:v>Decil 8</c:v>
                </c:pt>
                <c:pt idx="8">
                  <c:v>Decil 9</c:v>
                </c:pt>
                <c:pt idx="9">
                  <c:v>Decil 10</c:v>
                </c:pt>
              </c:strCache>
            </c:strRef>
          </c:cat>
          <c:val>
            <c:numRef>
              <c:f>Deciles!$C$83:$C$92</c:f>
              <c:numCache>
                <c:formatCode>0.00%</c:formatCode>
                <c:ptCount val="10"/>
                <c:pt idx="0">
                  <c:v>5.0881344757957088E-2</c:v>
                </c:pt>
                <c:pt idx="1">
                  <c:v>0.10799763066273478</c:v>
                </c:pt>
                <c:pt idx="2">
                  <c:v>0.13226982536263593</c:v>
                </c:pt>
                <c:pt idx="3">
                  <c:v>0.11438082860339709</c:v>
                </c:pt>
                <c:pt idx="4">
                  <c:v>0.10736886712664531</c:v>
                </c:pt>
                <c:pt idx="5">
                  <c:v>0.10185408658299223</c:v>
                </c:pt>
                <c:pt idx="6">
                  <c:v>0.11422830939596505</c:v>
                </c:pt>
                <c:pt idx="7">
                  <c:v>0.11865659181840107</c:v>
                </c:pt>
                <c:pt idx="8">
                  <c:v>9.1541610997174283E-2</c:v>
                </c:pt>
                <c:pt idx="9">
                  <c:v>6.4959842175809107E-2</c:v>
                </c:pt>
              </c:numCache>
            </c:numRef>
          </c:val>
          <c:extLst>
            <c:ext xmlns:c16="http://schemas.microsoft.com/office/drawing/2014/chart" uri="{C3380CC4-5D6E-409C-BE32-E72D297353CC}">
              <c16:uniqueId val="{00000001-3262-4618-959B-B4C72B8216A8}"/>
            </c:ext>
          </c:extLst>
        </c:ser>
        <c:ser>
          <c:idx val="2"/>
          <c:order val="2"/>
          <c:tx>
            <c:strRef>
              <c:f>Deciles!$D$81:$D$82</c:f>
              <c:strCache>
                <c:ptCount val="2"/>
                <c:pt idx="1">
                  <c:v>Capital</c:v>
                </c:pt>
              </c:strCache>
            </c:strRef>
          </c:tx>
          <c:spPr>
            <a:solidFill>
              <a:srgbClr val="8A8A8A"/>
            </a:solidFill>
            <a:ln>
              <a:noFill/>
            </a:ln>
            <a:effectLst/>
          </c:spPr>
          <c:invertIfNegative val="0"/>
          <c:cat>
            <c:strRef>
              <c:f>Deciles!$A$83:$A$92</c:f>
              <c:strCache>
                <c:ptCount val="10"/>
                <c:pt idx="0">
                  <c:v>Decil 1</c:v>
                </c:pt>
                <c:pt idx="1">
                  <c:v>Decil 2</c:v>
                </c:pt>
                <c:pt idx="2">
                  <c:v>Decil 3</c:v>
                </c:pt>
                <c:pt idx="3">
                  <c:v>Decil 4</c:v>
                </c:pt>
                <c:pt idx="4">
                  <c:v>Decil 5</c:v>
                </c:pt>
                <c:pt idx="5">
                  <c:v>Decil 6</c:v>
                </c:pt>
                <c:pt idx="6">
                  <c:v>Decil 7</c:v>
                </c:pt>
                <c:pt idx="7">
                  <c:v>Decil 8</c:v>
                </c:pt>
                <c:pt idx="8">
                  <c:v>Decil 9</c:v>
                </c:pt>
                <c:pt idx="9">
                  <c:v>Decil 10</c:v>
                </c:pt>
              </c:strCache>
            </c:strRef>
          </c:cat>
          <c:val>
            <c:numRef>
              <c:f>Deciles!$D$83:$D$92</c:f>
              <c:numCache>
                <c:formatCode>0.00%</c:formatCode>
                <c:ptCount val="10"/>
                <c:pt idx="0">
                  <c:v>8.1024838460213175E-2</c:v>
                </c:pt>
                <c:pt idx="1">
                  <c:v>8.3569763341120179E-2</c:v>
                </c:pt>
                <c:pt idx="2">
                  <c:v>7.6624409587835993E-2</c:v>
                </c:pt>
                <c:pt idx="3">
                  <c:v>8.3393918732133254E-2</c:v>
                </c:pt>
                <c:pt idx="4">
                  <c:v>9.1849176170779576E-2</c:v>
                </c:pt>
                <c:pt idx="5">
                  <c:v>7.4829409698230667E-2</c:v>
                </c:pt>
                <c:pt idx="6">
                  <c:v>9.4100862266067758E-2</c:v>
                </c:pt>
                <c:pt idx="7">
                  <c:v>8.0241264678719712E-2</c:v>
                </c:pt>
                <c:pt idx="8">
                  <c:v>0.10672073793824538</c:v>
                </c:pt>
                <c:pt idx="9">
                  <c:v>7.3560751999380433E-2</c:v>
                </c:pt>
              </c:numCache>
            </c:numRef>
          </c:val>
          <c:extLst>
            <c:ext xmlns:c16="http://schemas.microsoft.com/office/drawing/2014/chart" uri="{C3380CC4-5D6E-409C-BE32-E72D297353CC}">
              <c16:uniqueId val="{00000002-3262-4618-959B-B4C72B8216A8}"/>
            </c:ext>
          </c:extLst>
        </c:ser>
        <c:ser>
          <c:idx val="3"/>
          <c:order val="3"/>
          <c:tx>
            <c:strRef>
              <c:f>Deciles!$E$81:$E$82</c:f>
              <c:strCache>
                <c:ptCount val="2"/>
                <c:pt idx="1">
                  <c:v>Empresas</c:v>
                </c:pt>
              </c:strCache>
            </c:strRef>
          </c:tx>
          <c:spPr>
            <a:solidFill>
              <a:srgbClr val="8BC652"/>
            </a:solidFill>
            <a:ln>
              <a:noFill/>
            </a:ln>
            <a:effectLst/>
          </c:spPr>
          <c:invertIfNegative val="0"/>
          <c:cat>
            <c:strRef>
              <c:f>Deciles!$A$83:$A$92</c:f>
              <c:strCache>
                <c:ptCount val="10"/>
                <c:pt idx="0">
                  <c:v>Decil 1</c:v>
                </c:pt>
                <c:pt idx="1">
                  <c:v>Decil 2</c:v>
                </c:pt>
                <c:pt idx="2">
                  <c:v>Decil 3</c:v>
                </c:pt>
                <c:pt idx="3">
                  <c:v>Decil 4</c:v>
                </c:pt>
                <c:pt idx="4">
                  <c:v>Decil 5</c:v>
                </c:pt>
                <c:pt idx="5">
                  <c:v>Decil 6</c:v>
                </c:pt>
                <c:pt idx="6">
                  <c:v>Decil 7</c:v>
                </c:pt>
                <c:pt idx="7">
                  <c:v>Decil 8</c:v>
                </c:pt>
                <c:pt idx="8">
                  <c:v>Decil 9</c:v>
                </c:pt>
                <c:pt idx="9">
                  <c:v>Decil 10</c:v>
                </c:pt>
              </c:strCache>
            </c:strRef>
          </c:cat>
          <c:val>
            <c:numRef>
              <c:f>Deciles!$E$83:$E$92</c:f>
              <c:numCache>
                <c:formatCode>0.00%</c:formatCode>
                <c:ptCount val="10"/>
                <c:pt idx="0">
                  <c:v>0</c:v>
                </c:pt>
                <c:pt idx="1">
                  <c:v>0</c:v>
                </c:pt>
                <c:pt idx="2">
                  <c:v>0</c:v>
                </c:pt>
                <c:pt idx="3">
                  <c:v>0</c:v>
                </c:pt>
                <c:pt idx="4">
                  <c:v>0</c:v>
                </c:pt>
                <c:pt idx="5">
                  <c:v>3.9404680711178218E-2</c:v>
                </c:pt>
                <c:pt idx="6">
                  <c:v>5.8227348713695323E-2</c:v>
                </c:pt>
                <c:pt idx="7">
                  <c:v>2.3696796507511265E-2</c:v>
                </c:pt>
                <c:pt idx="8">
                  <c:v>5.1958060057917539E-2</c:v>
                </c:pt>
                <c:pt idx="9">
                  <c:v>0.37573278096123103</c:v>
                </c:pt>
              </c:numCache>
            </c:numRef>
          </c:val>
          <c:extLst>
            <c:ext xmlns:c16="http://schemas.microsoft.com/office/drawing/2014/chart" uri="{C3380CC4-5D6E-409C-BE32-E72D297353CC}">
              <c16:uniqueId val="{00000003-3262-4618-959B-B4C72B8216A8}"/>
            </c:ext>
          </c:extLst>
        </c:ser>
        <c:ser>
          <c:idx val="4"/>
          <c:order val="4"/>
          <c:tx>
            <c:strRef>
              <c:f>Deciles!$F$81:$F$82</c:f>
              <c:strCache>
                <c:ptCount val="2"/>
                <c:pt idx="1">
                  <c:v>Transferencia gobierno</c:v>
                </c:pt>
              </c:strCache>
            </c:strRef>
          </c:tx>
          <c:spPr>
            <a:solidFill>
              <a:srgbClr val="6CADDF"/>
            </a:solidFill>
            <a:ln>
              <a:noFill/>
            </a:ln>
            <a:effectLst/>
          </c:spPr>
          <c:invertIfNegative val="0"/>
          <c:cat>
            <c:strRef>
              <c:f>Deciles!$A$83:$A$92</c:f>
              <c:strCache>
                <c:ptCount val="10"/>
                <c:pt idx="0">
                  <c:v>Decil 1</c:v>
                </c:pt>
                <c:pt idx="1">
                  <c:v>Decil 2</c:v>
                </c:pt>
                <c:pt idx="2">
                  <c:v>Decil 3</c:v>
                </c:pt>
                <c:pt idx="3">
                  <c:v>Decil 4</c:v>
                </c:pt>
                <c:pt idx="4">
                  <c:v>Decil 5</c:v>
                </c:pt>
                <c:pt idx="5">
                  <c:v>Decil 6</c:v>
                </c:pt>
                <c:pt idx="6">
                  <c:v>Decil 7</c:v>
                </c:pt>
                <c:pt idx="7">
                  <c:v>Decil 8</c:v>
                </c:pt>
                <c:pt idx="8">
                  <c:v>Decil 9</c:v>
                </c:pt>
                <c:pt idx="9">
                  <c:v>Decil 10</c:v>
                </c:pt>
              </c:strCache>
            </c:strRef>
          </c:cat>
          <c:val>
            <c:numRef>
              <c:f>Deciles!$F$83:$F$92</c:f>
              <c:numCache>
                <c:formatCode>0.00%</c:formatCode>
                <c:ptCount val="10"/>
                <c:pt idx="0">
                  <c:v>0.60404606786432546</c:v>
                </c:pt>
                <c:pt idx="1">
                  <c:v>0.47927044500721405</c:v>
                </c:pt>
                <c:pt idx="2">
                  <c:v>0.37146858556556889</c:v>
                </c:pt>
                <c:pt idx="3">
                  <c:v>0.25630254064545244</c:v>
                </c:pt>
                <c:pt idx="4">
                  <c:v>0.21051410362278922</c:v>
                </c:pt>
                <c:pt idx="5">
                  <c:v>0.14415566421830778</c:v>
                </c:pt>
                <c:pt idx="6">
                  <c:v>7.4197092242376639E-2</c:v>
                </c:pt>
                <c:pt idx="7">
                  <c:v>3.8406698005419501E-2</c:v>
                </c:pt>
                <c:pt idx="8">
                  <c:v>5.7754477179379083E-3</c:v>
                </c:pt>
                <c:pt idx="9">
                  <c:v>4.4120706645104152E-3</c:v>
                </c:pt>
              </c:numCache>
            </c:numRef>
          </c:val>
          <c:extLst>
            <c:ext xmlns:c16="http://schemas.microsoft.com/office/drawing/2014/chart" uri="{C3380CC4-5D6E-409C-BE32-E72D297353CC}">
              <c16:uniqueId val="{00000004-3262-4618-959B-B4C72B8216A8}"/>
            </c:ext>
          </c:extLst>
        </c:ser>
        <c:ser>
          <c:idx val="5"/>
          <c:order val="5"/>
          <c:tx>
            <c:strRef>
              <c:f>Deciles!$G$81:$G$82</c:f>
              <c:strCache>
                <c:ptCount val="2"/>
                <c:pt idx="1">
                  <c:v>Transferencia resto del mundo</c:v>
                </c:pt>
              </c:strCache>
            </c:strRef>
          </c:tx>
          <c:spPr>
            <a:solidFill>
              <a:srgbClr val="AE77B2"/>
            </a:solidFill>
            <a:ln>
              <a:noFill/>
            </a:ln>
            <a:effectLst/>
          </c:spPr>
          <c:invertIfNegative val="0"/>
          <c:cat>
            <c:strRef>
              <c:f>Deciles!$A$83:$A$92</c:f>
              <c:strCache>
                <c:ptCount val="10"/>
                <c:pt idx="0">
                  <c:v>Decil 1</c:v>
                </c:pt>
                <c:pt idx="1">
                  <c:v>Decil 2</c:v>
                </c:pt>
                <c:pt idx="2">
                  <c:v>Decil 3</c:v>
                </c:pt>
                <c:pt idx="3">
                  <c:v>Decil 4</c:v>
                </c:pt>
                <c:pt idx="4">
                  <c:v>Decil 5</c:v>
                </c:pt>
                <c:pt idx="5">
                  <c:v>Decil 6</c:v>
                </c:pt>
                <c:pt idx="6">
                  <c:v>Decil 7</c:v>
                </c:pt>
                <c:pt idx="7">
                  <c:v>Decil 8</c:v>
                </c:pt>
                <c:pt idx="8">
                  <c:v>Decil 9</c:v>
                </c:pt>
                <c:pt idx="9">
                  <c:v>Decil 10</c:v>
                </c:pt>
              </c:strCache>
            </c:strRef>
          </c:cat>
          <c:val>
            <c:numRef>
              <c:f>Deciles!$G$83:$G$92</c:f>
              <c:numCache>
                <c:formatCode>0.00%</c:formatCode>
                <c:ptCount val="10"/>
                <c:pt idx="0">
                  <c:v>0.16049938331736149</c:v>
                </c:pt>
                <c:pt idx="1">
                  <c:v>9.3292632588743027E-2</c:v>
                </c:pt>
                <c:pt idx="2">
                  <c:v>6.7662751885041006E-2</c:v>
                </c:pt>
                <c:pt idx="3">
                  <c:v>4.6466818039381012E-2</c:v>
                </c:pt>
                <c:pt idx="4">
                  <c:v>3.4595162119596123E-2</c:v>
                </c:pt>
                <c:pt idx="5">
                  <c:v>2.5989826949275995E-2</c:v>
                </c:pt>
                <c:pt idx="6">
                  <c:v>1.7414735493795682E-2</c:v>
                </c:pt>
                <c:pt idx="7">
                  <c:v>1.1196570340622042E-2</c:v>
                </c:pt>
                <c:pt idx="8">
                  <c:v>3.9680183421222986E-3</c:v>
                </c:pt>
                <c:pt idx="9">
                  <c:v>9.0365528639105839E-4</c:v>
                </c:pt>
              </c:numCache>
            </c:numRef>
          </c:val>
          <c:extLst>
            <c:ext xmlns:c16="http://schemas.microsoft.com/office/drawing/2014/chart" uri="{C3380CC4-5D6E-409C-BE32-E72D297353CC}">
              <c16:uniqueId val="{00000005-3262-4618-959B-B4C72B8216A8}"/>
            </c:ext>
          </c:extLst>
        </c:ser>
        <c:ser>
          <c:idx val="6"/>
          <c:order val="6"/>
          <c:tx>
            <c:strRef>
              <c:f>Deciles!$H$81:$H$82</c:f>
              <c:strCache>
                <c:ptCount val="2"/>
                <c:pt idx="1">
                  <c:v>Contribuciones sociales</c:v>
                </c:pt>
              </c:strCache>
            </c:strRef>
          </c:tx>
          <c:spPr>
            <a:solidFill>
              <a:srgbClr val="E94649"/>
            </a:solidFill>
            <a:ln>
              <a:noFill/>
            </a:ln>
            <a:effectLst/>
          </c:spPr>
          <c:invertIfNegative val="0"/>
          <c:cat>
            <c:strRef>
              <c:f>Deciles!$A$83:$A$92</c:f>
              <c:strCache>
                <c:ptCount val="10"/>
                <c:pt idx="0">
                  <c:v>Decil 1</c:v>
                </c:pt>
                <c:pt idx="1">
                  <c:v>Decil 2</c:v>
                </c:pt>
                <c:pt idx="2">
                  <c:v>Decil 3</c:v>
                </c:pt>
                <c:pt idx="3">
                  <c:v>Decil 4</c:v>
                </c:pt>
                <c:pt idx="4">
                  <c:v>Decil 5</c:v>
                </c:pt>
                <c:pt idx="5">
                  <c:v>Decil 6</c:v>
                </c:pt>
                <c:pt idx="6">
                  <c:v>Decil 7</c:v>
                </c:pt>
                <c:pt idx="7">
                  <c:v>Decil 8</c:v>
                </c:pt>
                <c:pt idx="8">
                  <c:v>Decil 9</c:v>
                </c:pt>
                <c:pt idx="9">
                  <c:v>Decil 10</c:v>
                </c:pt>
              </c:strCache>
            </c:strRef>
          </c:cat>
          <c:val>
            <c:numRef>
              <c:f>Deciles!$H$83:$H$92</c:f>
              <c:numCache>
                <c:formatCode>0.00%</c:formatCode>
                <c:ptCount val="10"/>
                <c:pt idx="0">
                  <c:v>1.0256541860038767E-2</c:v>
                </c:pt>
                <c:pt idx="1">
                  <c:v>2.3220917394111539E-2</c:v>
                </c:pt>
                <c:pt idx="2">
                  <c:v>4.8866275684294774E-2</c:v>
                </c:pt>
                <c:pt idx="3">
                  <c:v>7.236354754830257E-2</c:v>
                </c:pt>
                <c:pt idx="4">
                  <c:v>7.8106692785473095E-2</c:v>
                </c:pt>
                <c:pt idx="5">
                  <c:v>8.9115358239465564E-2</c:v>
                </c:pt>
                <c:pt idx="6">
                  <c:v>0.10322029776306274</c:v>
                </c:pt>
                <c:pt idx="7">
                  <c:v>0.12349106956827945</c:v>
                </c:pt>
                <c:pt idx="8">
                  <c:v>0.13186174863910857</c:v>
                </c:pt>
                <c:pt idx="9">
                  <c:v>8.0510088747476227E-2</c:v>
                </c:pt>
              </c:numCache>
            </c:numRef>
          </c:val>
          <c:extLst>
            <c:ext xmlns:c16="http://schemas.microsoft.com/office/drawing/2014/chart" uri="{C3380CC4-5D6E-409C-BE32-E72D297353CC}">
              <c16:uniqueId val="{00000006-3262-4618-959B-B4C72B8216A8}"/>
            </c:ext>
          </c:extLst>
        </c:ser>
        <c:dLbls>
          <c:showLegendKey val="0"/>
          <c:showVal val="0"/>
          <c:showCatName val="0"/>
          <c:showSerName val="0"/>
          <c:showPercent val="0"/>
          <c:showBubbleSize val="0"/>
        </c:dLbls>
        <c:gapWidth val="150"/>
        <c:overlap val="100"/>
        <c:axId val="27256767"/>
        <c:axId val="760283984"/>
      </c:barChart>
      <c:catAx>
        <c:axId val="27256767"/>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Hogares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out"/>
        <c:tickLblPos val="nextTo"/>
        <c:spPr>
          <a:noFill/>
          <a:ln w="9525" cap="flat" cmpd="sng" algn="ctr">
            <a:solidFill>
              <a:sysClr val="windowText" lastClr="000000"/>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60283984"/>
        <c:crosses val="autoZero"/>
        <c:auto val="1"/>
        <c:lblAlgn val="ctr"/>
        <c:lblOffset val="100"/>
        <c:noMultiLvlLbl val="0"/>
      </c:catAx>
      <c:valAx>
        <c:axId val="760283984"/>
        <c:scaling>
          <c:orientation val="minMax"/>
          <c:max val="1"/>
        </c:scaling>
        <c:delete val="0"/>
        <c:axPos val="b"/>
        <c:majorGridlines>
          <c:spPr>
            <a:ln w="9525" cap="flat" cmpd="sng" algn="ctr">
              <a:solidFill>
                <a:schemeClr val="tx1">
                  <a:lumMod val="15000"/>
                  <a:lumOff val="85000"/>
                </a:schemeClr>
              </a:solidFill>
              <a:prstDash val="dashDot"/>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Porcentaje</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 sourceLinked="0"/>
        <c:majorTickMark val="out"/>
        <c:minorTickMark val="none"/>
        <c:tickLblPos val="nextTo"/>
        <c:spPr>
          <a:noFill/>
          <a:ln>
            <a:solidFill>
              <a:sysClr val="windowText" lastClr="000000"/>
            </a:solid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725676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stacked"/>
        <c:varyColors val="0"/>
        <c:ser>
          <c:idx val="0"/>
          <c:order val="0"/>
          <c:tx>
            <c:strRef>
              <c:f>PT!$E$3</c:f>
              <c:strCache>
                <c:ptCount val="1"/>
                <c:pt idx="0">
                  <c:v>Selectivo</c:v>
                </c:pt>
              </c:strCache>
            </c:strRef>
          </c:tx>
          <c:spPr>
            <a:solidFill>
              <a:schemeClr val="accent1"/>
            </a:solidFill>
            <a:ln>
              <a:noFill/>
            </a:ln>
            <a:effectLst/>
          </c:spPr>
          <c:invertIfNegative val="0"/>
          <c:cat>
            <c:strRef>
              <c:f>PT!$D$4:$D$13</c:f>
              <c:strCache>
                <c:ptCount val="10"/>
                <c:pt idx="0">
                  <c:v>hhd1</c:v>
                </c:pt>
                <c:pt idx="1">
                  <c:v>hhd2</c:v>
                </c:pt>
                <c:pt idx="2">
                  <c:v>hhd3</c:v>
                </c:pt>
                <c:pt idx="3">
                  <c:v>hhd4</c:v>
                </c:pt>
                <c:pt idx="4">
                  <c:v>hhd5</c:v>
                </c:pt>
                <c:pt idx="5">
                  <c:v>hhd6</c:v>
                </c:pt>
                <c:pt idx="6">
                  <c:v>hhd7</c:v>
                </c:pt>
                <c:pt idx="7">
                  <c:v>hhd8</c:v>
                </c:pt>
                <c:pt idx="8">
                  <c:v>hhd9</c:v>
                </c:pt>
                <c:pt idx="9">
                  <c:v>hhd10</c:v>
                </c:pt>
              </c:strCache>
            </c:strRef>
          </c:cat>
          <c:val>
            <c:numRef>
              <c:f>PT!$E$4:$E$13</c:f>
              <c:numCache>
                <c:formatCode>0%</c:formatCode>
                <c:ptCount val="10"/>
                <c:pt idx="0">
                  <c:v>3.8039447682241656E-2</c:v>
                </c:pt>
                <c:pt idx="1">
                  <c:v>2.2223996414429643E-2</c:v>
                </c:pt>
                <c:pt idx="2">
                  <c:v>1.5034533854606756E-2</c:v>
                </c:pt>
                <c:pt idx="3">
                  <c:v>1.3462732419379606E-2</c:v>
                </c:pt>
                <c:pt idx="4">
                  <c:v>1.1319053725697078E-2</c:v>
                </c:pt>
                <c:pt idx="5">
                  <c:v>9.9449444540084427E-3</c:v>
                </c:pt>
                <c:pt idx="6">
                  <c:v>9.1543290184096498E-3</c:v>
                </c:pt>
                <c:pt idx="7">
                  <c:v>6.5241525982618698E-3</c:v>
                </c:pt>
                <c:pt idx="8">
                  <c:v>5.6945106872730075E-3</c:v>
                </c:pt>
                <c:pt idx="9">
                  <c:v>3.3131170198766047E-3</c:v>
                </c:pt>
              </c:numCache>
            </c:numRef>
          </c:val>
          <c:extLst>
            <c:ext xmlns:c16="http://schemas.microsoft.com/office/drawing/2014/chart" uri="{C3380CC4-5D6E-409C-BE32-E72D297353CC}">
              <c16:uniqueId val="{00000000-4523-458B-A9BB-89C02DB16B56}"/>
            </c:ext>
          </c:extLst>
        </c:ser>
        <c:ser>
          <c:idx val="2"/>
          <c:order val="1"/>
          <c:tx>
            <c:strRef>
              <c:f>PT!$G$3</c:f>
              <c:strCache>
                <c:ptCount val="1"/>
                <c:pt idx="0">
                  <c:v>ISR</c:v>
                </c:pt>
              </c:strCache>
            </c:strRef>
          </c:tx>
          <c:spPr>
            <a:solidFill>
              <a:schemeClr val="accent3"/>
            </a:solidFill>
            <a:ln>
              <a:noFill/>
            </a:ln>
            <a:effectLst/>
          </c:spPr>
          <c:invertIfNegative val="0"/>
          <c:cat>
            <c:strRef>
              <c:f>PT!$D$4:$D$13</c:f>
              <c:strCache>
                <c:ptCount val="10"/>
                <c:pt idx="0">
                  <c:v>hhd1</c:v>
                </c:pt>
                <c:pt idx="1">
                  <c:v>hhd2</c:v>
                </c:pt>
                <c:pt idx="2">
                  <c:v>hhd3</c:v>
                </c:pt>
                <c:pt idx="3">
                  <c:v>hhd4</c:v>
                </c:pt>
                <c:pt idx="4">
                  <c:v>hhd5</c:v>
                </c:pt>
                <c:pt idx="5">
                  <c:v>hhd6</c:v>
                </c:pt>
                <c:pt idx="6">
                  <c:v>hhd7</c:v>
                </c:pt>
                <c:pt idx="7">
                  <c:v>hhd8</c:v>
                </c:pt>
                <c:pt idx="8">
                  <c:v>hhd9</c:v>
                </c:pt>
                <c:pt idx="9">
                  <c:v>hhd10</c:v>
                </c:pt>
              </c:strCache>
            </c:strRef>
          </c:cat>
          <c:val>
            <c:numRef>
              <c:f>PT!$G$4:$G$13</c:f>
              <c:numCache>
                <c:formatCode>General</c:formatCode>
                <c:ptCount val="10"/>
                <c:pt idx="5" formatCode="0%">
                  <c:v>2.8345644102272926E-4</c:v>
                </c:pt>
                <c:pt idx="6" formatCode="0%">
                  <c:v>1.4862481159148505E-3</c:v>
                </c:pt>
                <c:pt idx="7" formatCode="0%">
                  <c:v>7.2920596369152515E-3</c:v>
                </c:pt>
                <c:pt idx="8" formatCode="0%">
                  <c:v>1.1136122349416896E-2</c:v>
                </c:pt>
                <c:pt idx="9" formatCode="0%">
                  <c:v>5.0708963599018775E-2</c:v>
                </c:pt>
              </c:numCache>
            </c:numRef>
          </c:val>
          <c:extLst>
            <c:ext xmlns:c16="http://schemas.microsoft.com/office/drawing/2014/chart" uri="{C3380CC4-5D6E-409C-BE32-E72D297353CC}">
              <c16:uniqueId val="{00000001-4523-458B-A9BB-89C02DB16B56}"/>
            </c:ext>
          </c:extLst>
        </c:ser>
        <c:ser>
          <c:idx val="1"/>
          <c:order val="2"/>
          <c:tx>
            <c:strRef>
              <c:f>PT!$F$3</c:f>
              <c:strCache>
                <c:ptCount val="1"/>
                <c:pt idx="0">
                  <c:v>IGV</c:v>
                </c:pt>
              </c:strCache>
            </c:strRef>
          </c:tx>
          <c:spPr>
            <a:solidFill>
              <a:schemeClr val="accent2"/>
            </a:solidFill>
            <a:ln>
              <a:noFill/>
            </a:ln>
            <a:effectLst/>
          </c:spPr>
          <c:invertIfNegative val="0"/>
          <c:cat>
            <c:strRef>
              <c:f>PT!$D$4:$D$13</c:f>
              <c:strCache>
                <c:ptCount val="10"/>
                <c:pt idx="0">
                  <c:v>hhd1</c:v>
                </c:pt>
                <c:pt idx="1">
                  <c:v>hhd2</c:v>
                </c:pt>
                <c:pt idx="2">
                  <c:v>hhd3</c:v>
                </c:pt>
                <c:pt idx="3">
                  <c:v>hhd4</c:v>
                </c:pt>
                <c:pt idx="4">
                  <c:v>hhd5</c:v>
                </c:pt>
                <c:pt idx="5">
                  <c:v>hhd6</c:v>
                </c:pt>
                <c:pt idx="6">
                  <c:v>hhd7</c:v>
                </c:pt>
                <c:pt idx="7">
                  <c:v>hhd8</c:v>
                </c:pt>
                <c:pt idx="8">
                  <c:v>hhd9</c:v>
                </c:pt>
                <c:pt idx="9">
                  <c:v>hhd10</c:v>
                </c:pt>
              </c:strCache>
            </c:strRef>
          </c:cat>
          <c:val>
            <c:numRef>
              <c:f>PT!$F$4:$F$13</c:f>
              <c:numCache>
                <c:formatCode>0%</c:formatCode>
                <c:ptCount val="10"/>
                <c:pt idx="0">
                  <c:v>8.5410949803231453E-2</c:v>
                </c:pt>
                <c:pt idx="1">
                  <c:v>5.8114850725764881E-2</c:v>
                </c:pt>
                <c:pt idx="2">
                  <c:v>4.2919084930575335E-2</c:v>
                </c:pt>
                <c:pt idx="3">
                  <c:v>3.9775614003548898E-2</c:v>
                </c:pt>
                <c:pt idx="4">
                  <c:v>3.9420377118160294E-2</c:v>
                </c:pt>
                <c:pt idx="5">
                  <c:v>3.819516098865601E-2</c:v>
                </c:pt>
                <c:pt idx="6">
                  <c:v>3.7912253853938746E-2</c:v>
                </c:pt>
                <c:pt idx="7">
                  <c:v>3.766288107728951E-2</c:v>
                </c:pt>
                <c:pt idx="8">
                  <c:v>3.6469644287921696E-2</c:v>
                </c:pt>
                <c:pt idx="9">
                  <c:v>2.4747043628205581E-2</c:v>
                </c:pt>
              </c:numCache>
            </c:numRef>
          </c:val>
          <c:extLst>
            <c:ext xmlns:c16="http://schemas.microsoft.com/office/drawing/2014/chart" uri="{C3380CC4-5D6E-409C-BE32-E72D297353CC}">
              <c16:uniqueId val="{00000002-4523-458B-A9BB-89C02DB16B56}"/>
            </c:ext>
          </c:extLst>
        </c:ser>
        <c:dLbls>
          <c:showLegendKey val="0"/>
          <c:showVal val="0"/>
          <c:showCatName val="0"/>
          <c:showSerName val="0"/>
          <c:showPercent val="0"/>
          <c:showBubbleSize val="0"/>
        </c:dLbls>
        <c:gapWidth val="150"/>
        <c:overlap val="100"/>
        <c:axId val="2112112000"/>
        <c:axId val="355220591"/>
      </c:barChart>
      <c:catAx>
        <c:axId val="211211200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Hogares</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w="9525" cap="flat" cmpd="sng" algn="ctr">
            <a:solidFill>
              <a:sysClr val="windowText" lastClr="000000"/>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55220591"/>
        <c:crosses val="autoZero"/>
        <c:auto val="1"/>
        <c:lblAlgn val="ctr"/>
        <c:lblOffset val="100"/>
        <c:noMultiLvlLbl val="0"/>
      </c:catAx>
      <c:valAx>
        <c:axId val="355220591"/>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Porcentaje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 sourceLinked="1"/>
        <c:majorTickMark val="out"/>
        <c:minorTickMark val="none"/>
        <c:tickLblPos val="nextTo"/>
        <c:spPr>
          <a:noFill/>
          <a:ln>
            <a:solidFill>
              <a:sysClr val="windowText" lastClr="000000"/>
            </a:solid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1211200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n-US"/>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strRef>
              <c:f>PT!$B$19</c:f>
              <c:strCache>
                <c:ptCount val="1"/>
                <c:pt idx="0">
                  <c:v>sim01</c:v>
                </c:pt>
              </c:strCache>
            </c:strRef>
          </c:tx>
          <c:spPr>
            <a:ln w="28575" cap="rnd">
              <a:solidFill>
                <a:schemeClr val="accent1"/>
              </a:solidFill>
              <a:round/>
            </a:ln>
            <a:effectLst/>
          </c:spPr>
          <c:marker>
            <c:symbol val="none"/>
          </c:marker>
          <c:cat>
            <c:strRef>
              <c:f>PT!$A$20:$A$29</c:f>
              <c:strCache>
                <c:ptCount val="10"/>
                <c:pt idx="0">
                  <c:v>hhd1</c:v>
                </c:pt>
                <c:pt idx="1">
                  <c:v>hhd2</c:v>
                </c:pt>
                <c:pt idx="2">
                  <c:v>hhd3</c:v>
                </c:pt>
                <c:pt idx="3">
                  <c:v>hhd4</c:v>
                </c:pt>
                <c:pt idx="4">
                  <c:v>hhd5</c:v>
                </c:pt>
                <c:pt idx="5">
                  <c:v>hhd6</c:v>
                </c:pt>
                <c:pt idx="6">
                  <c:v>hhd7</c:v>
                </c:pt>
                <c:pt idx="7">
                  <c:v>hhd8</c:v>
                </c:pt>
                <c:pt idx="8">
                  <c:v>hhd9</c:v>
                </c:pt>
                <c:pt idx="9">
                  <c:v>hhd10</c:v>
                </c:pt>
              </c:strCache>
            </c:strRef>
          </c:cat>
          <c:val>
            <c:numRef>
              <c:f>PT!$B$20:$B$29</c:f>
              <c:numCache>
                <c:formatCode>0%</c:formatCode>
                <c:ptCount val="10"/>
                <c:pt idx="0">
                  <c:v>0.15438274509021185</c:v>
                </c:pt>
                <c:pt idx="1">
                  <c:v>9.4415764607014244E-2</c:v>
                </c:pt>
                <c:pt idx="2">
                  <c:v>7.4361208655939773E-2</c:v>
                </c:pt>
                <c:pt idx="3">
                  <c:v>7.0004673884169144E-2</c:v>
                </c:pt>
                <c:pt idx="4">
                  <c:v>6.6740645662682063E-2</c:v>
                </c:pt>
                <c:pt idx="5">
                  <c:v>6.2178684956709869E-2</c:v>
                </c:pt>
                <c:pt idx="6">
                  <c:v>6.1629905634040444E-2</c:v>
                </c:pt>
                <c:pt idx="7">
                  <c:v>5.8806347265095898E-2</c:v>
                </c:pt>
                <c:pt idx="8">
                  <c:v>5.7959349563229727E-2</c:v>
                </c:pt>
                <c:pt idx="9">
                  <c:v>4.9735450616658787E-2</c:v>
                </c:pt>
              </c:numCache>
            </c:numRef>
          </c:val>
          <c:smooth val="0"/>
          <c:extLst>
            <c:ext xmlns:c16="http://schemas.microsoft.com/office/drawing/2014/chart" uri="{C3380CC4-5D6E-409C-BE32-E72D297353CC}">
              <c16:uniqueId val="{00000000-3CB7-4609-B395-B028384A449E}"/>
            </c:ext>
          </c:extLst>
        </c:ser>
        <c:ser>
          <c:idx val="1"/>
          <c:order val="1"/>
          <c:tx>
            <c:strRef>
              <c:f>PT!$C$19</c:f>
              <c:strCache>
                <c:ptCount val="1"/>
                <c:pt idx="0">
                  <c:v>sim02</c:v>
                </c:pt>
              </c:strCache>
            </c:strRef>
          </c:tx>
          <c:spPr>
            <a:ln w="28575" cap="rnd">
              <a:solidFill>
                <a:schemeClr val="accent2"/>
              </a:solidFill>
              <a:round/>
            </a:ln>
            <a:effectLst/>
          </c:spPr>
          <c:marker>
            <c:symbol val="none"/>
          </c:marker>
          <c:cat>
            <c:strRef>
              <c:f>PT!$A$20:$A$29</c:f>
              <c:strCache>
                <c:ptCount val="10"/>
                <c:pt idx="0">
                  <c:v>hhd1</c:v>
                </c:pt>
                <c:pt idx="1">
                  <c:v>hhd2</c:v>
                </c:pt>
                <c:pt idx="2">
                  <c:v>hhd3</c:v>
                </c:pt>
                <c:pt idx="3">
                  <c:v>hhd4</c:v>
                </c:pt>
                <c:pt idx="4">
                  <c:v>hhd5</c:v>
                </c:pt>
                <c:pt idx="5">
                  <c:v>hhd6</c:v>
                </c:pt>
                <c:pt idx="6">
                  <c:v>hhd7</c:v>
                </c:pt>
                <c:pt idx="7">
                  <c:v>hhd8</c:v>
                </c:pt>
                <c:pt idx="8">
                  <c:v>hhd9</c:v>
                </c:pt>
                <c:pt idx="9">
                  <c:v>hhd10</c:v>
                </c:pt>
              </c:strCache>
            </c:strRef>
          </c:cat>
          <c:val>
            <c:numRef>
              <c:f>PT!$C$20:$C$29</c:f>
              <c:numCache>
                <c:formatCode>0%</c:formatCode>
                <c:ptCount val="10"/>
                <c:pt idx="0">
                  <c:v>0.17274468018650893</c:v>
                </c:pt>
                <c:pt idx="1">
                  <c:v>0.1055277728838088</c:v>
                </c:pt>
                <c:pt idx="2">
                  <c:v>8.3176115665160907E-2</c:v>
                </c:pt>
                <c:pt idx="3">
                  <c:v>7.8363885245341117E-2</c:v>
                </c:pt>
                <c:pt idx="4">
                  <c:v>7.4752002133157427E-2</c:v>
                </c:pt>
                <c:pt idx="5">
                  <c:v>6.9645503386068106E-2</c:v>
                </c:pt>
                <c:pt idx="6">
                  <c:v>6.9064495402082843E-2</c:v>
                </c:pt>
                <c:pt idx="7">
                  <c:v>6.5864158822492136E-2</c:v>
                </c:pt>
                <c:pt idx="8">
                  <c:v>6.4982511855997169E-2</c:v>
                </c:pt>
                <c:pt idx="9">
                  <c:v>5.5880138440081988E-2</c:v>
                </c:pt>
              </c:numCache>
            </c:numRef>
          </c:val>
          <c:smooth val="0"/>
          <c:extLst>
            <c:ext xmlns:c16="http://schemas.microsoft.com/office/drawing/2014/chart" uri="{C3380CC4-5D6E-409C-BE32-E72D297353CC}">
              <c16:uniqueId val="{00000001-3CB7-4609-B395-B028384A449E}"/>
            </c:ext>
          </c:extLst>
        </c:ser>
        <c:ser>
          <c:idx val="2"/>
          <c:order val="2"/>
          <c:tx>
            <c:strRef>
              <c:f>PT!$D$19</c:f>
              <c:strCache>
                <c:ptCount val="1"/>
                <c:pt idx="0">
                  <c:v>sim03</c:v>
                </c:pt>
              </c:strCache>
            </c:strRef>
          </c:tx>
          <c:spPr>
            <a:ln w="28575" cap="rnd">
              <a:solidFill>
                <a:schemeClr val="accent3"/>
              </a:solidFill>
              <a:round/>
            </a:ln>
            <a:effectLst/>
          </c:spPr>
          <c:marker>
            <c:symbol val="none"/>
          </c:marker>
          <c:cat>
            <c:strRef>
              <c:f>PT!$A$20:$A$29</c:f>
              <c:strCache>
                <c:ptCount val="10"/>
                <c:pt idx="0">
                  <c:v>hhd1</c:v>
                </c:pt>
                <c:pt idx="1">
                  <c:v>hhd2</c:v>
                </c:pt>
                <c:pt idx="2">
                  <c:v>hhd3</c:v>
                </c:pt>
                <c:pt idx="3">
                  <c:v>hhd4</c:v>
                </c:pt>
                <c:pt idx="4">
                  <c:v>hhd5</c:v>
                </c:pt>
                <c:pt idx="5">
                  <c:v>hhd6</c:v>
                </c:pt>
                <c:pt idx="6">
                  <c:v>hhd7</c:v>
                </c:pt>
                <c:pt idx="7">
                  <c:v>hhd8</c:v>
                </c:pt>
                <c:pt idx="8">
                  <c:v>hhd9</c:v>
                </c:pt>
                <c:pt idx="9">
                  <c:v>hhd10</c:v>
                </c:pt>
              </c:strCache>
            </c:strRef>
          </c:cat>
          <c:val>
            <c:numRef>
              <c:f>PT!$D$20:$D$29</c:f>
              <c:numCache>
                <c:formatCode>0%</c:formatCode>
                <c:ptCount val="10"/>
                <c:pt idx="0">
                  <c:v>0.21156371580377409</c:v>
                </c:pt>
                <c:pt idx="1">
                  <c:v>0.12922361915321598</c:v>
                </c:pt>
                <c:pt idx="2">
                  <c:v>0.10187030192973025</c:v>
                </c:pt>
                <c:pt idx="3">
                  <c:v>9.5988599492341758E-2</c:v>
                </c:pt>
                <c:pt idx="4">
                  <c:v>9.1578010070825305E-2</c:v>
                </c:pt>
                <c:pt idx="5">
                  <c:v>8.5322528422222418E-2</c:v>
                </c:pt>
                <c:pt idx="6">
                  <c:v>8.4617096892558613E-2</c:v>
                </c:pt>
                <c:pt idx="7">
                  <c:v>8.0691270438130014E-2</c:v>
                </c:pt>
                <c:pt idx="8">
                  <c:v>7.962359159190599E-2</c:v>
                </c:pt>
                <c:pt idx="9">
                  <c:v>6.8493520630810212E-2</c:v>
                </c:pt>
              </c:numCache>
            </c:numRef>
          </c:val>
          <c:smooth val="0"/>
          <c:extLst>
            <c:ext xmlns:c16="http://schemas.microsoft.com/office/drawing/2014/chart" uri="{C3380CC4-5D6E-409C-BE32-E72D297353CC}">
              <c16:uniqueId val="{00000002-3CB7-4609-B395-B028384A449E}"/>
            </c:ext>
          </c:extLst>
        </c:ser>
        <c:ser>
          <c:idx val="3"/>
          <c:order val="3"/>
          <c:tx>
            <c:strRef>
              <c:f>PT!$E$19</c:f>
              <c:strCache>
                <c:ptCount val="1"/>
                <c:pt idx="0">
                  <c:v>sim04</c:v>
                </c:pt>
              </c:strCache>
            </c:strRef>
          </c:tx>
          <c:spPr>
            <a:ln w="28575" cap="rnd">
              <a:solidFill>
                <a:srgbClr val="8BC652"/>
              </a:solidFill>
              <a:round/>
            </a:ln>
            <a:effectLst/>
          </c:spPr>
          <c:marker>
            <c:symbol val="none"/>
          </c:marker>
          <c:cat>
            <c:strRef>
              <c:f>PT!$A$20:$A$29</c:f>
              <c:strCache>
                <c:ptCount val="10"/>
                <c:pt idx="0">
                  <c:v>hhd1</c:v>
                </c:pt>
                <c:pt idx="1">
                  <c:v>hhd2</c:v>
                </c:pt>
                <c:pt idx="2">
                  <c:v>hhd3</c:v>
                </c:pt>
                <c:pt idx="3">
                  <c:v>hhd4</c:v>
                </c:pt>
                <c:pt idx="4">
                  <c:v>hhd5</c:v>
                </c:pt>
                <c:pt idx="5">
                  <c:v>hhd6</c:v>
                </c:pt>
                <c:pt idx="6">
                  <c:v>hhd7</c:v>
                </c:pt>
                <c:pt idx="7">
                  <c:v>hhd8</c:v>
                </c:pt>
                <c:pt idx="8">
                  <c:v>hhd9</c:v>
                </c:pt>
                <c:pt idx="9">
                  <c:v>hhd10</c:v>
                </c:pt>
              </c:strCache>
            </c:strRef>
          </c:cat>
          <c:val>
            <c:numRef>
              <c:f>PT!$E$20:$E$29</c:f>
              <c:numCache>
                <c:formatCode>0%</c:formatCode>
                <c:ptCount val="10"/>
                <c:pt idx="0">
                  <c:v>0.15709214709614056</c:v>
                </c:pt>
                <c:pt idx="1">
                  <c:v>8.8053830414016557E-2</c:v>
                </c:pt>
                <c:pt idx="2">
                  <c:v>6.7905655053759909E-2</c:v>
                </c:pt>
                <c:pt idx="3">
                  <c:v>6.5930671242319855E-2</c:v>
                </c:pt>
                <c:pt idx="4">
                  <c:v>6.5187183272832822E-2</c:v>
                </c:pt>
                <c:pt idx="5">
                  <c:v>6.2260389702785655E-2</c:v>
                </c:pt>
                <c:pt idx="6">
                  <c:v>6.3401209126093622E-2</c:v>
                </c:pt>
                <c:pt idx="7">
                  <c:v>6.3565234604480825E-2</c:v>
                </c:pt>
                <c:pt idx="8">
                  <c:v>6.5016681340028026E-2</c:v>
                </c:pt>
                <c:pt idx="9">
                  <c:v>5.7325921345204402E-2</c:v>
                </c:pt>
              </c:numCache>
            </c:numRef>
          </c:val>
          <c:smooth val="0"/>
          <c:extLst>
            <c:ext xmlns:c16="http://schemas.microsoft.com/office/drawing/2014/chart" uri="{C3380CC4-5D6E-409C-BE32-E72D297353CC}">
              <c16:uniqueId val="{00000003-3CB7-4609-B395-B028384A449E}"/>
            </c:ext>
          </c:extLst>
        </c:ser>
        <c:dLbls>
          <c:showLegendKey val="0"/>
          <c:showVal val="0"/>
          <c:showCatName val="0"/>
          <c:showSerName val="0"/>
          <c:showPercent val="0"/>
          <c:showBubbleSize val="0"/>
        </c:dLbls>
        <c:smooth val="0"/>
        <c:axId val="2116769920"/>
        <c:axId val="394168175"/>
      </c:lineChart>
      <c:catAx>
        <c:axId val="211676992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Hogares</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w="9525" cap="flat" cmpd="sng" algn="ctr">
            <a:solidFill>
              <a:sysClr val="windowText" lastClr="000000"/>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4168175"/>
        <c:crosses val="autoZero"/>
        <c:auto val="1"/>
        <c:lblAlgn val="ctr"/>
        <c:lblOffset val="100"/>
        <c:noMultiLvlLbl val="0"/>
      </c:catAx>
      <c:valAx>
        <c:axId val="394168175"/>
        <c:scaling>
          <c:orientation val="minMax"/>
        </c:scaling>
        <c:delete val="0"/>
        <c:axPos val="l"/>
        <c:majorGridlines>
          <c:spPr>
            <a:ln w="9525" cap="flat" cmpd="sng" algn="ctr">
              <a:solidFill>
                <a:schemeClr val="tx1">
                  <a:lumMod val="15000"/>
                  <a:lumOff val="85000"/>
                </a:schemeClr>
              </a:solidFill>
              <a:prstDash val="sysDash"/>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Porcentaje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 sourceLinked="1"/>
        <c:majorTickMark val="out"/>
        <c:minorTickMark val="none"/>
        <c:tickLblPos val="nextTo"/>
        <c:spPr>
          <a:noFill/>
          <a:ln>
            <a:solidFill>
              <a:sysClr val="windowText" lastClr="000000"/>
            </a:solid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167699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4">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PT!$B$36</c:f>
              <c:strCache>
                <c:ptCount val="1"/>
                <c:pt idx="0">
                  <c:v>Base</c:v>
                </c:pt>
              </c:strCache>
            </c:strRef>
          </c:tx>
          <c:spPr>
            <a:solidFill>
              <a:schemeClr val="accent1"/>
            </a:solidFill>
            <a:ln>
              <a:noFill/>
            </a:ln>
            <a:effectLst/>
          </c:spPr>
          <c:invertIfNegative val="0"/>
          <c:cat>
            <c:strRef>
              <c:f>PT!$A$37:$A$46</c:f>
              <c:strCache>
                <c:ptCount val="10"/>
                <c:pt idx="0">
                  <c:v>hhd1</c:v>
                </c:pt>
                <c:pt idx="1">
                  <c:v>hhd2</c:v>
                </c:pt>
                <c:pt idx="2">
                  <c:v>hhd3</c:v>
                </c:pt>
                <c:pt idx="3">
                  <c:v>hhd4</c:v>
                </c:pt>
                <c:pt idx="4">
                  <c:v>hhd5</c:v>
                </c:pt>
                <c:pt idx="5">
                  <c:v>hhd6</c:v>
                </c:pt>
                <c:pt idx="6">
                  <c:v>hhd7</c:v>
                </c:pt>
                <c:pt idx="7">
                  <c:v>hhd8</c:v>
                </c:pt>
                <c:pt idx="8">
                  <c:v>hhd9</c:v>
                </c:pt>
                <c:pt idx="9">
                  <c:v>hhd10</c:v>
                </c:pt>
              </c:strCache>
            </c:strRef>
          </c:cat>
          <c:val>
            <c:numRef>
              <c:f>PT!$B$37:$B$46</c:f>
              <c:numCache>
                <c:formatCode>0%</c:formatCode>
                <c:ptCount val="10"/>
                <c:pt idx="0">
                  <c:v>0.12343940595656089</c:v>
                </c:pt>
                <c:pt idx="1">
                  <c:v>8.0334571673672778E-2</c:v>
                </c:pt>
                <c:pt idx="2">
                  <c:v>5.7951671100921087E-2</c:v>
                </c:pt>
                <c:pt idx="3">
                  <c:v>5.323712796558696E-2</c:v>
                </c:pt>
                <c:pt idx="4">
                  <c:v>5.0739030521521067E-2</c:v>
                </c:pt>
                <c:pt idx="5">
                  <c:v>4.8420039093724734E-2</c:v>
                </c:pt>
                <c:pt idx="6">
                  <c:v>4.8549046681821889E-2</c:v>
                </c:pt>
                <c:pt idx="7">
                  <c:v>5.1476215777832894E-2</c:v>
                </c:pt>
                <c:pt idx="8">
                  <c:v>5.3297087520252279E-2</c:v>
                </c:pt>
                <c:pt idx="9">
                  <c:v>7.8765030959472709E-2</c:v>
                </c:pt>
              </c:numCache>
            </c:numRef>
          </c:val>
          <c:extLst>
            <c:ext xmlns:c16="http://schemas.microsoft.com/office/drawing/2014/chart" uri="{C3380CC4-5D6E-409C-BE32-E72D297353CC}">
              <c16:uniqueId val="{00000000-D1D5-436C-865E-C04C4E93D012}"/>
            </c:ext>
          </c:extLst>
        </c:ser>
        <c:ser>
          <c:idx val="1"/>
          <c:order val="1"/>
          <c:tx>
            <c:strRef>
              <c:f>PT!$C$36</c:f>
              <c:strCache>
                <c:ptCount val="1"/>
                <c:pt idx="0">
                  <c:v>sim05</c:v>
                </c:pt>
              </c:strCache>
            </c:strRef>
          </c:tx>
          <c:spPr>
            <a:solidFill>
              <a:schemeClr val="accent2"/>
            </a:solidFill>
            <a:ln>
              <a:noFill/>
            </a:ln>
            <a:effectLst/>
          </c:spPr>
          <c:invertIfNegative val="0"/>
          <c:cat>
            <c:strRef>
              <c:f>PT!$A$37:$A$46</c:f>
              <c:strCache>
                <c:ptCount val="10"/>
                <c:pt idx="0">
                  <c:v>hhd1</c:v>
                </c:pt>
                <c:pt idx="1">
                  <c:v>hhd2</c:v>
                </c:pt>
                <c:pt idx="2">
                  <c:v>hhd3</c:v>
                </c:pt>
                <c:pt idx="3">
                  <c:v>hhd4</c:v>
                </c:pt>
                <c:pt idx="4">
                  <c:v>hhd5</c:v>
                </c:pt>
                <c:pt idx="5">
                  <c:v>hhd6</c:v>
                </c:pt>
                <c:pt idx="6">
                  <c:v>hhd7</c:v>
                </c:pt>
                <c:pt idx="7">
                  <c:v>hhd8</c:v>
                </c:pt>
                <c:pt idx="8">
                  <c:v>hhd9</c:v>
                </c:pt>
                <c:pt idx="9">
                  <c:v>hhd10</c:v>
                </c:pt>
              </c:strCache>
            </c:strRef>
          </c:cat>
          <c:val>
            <c:numRef>
              <c:f>PT!$C$37:$C$46</c:f>
              <c:numCache>
                <c:formatCode>0%</c:formatCode>
                <c:ptCount val="10"/>
                <c:pt idx="0">
                  <c:v>4.0330885150565564E-2</c:v>
                </c:pt>
                <c:pt idx="1">
                  <c:v>2.3866171222679731E-2</c:v>
                </c:pt>
                <c:pt idx="2">
                  <c:v>1.6269817608155358E-2</c:v>
                </c:pt>
                <c:pt idx="3">
                  <c:v>1.45943319720297E-2</c:v>
                </c:pt>
                <c:pt idx="4">
                  <c:v>1.2285264716648847E-2</c:v>
                </c:pt>
                <c:pt idx="5">
                  <c:v>1.1681206237294567E-2</c:v>
                </c:pt>
                <c:pt idx="6">
                  <c:v>1.4415200747725357E-2</c:v>
                </c:pt>
                <c:pt idx="7">
                  <c:v>2.8962714388325064E-2</c:v>
                </c:pt>
                <c:pt idx="8">
                  <c:v>3.9550996747830872E-2</c:v>
                </c:pt>
                <c:pt idx="9">
                  <c:v>0.15590211890775449</c:v>
                </c:pt>
              </c:numCache>
            </c:numRef>
          </c:val>
          <c:extLst>
            <c:ext xmlns:c16="http://schemas.microsoft.com/office/drawing/2014/chart" uri="{C3380CC4-5D6E-409C-BE32-E72D297353CC}">
              <c16:uniqueId val="{00000001-D1D5-436C-865E-C04C4E93D012}"/>
            </c:ext>
          </c:extLst>
        </c:ser>
        <c:dLbls>
          <c:showLegendKey val="0"/>
          <c:showVal val="0"/>
          <c:showCatName val="0"/>
          <c:showSerName val="0"/>
          <c:showPercent val="0"/>
          <c:showBubbleSize val="0"/>
        </c:dLbls>
        <c:gapWidth val="219"/>
        <c:overlap val="-27"/>
        <c:axId val="667315680"/>
        <c:axId val="490502703"/>
      </c:barChart>
      <c:catAx>
        <c:axId val="66731568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Hogares</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w="9525" cap="flat" cmpd="sng" algn="ctr">
            <a:solidFill>
              <a:sysClr val="windowText" lastClr="000000"/>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90502703"/>
        <c:crosses val="autoZero"/>
        <c:auto val="1"/>
        <c:lblAlgn val="ctr"/>
        <c:lblOffset val="100"/>
        <c:noMultiLvlLbl val="0"/>
      </c:catAx>
      <c:valAx>
        <c:axId val="490502703"/>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Porcentaje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 sourceLinked="1"/>
        <c:majorTickMark val="out"/>
        <c:minorTickMark val="none"/>
        <c:tickLblPos val="nextTo"/>
        <c:spPr>
          <a:noFill/>
          <a:ln>
            <a:solidFill>
              <a:sysClr val="windowText" lastClr="000000"/>
            </a:solid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673156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4">
    <c:autoUpdate val="0"/>
  </c:externalData>
</c:chartSpace>
</file>

<file path=word/charts/chartEx1.xml><?xml version="1.0" encoding="utf-8"?>
<cx:chartSpace xmlns:a="http://schemas.openxmlformats.org/drawingml/2006/main" xmlns:r="http://schemas.openxmlformats.org/officeDocument/2006/relationships" xmlns:cx="http://schemas.microsoft.com/office/drawing/2014/chartex">
  <cx:chartData>
    <cx:externalData r:id="rId1" cx:autoUpdate="0"/>
    <cx:data id="0">
      <cx:strDim type="cat">
        <cx:f>Ingreso_G!$A$1:$B$8</cx:f>
        <cx:lvl ptCount="8">
          <cx:pt idx="0">Hogares</cx:pt>
          <cx:pt idx="1">Empresas</cx:pt>
          <cx:pt idx="2">Factores</cx:pt>
          <cx:pt idx="3">Actividades</cx:pt>
          <cx:pt idx="4">Directos</cx:pt>
          <cx:pt idx="5">Bienes</cx:pt>
          <cx:pt idx="6">IGV</cx:pt>
          <cx:pt idx="7">Aranceles</cx:pt>
        </cx:lvl>
        <cx:lvl ptCount="8">
          <cx:pt idx="0">Transferencias internas</cx:pt>
          <cx:pt idx="1">Transferencias internas</cx:pt>
          <cx:pt idx="2">Factores</cx:pt>
          <cx:pt idx="3">Actividades</cx:pt>
          <cx:pt idx="4">Impuestos directos</cx:pt>
          <cx:pt idx="5">Impuestos indirectos</cx:pt>
          <cx:pt idx="6">Impuestos indirectos</cx:pt>
          <cx:pt idx="7">Aranceles</cx:pt>
        </cx:lvl>
      </cx:strDim>
      <cx:numDim type="size">
        <cx:f>Ingreso_G!$C$1:$C$8</cx:f>
        <cx:lvl ptCount="8" formatCode="0%">
          <cx:pt idx="0">0.32000000000000001</cx:pt>
          <cx:pt idx="1">0.070000000000000007</cx:pt>
          <cx:pt idx="2">0.01</cx:pt>
          <cx:pt idx="3">0.10000000000000001</cx:pt>
          <cx:pt idx="4">0.17999999999999999</cx:pt>
          <cx:pt idx="5">0.029999999999999999</cx:pt>
          <cx:pt idx="6">0.17999999999999999</cx:pt>
          <cx:pt idx="7">0.11</cx:pt>
        </cx:lvl>
      </cx:numDim>
    </cx:data>
  </cx:chartData>
  <cx:chart>
    <cx:plotArea>
      <cx:plotAreaRegion>
        <cx:series layoutId="sunburst" uniqueId="{14B3853D-4221-4710-B659-DB6C95D8BD00}">
          <cx:dataPt idx="0">
            <cx:spPr>
              <a:solidFill>
                <a:srgbClr val="8BC652"/>
              </a:solidFill>
            </cx:spPr>
          </cx:dataPt>
          <cx:dataPt idx="3">
            <cx:spPr>
              <a:solidFill>
                <a:srgbClr val="F6B53F"/>
              </a:solidFill>
            </cx:spPr>
          </cx:dataPt>
          <cx:dataPt idx="5">
            <cx:spPr>
              <a:solidFill>
                <a:srgbClr val="8A8A8A"/>
              </a:solidFill>
            </cx:spPr>
          </cx:dataPt>
          <cx:dataPt idx="7">
            <cx:spPr>
              <a:solidFill>
                <a:srgbClr val="E94649"/>
              </a:solidFill>
            </cx:spPr>
          </cx:dataPt>
          <cx:dataPt idx="9">
            <cx:spPr>
              <a:solidFill>
                <a:srgbClr val="005277"/>
              </a:solidFill>
            </cx:spPr>
          </cx:dataPt>
          <cx:dataPt idx="12">
            <cx:spPr>
              <a:solidFill>
                <a:srgbClr val="6FAAB0"/>
              </a:solidFill>
            </cx:spPr>
          </cx:dataPt>
          <cx:dataLabels pos="ctr">
            <cx:visibility seriesName="0" categoryName="1" value="1"/>
            <cx:separator>, </cx:separator>
          </cx:dataLabels>
          <cx:dataId val="0"/>
        </cx:series>
      </cx:plotAreaRegion>
    </cx:plotArea>
    <cx:legend pos="r" align="ctr" overlay="0"/>
  </cx:chart>
  <cx:spPr>
    <a:ln>
      <a:noFill/>
    </a:ln>
  </cx:spPr>
</cx:chartSpace>
</file>

<file path=word/charts/chartEx2.xml><?xml version="1.0" encoding="utf-8"?>
<cx:chartSpace xmlns:a="http://schemas.openxmlformats.org/drawingml/2006/main" xmlns:r="http://schemas.openxmlformats.org/officeDocument/2006/relationships" xmlns:cx="http://schemas.microsoft.com/office/drawing/2014/chartex">
  <cx:chartData>
    <cx:externalData r:id="rId1" cx:autoUpdate="0"/>
    <cx:data id="0">
      <cx:strDim type="cat">
        <cx:f>Alicuotas!$A$2:$A$19</cx:f>
        <cx:lvl ptCount="18">
          <cx:pt idx="0">Hoteles y Restaurantes</cx:pt>
          <cx:pt idx="1">Maquinaria</cx:pt>
          <cx:pt idx="2">Alimentos</cx:pt>
          <cx:pt idx="3">Vehículos</cx:pt>
          <cx:pt idx="4">Metálicos</cx:pt>
          <cx:pt idx="5">Bebidas y tabaco</cx:pt>
          <cx:pt idx="6">Textiles y cuero</cx:pt>
          <cx:pt idx="7">Químicos</cx:pt>
          <cx:pt idx="8">Manufactura</cx:pt>
          <cx:pt idx="9">Caucho y plásticos</cx:pt>
          <cx:pt idx="10">Otros</cx:pt>
          <cx:pt idx="11">Comunicaciones</cx:pt>
          <cx:pt idx="12">No métalicos</cx:pt>
          <cx:pt idx="13">Comercio</cx:pt>
          <cx:pt idx="14">Otros servicios</cx:pt>
          <cx:pt idx="15">Financiero</cx:pt>
          <cx:pt idx="16">Electricidad y gas</cx:pt>
          <cx:pt idx="17">Minería</cx:pt>
        </cx:lvl>
      </cx:strDim>
      <cx:numDim type="size">
        <cx:f>Alicuotas!$B$2:$B$19</cx:f>
        <cx:lvl ptCount="18" formatCode="0.00%">
          <cx:pt idx="0">0.14349999999999999</cx:pt>
          <cx:pt idx="1">0.094100000000000003</cx:pt>
          <cx:pt idx="2">0.087999999999999995</cx:pt>
          <cx:pt idx="3">0.078100000000000003</cx:pt>
          <cx:pt idx="4">0.059499999999999997</cx:pt>
          <cx:pt idx="5">0.0567</cx:pt>
          <cx:pt idx="6">0.052999999999999999</cx:pt>
          <cx:pt idx="7">0.070300000000000001</cx:pt>
          <cx:pt idx="8">0.049099999999999998</cx:pt>
          <cx:pt idx="9">0.036499999999999998</cx:pt>
          <cx:pt idx="10">0.034799999999999998</cx:pt>
          <cx:pt idx="11">0.068000000000000005</cx:pt>
          <cx:pt idx="12">0.049200000000000001</cx:pt>
          <cx:pt idx="13">0.033000000000000002</cx:pt>
          <cx:pt idx="14">0.029000000000000001</cx:pt>
          <cx:pt idx="15">0.0161</cx:pt>
          <cx:pt idx="16">0.0281</cx:pt>
          <cx:pt idx="17">0.012999999999999999</cx:pt>
        </cx:lvl>
      </cx:numDim>
    </cx:data>
  </cx:chartData>
  <cx:chart>
    <cx:plotArea>
      <cx:plotAreaRegion>
        <cx:series layoutId="treemap" uniqueId="{070B58B7-CE6B-44DC-AF96-BFB63FFE47D6}">
          <cx:dataLabels pos="inEnd">
            <cx:txPr>
              <a:bodyPr spcFirstLastPara="1" vertOverflow="ellipsis" horzOverflow="overflow" wrap="square" lIns="0" tIns="0" rIns="0" bIns="0" anchor="ctr" anchorCtr="1"/>
              <a:lstStyle/>
              <a:p>
                <a:pPr algn="ctr" rtl="0">
                  <a:defRPr sz="1100"/>
                </a:pPr>
                <a:endParaRPr lang="en-US" sz="1100" b="0" i="0" u="none" strike="noStrike" baseline="0">
                  <a:solidFill>
                    <a:sysClr val="window" lastClr="FFFFFF"/>
                  </a:solidFill>
                  <a:latin typeface="Calibri" panose="020F0502020204030204"/>
                </a:endParaRPr>
              </a:p>
            </cx:txPr>
            <cx:visibility seriesName="0" categoryName="1" value="1"/>
            <cx:separator>, </cx:separator>
            <cx:dataLabel idx="14">
              <cx:txPr>
                <a:bodyPr spcFirstLastPara="1" vertOverflow="ellipsis" horzOverflow="overflow" wrap="square" lIns="0" tIns="0" rIns="0" bIns="0" anchor="ctr" anchorCtr="1"/>
                <a:lstStyle/>
                <a:p>
                  <a:pPr algn="ctr" rtl="0">
                    <a:defRPr>
                      <a:solidFill>
                        <a:sysClr val="windowText" lastClr="000000"/>
                      </a:solidFill>
                    </a:defRPr>
                  </a:pPr>
                  <a:r>
                    <a:rPr lang="en-US" sz="900" b="0" i="0" u="none" strike="noStrike" baseline="0">
                      <a:solidFill>
                        <a:sysClr val="windowText" lastClr="000000"/>
                      </a:solidFill>
                      <a:latin typeface="Calibri" panose="020F0502020204030204"/>
                    </a:rPr>
                    <a:t>Otros servicios, 2.90%</a:t>
                  </a:r>
                </a:p>
              </cx:txPr>
              <cx:visibility seriesName="0" categoryName="1" value="1"/>
              <cx:separator>, </cx:separator>
            </cx:dataLabel>
            <cx:dataLabel idx="15">
              <cx:txPr>
                <a:bodyPr spcFirstLastPara="1" vertOverflow="ellipsis" horzOverflow="overflow" wrap="square" lIns="0" tIns="0" rIns="0" bIns="0" anchor="ctr" anchorCtr="1"/>
                <a:lstStyle/>
                <a:p>
                  <a:pPr algn="ctr" rtl="0">
                    <a:defRPr>
                      <a:solidFill>
                        <a:sysClr val="windowText" lastClr="000000"/>
                      </a:solidFill>
                    </a:defRPr>
                  </a:pPr>
                  <a:r>
                    <a:rPr lang="en-US" sz="900" b="0" i="0" u="none" strike="noStrike" baseline="0">
                      <a:solidFill>
                        <a:sysClr val="windowText" lastClr="000000"/>
                      </a:solidFill>
                      <a:latin typeface="Calibri" panose="020F0502020204030204"/>
                    </a:rPr>
                    <a:t>Financiero, 1.61%</a:t>
                  </a:r>
                </a:p>
              </cx:txPr>
              <cx:visibility seriesName="0" categoryName="1" value="1"/>
              <cx:separator>, </cx:separator>
            </cx:dataLabel>
            <cx:dataLabel idx="16">
              <cx:txPr>
                <a:bodyPr spcFirstLastPara="1" vertOverflow="ellipsis" horzOverflow="overflow" wrap="square" lIns="0" tIns="0" rIns="0" bIns="0" anchor="ctr" anchorCtr="1"/>
                <a:lstStyle/>
                <a:p>
                  <a:pPr algn="ctr" rtl="0">
                    <a:defRPr>
                      <a:solidFill>
                        <a:sysClr val="windowText" lastClr="000000"/>
                      </a:solidFill>
                    </a:defRPr>
                  </a:pPr>
                  <a:r>
                    <a:rPr lang="en-US" sz="900" b="0" i="0" u="none" strike="noStrike" baseline="0">
                      <a:solidFill>
                        <a:sysClr val="windowText" lastClr="000000"/>
                      </a:solidFill>
                      <a:latin typeface="Calibri" panose="020F0502020204030204"/>
                    </a:rPr>
                    <a:t>Electricidad y gas, 2.81%</a:t>
                  </a:r>
                </a:p>
              </cx:txPr>
              <cx:visibility seriesName="0" categoryName="1" value="1"/>
              <cx:separator>, </cx:separator>
            </cx:dataLabel>
            <cx:dataLabel idx="17">
              <cx:txPr>
                <a:bodyPr spcFirstLastPara="1" vertOverflow="ellipsis" horzOverflow="overflow" wrap="square" lIns="0" tIns="0" rIns="0" bIns="0" anchor="ctr" anchorCtr="1"/>
                <a:lstStyle/>
                <a:p>
                  <a:pPr algn="ctr" rtl="0">
                    <a:defRPr>
                      <a:solidFill>
                        <a:sysClr val="windowText" lastClr="000000"/>
                      </a:solidFill>
                    </a:defRPr>
                  </a:pPr>
                  <a:r>
                    <a:rPr lang="en-US" sz="900" b="0" i="0" u="none" strike="noStrike" baseline="0">
                      <a:solidFill>
                        <a:sysClr val="windowText" lastClr="000000"/>
                      </a:solidFill>
                      <a:latin typeface="Calibri" panose="020F0502020204030204"/>
                    </a:rPr>
                    <a:t>Minería, 1.30%</a:t>
                  </a:r>
                </a:p>
              </cx:txPr>
              <cx:visibility seriesName="0" categoryName="1" value="1"/>
              <cx:separator>, </cx:separator>
            </cx:dataLabel>
          </cx:dataLabels>
          <cx:dataId val="0"/>
          <cx:layoutPr>
            <cx:parentLabelLayout val="overlapping"/>
          </cx:layoutPr>
        </cx:series>
      </cx:plotAreaRegion>
    </cx:plotArea>
  </cx:chart>
  <cx:spPr>
    <a:ln>
      <a:noFill/>
    </a:ln>
  </cx:spPr>
  <cx:clrMapOvr bg1="lt1" tx1="dk1" bg2="lt2" tx2="dk2" accent1="accent1" accent2="accent2" accent3="accent3" accent4="accent4" accent5="accent5" accent6="accent6" hlink="hlink" folHlink="folHlink"/>
</cx:chartSpace>
</file>

<file path=word/charts/chartEx3.xml><?xml version="1.0" encoding="utf-8"?>
<cx:chartSpace xmlns:a="http://schemas.openxmlformats.org/drawingml/2006/main" xmlns:r="http://schemas.openxmlformats.org/officeDocument/2006/relationships" xmlns:cx="http://schemas.microsoft.com/office/drawing/2014/chartex">
  <cx:chartData>
    <cx:externalData r:id="rId1" cx:autoUpdate="0"/>
    <cx:data id="0">
      <cx:strDim type="cat">
        <cx:f>Prod!$J$2:$J$32</cx:f>
        <cx:lvl ptCount="31">
          <cx:pt idx="0">Agricultura</cx:pt>
          <cx:pt idx="1">Café</cx:pt>
          <cx:pt idx="2">Silvicultura</cx:pt>
          <cx:pt idx="3">Pesca</cx:pt>
          <cx:pt idx="4">Minería</cx:pt>
          <cx:pt idx="5">Alimentos</cx:pt>
          <cx:pt idx="6">Prod Café</cx:pt>
          <cx:pt idx="7">Bebidas alcohólicas y tabaco</cx:pt>
          <cx:pt idx="8">Textiles</cx:pt>
          <cx:pt idx="9">Refinados del petróleo</cx:pt>
          <cx:pt idx="10">Caucho y plástico</cx:pt>
          <cx:pt idx="11">Químicos</cx:pt>
          <cx:pt idx="12">No metálicos</cx:pt>
          <cx:pt idx="13">Metálicos</cx:pt>
          <cx:pt idx="14">Maquinaria</cx:pt>
          <cx:pt idx="15">Vehículos</cx:pt>
          <cx:pt idx="16">Manufactura</cx:pt>
          <cx:pt idx="17">Electricidad y gas</cx:pt>
          <cx:pt idx="18">Agua</cx:pt>
          <cx:pt idx="19">Construcción</cx:pt>
          <cx:pt idx="20">Comercio</cx:pt>
          <cx:pt idx="21">Transporte</cx:pt>
          <cx:pt idx="22">Hoteles y restaurantes</cx:pt>
          <cx:pt idx="23">Comunicación</cx:pt>
          <cx:pt idx="24">Servicios profesionales</cx:pt>
          <cx:pt idx="25">Finanzas</cx:pt>
          <cx:pt idx="26">Educación</cx:pt>
          <cx:pt idx="27">Salud</cx:pt>
          <cx:pt idx="28">Otros servicios</cx:pt>
          <cx:pt idx="29">Servicios domésticos</cx:pt>
          <cx:pt idx="30">Administración pública</cx:pt>
        </cx:lvl>
      </cx:strDim>
      <cx:numDim type="val">
        <cx:f>Prod!$K$2:$K$31</cx:f>
        <cx:lvl ptCount="30" formatCode="0.0%">
          <cx:pt idx="0">-0.010619973784800507</cx:pt>
          <cx:pt idx="1">-0.026715912218930216</cx:pt>
          <cx:pt idx="2">-0.039089845332913153</cx:pt>
          <cx:pt idx="3">-0.01036984678467201</cx:pt>
          <cx:pt idx="4">0.17000529278804422</cx:pt>
          <cx:pt idx="5">-0.026145063471052943</cx:pt>
          <cx:pt idx="6">-0.051685570414561566</cx:pt>
          <cx:pt idx="7">0.026768539980995376</cx:pt>
          <cx:pt idx="8">0.037932661081165664</cx:pt>
          <cx:pt idx="9">0.033233229890367477</cx:pt>
          <cx:pt idx="10">0.14306634152169351</cx:pt>
          <cx:pt idx="11">0.042026352208682116</cx:pt>
          <cx:pt idx="12">0.1860263113980869</cx:pt>
          <cx:pt idx="13">0.30597867795611333</cx:pt>
          <cx:pt idx="14">0.18736998089800783</cx:pt>
          <cx:pt idx="15">0.1520722891153703</cx:pt>
          <cx:pt idx="16">0.052397988597261858</cx:pt>
          <cx:pt idx="17">0.022524292549656488</cx:pt>
          <cx:pt idx="18">-0.012899447459810531</cx:pt>
          <cx:pt idx="19">0.17432658795226064</cx:pt>
          <cx:pt idx="20">0.030068462831506215</cx:pt>
          <cx:pt idx="21">-0.0092466467408705011</cx:pt>
          <cx:pt idx="22">0.081649670114863238</cx:pt>
          <cx:pt idx="23">0.036054037796068084</cx:pt>
          <cx:pt idx="24">0.063106211877795415</cx:pt>
          <cx:pt idx="25">-0.012419859382489462</cx:pt>
          <cx:pt idx="26">-0.038559372148735838</cx:pt>
          <cx:pt idx="27">-0.041658804859583176</cx:pt>
          <cx:pt idx="28">-0.018815068409462898</cx:pt>
          <cx:pt idx="29">-0.091429365949489916</cx:pt>
        </cx:lvl>
      </cx:numDim>
    </cx:data>
    <cx:data id="1">
      <cx:strDim type="cat">
        <cx:f>Prod!$J$2:$J$32</cx:f>
        <cx:lvl ptCount="31">
          <cx:pt idx="0">Agricultura</cx:pt>
          <cx:pt idx="1">Café</cx:pt>
          <cx:pt idx="2">Silvicultura</cx:pt>
          <cx:pt idx="3">Pesca</cx:pt>
          <cx:pt idx="4">Minería</cx:pt>
          <cx:pt idx="5">Alimentos</cx:pt>
          <cx:pt idx="6">Prod Café</cx:pt>
          <cx:pt idx="7">Bebidas alcohólicas y tabaco</cx:pt>
          <cx:pt idx="8">Textiles</cx:pt>
          <cx:pt idx="9">Refinados del petróleo</cx:pt>
          <cx:pt idx="10">Caucho y plástico</cx:pt>
          <cx:pt idx="11">Químicos</cx:pt>
          <cx:pt idx="12">No metálicos</cx:pt>
          <cx:pt idx="13">Metálicos</cx:pt>
          <cx:pt idx="14">Maquinaria</cx:pt>
          <cx:pt idx="15">Vehículos</cx:pt>
          <cx:pt idx="16">Manufactura</cx:pt>
          <cx:pt idx="17">Electricidad y gas</cx:pt>
          <cx:pt idx="18">Agua</cx:pt>
          <cx:pt idx="19">Construcción</cx:pt>
          <cx:pt idx="20">Comercio</cx:pt>
          <cx:pt idx="21">Transporte</cx:pt>
          <cx:pt idx="22">Hoteles y restaurantes</cx:pt>
          <cx:pt idx="23">Comunicación</cx:pt>
          <cx:pt idx="24">Servicios profesionales</cx:pt>
          <cx:pt idx="25">Finanzas</cx:pt>
          <cx:pt idx="26">Educación</cx:pt>
          <cx:pt idx="27">Salud</cx:pt>
          <cx:pt idx="28">Otros servicios</cx:pt>
          <cx:pt idx="29">Servicios domésticos</cx:pt>
          <cx:pt idx="30">Administración pública</cx:pt>
        </cx:lvl>
      </cx:strDim>
      <cx:numDim type="val">
        <cx:f>Prod!$L$2:$L$31</cx:f>
        <cx:lvl ptCount="30" formatCode="0%">
          <cx:pt idx="0">0.025596916807173686</cx:pt>
          <cx:pt idx="1">-0.064852584545370795</cx:pt>
          <cx:pt idx="2">-0.0054330626386993597</cx:pt>
          <cx:pt idx="3">0.039799600683537717</cx:pt>
          <cx:pt idx="4">0.029799872998439447</cx:pt>
          <cx:pt idx="5">0.035676403778130528</cx:pt>
          <cx:pt idx="6">-0.061127432126589554</cx:pt>
          <cx:pt idx="7">0.13322864559358072</cx:pt>
          <cx:pt idx="8">0.10013405259636987</cx:pt>
          <cx:pt idx="9">0.044754361974853385</cx:pt>
          <cx:pt idx="10">0.14652680807793406</cx:pt>
          <cx:pt idx="11">0.072702937226624575</cx:pt>
          <cx:pt idx="12">0.043800453051532795</cx:pt>
          <cx:pt idx="13">0.18087288707260307</cx:pt>
          <cx:pt idx="14">0.14737358087585606</cx:pt>
          <cx:pt idx="15">0.11356951197445087</cx:pt>
          <cx:pt idx="16">0.045914058805788471</cx:pt>
          <cx:pt idx="17">0.047974007793730511</cx:pt>
          <cx:pt idx="18">0.01801436798597611</cx:pt>
          <cx:pt idx="19">0.0060248443996571144</cx:pt>
          <cx:pt idx="20">0.0365751778914154</cx:pt>
          <cx:pt idx="21">0.010710298067984958</cx:pt>
          <cx:pt idx="22">0.11202372789748427</cx:pt>
          <cx:pt idx="23">0.067149155807401328</cx:pt>
          <cx:pt idx="24">0.014480243992875064</cx:pt>
          <cx:pt idx="25">-0.0054379115225317021</cx:pt>
          <cx:pt idx="26">-0.028458911342707616</cx:pt>
          <cx:pt idx="27">-0.028025116159471342</cx:pt>
          <cx:pt idx="28">-0.0037757772429090064</cx:pt>
          <cx:pt idx="29">-0.059131971645437043</cx:pt>
        </cx:lvl>
      </cx:numDim>
    </cx:data>
  </cx:chartData>
  <cx:chart>
    <cx:plotArea>
      <cx:plotAreaRegion>
        <cx:series layoutId="boxWhisker" uniqueId="{D5D5DEC4-AED3-4B9A-89DE-AC9DE943D863}">
          <cx:tx>
            <cx:txData>
              <cx:f>Prod!$K$1</cx:f>
              <cx:v>sim03</cx:v>
            </cx:txData>
          </cx:tx>
          <cx:dataId val="0"/>
          <cx:layoutPr>
            <cx:statistics quartileMethod="exclusive"/>
          </cx:layoutPr>
        </cx:series>
        <cx:series layoutId="boxWhisker" uniqueId="{C9728329-1C70-4CFD-887F-9FFE3C2D7B42}">
          <cx:tx>
            <cx:txData>
              <cx:f>Prod!$L$1</cx:f>
              <cx:v>sim05</cx:v>
            </cx:txData>
          </cx:tx>
          <cx:dataId val="1"/>
          <cx:layoutPr>
            <cx:statistics quartileMethod="exclusive"/>
          </cx:layoutPr>
        </cx:series>
      </cx:plotAreaRegion>
      <cx:axis id="0">
        <cx:catScaling gapWidth="1.82000005"/>
        <cx:title>
          <cx:tx>
            <cx:txData>
              <cx:v>Bienes y Servicios</cx:v>
            </cx:txData>
          </cx:tx>
          <cx:txPr>
            <a:bodyPr spcFirstLastPara="1" vertOverflow="ellipsis" horzOverflow="overflow" wrap="square" lIns="0" tIns="0" rIns="0" bIns="0" anchor="ctr" anchorCtr="1"/>
            <a:lstStyle/>
            <a:p>
              <a:pPr algn="ctr" rtl="0">
                <a:defRPr/>
              </a:pPr>
              <a:r>
                <a:rPr lang="en-US" sz="1000" b="0" i="0" u="none" strike="noStrike" kern="1200" baseline="0">
                  <a:solidFill>
                    <a:sysClr val="windowText" lastClr="000000">
                      <a:lumMod val="65000"/>
                      <a:lumOff val="35000"/>
                    </a:sysClr>
                  </a:solidFill>
                  <a:latin typeface="Calibri" panose="020F0502020204030204"/>
                </a:rPr>
                <a:t>Bienes y Servicios</a:t>
              </a:r>
            </a:p>
          </cx:txPr>
        </cx:title>
        <cx:majorTickMarks type="out"/>
        <cx:tickLabels/>
        <cx:spPr>
          <a:ln>
            <a:solidFill>
              <a:schemeClr val="tx1"/>
            </a:solidFill>
          </a:ln>
        </cx:spPr>
      </cx:axis>
      <cx:axis id="1">
        <cx:valScaling/>
        <cx:title>
          <cx:tx>
            <cx:txData>
              <cx:v>Porcentaje</cx:v>
            </cx:txData>
          </cx:tx>
          <cx:txPr>
            <a:bodyPr spcFirstLastPara="1" vertOverflow="ellipsis" horzOverflow="overflow" wrap="square" lIns="0" tIns="0" rIns="0" bIns="0" anchor="ctr" anchorCtr="1"/>
            <a:lstStyle/>
            <a:p>
              <a:pPr algn="ctr" rtl="0">
                <a:defRPr/>
              </a:pPr>
              <a:r>
                <a:rPr lang="en-US" sz="1000" b="0" i="0" u="none" strike="noStrike" kern="1200" baseline="0">
                  <a:solidFill>
                    <a:sysClr val="windowText" lastClr="000000">
                      <a:lumMod val="65000"/>
                      <a:lumOff val="35000"/>
                    </a:sysClr>
                  </a:solidFill>
                  <a:latin typeface="Calibri" panose="020F0502020204030204"/>
                </a:rPr>
                <a:t>Porcentaje</a:t>
              </a:r>
            </a:p>
          </cx:txPr>
        </cx:title>
        <cx:majorGridlines>
          <cx:spPr>
            <a:ln w="6350">
              <a:solidFill>
                <a:schemeClr val="bg1">
                  <a:lumMod val="50000"/>
                </a:schemeClr>
              </a:solidFill>
              <a:prstDash val="sysDash"/>
            </a:ln>
          </cx:spPr>
        </cx:majorGridlines>
        <cx:majorTickMarks type="out"/>
        <cx:tickLabels/>
        <cx:numFmt formatCode="0%" sourceLinked="0"/>
        <cx:spPr>
          <a:ln>
            <a:solidFill>
              <a:schemeClr val="tx1"/>
            </a:solidFill>
          </a:ln>
        </cx:spPr>
      </cx:axis>
    </cx:plotArea>
    <cx:legend pos="b" align="ctr" overlay="0"/>
  </cx:chart>
  <cx:spPr>
    <a:ln>
      <a:noFill/>
    </a:ln>
  </cx:spPr>
  <cx:clrMapOvr bg1="lt1" tx1="dk1" bg2="lt2" tx2="dk2" accent1="accent1" accent2="accent2" accent3="accent3" accent4="accent4" accent5="accent5" accent6="accent6" hlink="hlink" folHlink="folHlink"/>
</cx: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withinLinear" id="14">
  <a:schemeClr val="accent1"/>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7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ln w="9525" cap="flat" cmpd="sng" algn="ctr">
        <a:solidFill>
          <a:schemeClr val="tx1">
            <a:lumMod val="15000"/>
            <a:lumOff val="85000"/>
          </a:schemeClr>
        </a:solidFill>
        <a:round/>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381">
  <cs:axisTitle>
    <cs:lnRef idx="0"/>
    <cs:fillRef idx="0"/>
    <cs:effectRef idx="0"/>
    <cs:fontRef idx="minor">
      <a:schemeClr val="tx1">
        <a:lumMod val="65000"/>
        <a:lumOff val="35000"/>
      </a:schemeClr>
    </cs:fontRef>
    <cs:defRPr sz="9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cs:chartArea>
  <cs:dataLabel>
    <cs:lnRef idx="0"/>
    <cs:fillRef idx="0"/>
    <cs:effectRef idx="0"/>
    <cs:fontRef idx="minor">
      <a:schemeClr val="lt1"/>
    </cs:fontRef>
    <cs:defRPr sz="9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ln w="19050">
        <a:solidFill>
          <a:schemeClr val="lt1"/>
        </a:solidFill>
      </a:ln>
    </cs:spPr>
  </cs:dataPoint>
  <cs:dataPoint3D>
    <cs:lnRef idx="0"/>
    <cs:fillRef idx="0">
      <cs:styleClr val="auto"/>
    </cs:fillRef>
    <cs:effectRef idx="0"/>
    <cs:fontRef idx="minor">
      <a:schemeClr val="tx1"/>
    </cs:fontRef>
    <cs:spPr>
      <a:solidFill>
        <a:schemeClr val="phClr"/>
      </a:solidFill>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5"/>
  <cs:dataPointWireframe>
    <cs:lnRef idx="0">
      <cs:styleClr val="auto"/>
    </cs:lnRef>
    <cs:fillRef idx="0"/>
    <cs:effectRef idx="0"/>
    <cs:fontRef idx="minor">
      <a:schemeClr val="tx1"/>
    </cs:fontRef>
    <cs:spPr>
      <a:ln w="2857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15000"/>
            <a:lumOff val="8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seriesAxis>
  <cs:seriesLine>
    <cs:lnRef idx="0"/>
    <cs:fillRef idx="0"/>
    <cs:effectRef idx="0"/>
    <cs:fontRef idx="minor">
      <a:schemeClr val="tx1"/>
    </cs:fontRef>
    <cs:spPr>
      <a:ln w="9525" cap="flat">
        <a:solidFill>
          <a:srgbClr val="D9D9D9"/>
        </a:solidFill>
        <a:round/>
      </a:ln>
    </cs:spPr>
  </cs:seriesLine>
  <cs:title>
    <cs:lnRef idx="0"/>
    <cs:fillRef idx="0"/>
    <cs:effectRef idx="0"/>
    <cs:fontRef idx="minor">
      <a:schemeClr val="tx1">
        <a:lumMod val="65000"/>
        <a:lumOff val="35000"/>
      </a:schemeClr>
    </cs:fontRef>
    <cs:defRPr sz="140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cs:valueAxis>
  <cs:wall>
    <cs:lnRef idx="0"/>
    <cs:fillRef idx="0"/>
    <cs:effectRef idx="0"/>
    <cs:fontRef idx="minor">
      <a:schemeClr val="tx1"/>
    </cs:fontRef>
  </cs:wall>
</cs:chartStyle>
</file>

<file path=word/charts/style6.xml><?xml version="1.0" encoding="utf-8"?>
<cs:chartStyle xmlns:cs="http://schemas.microsoft.com/office/drawing/2012/chartStyle" xmlns:a="http://schemas.openxmlformats.org/drawingml/2006/main" id="410">
  <cs:axisTitle>
    <cs:lnRef idx="0"/>
    <cs:fillRef idx="0"/>
    <cs:effectRef idx="0"/>
    <cs:fontRef idx="minor">
      <a:schemeClr val="tx1">
        <a:lumMod val="65000"/>
        <a:lumOff val="35000"/>
      </a:schemeClr>
    </cs:fontRef>
    <cs:spPr>
      <a:solidFill>
        <a:schemeClr val="bg1">
          <a:lumMod val="65000"/>
        </a:schemeClr>
      </a:solidFill>
      <a:ln w="19050">
        <a:solidFill>
          <a:schemeClr val="bg1"/>
        </a:solidFill>
      </a:ln>
    </cs:spPr>
    <cs:defRPr sz="9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cs:chartArea>
  <cs:dataLabel>
    <cs:lnRef idx="0"/>
    <cs:fillRef idx="0"/>
    <cs:effectRef idx="0"/>
    <cs:fontRef idx="minor">
      <a:schemeClr val="lt1"/>
    </cs:fontRef>
    <cs:defRPr sz="9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ln w="19050">
        <a:solidFill>
          <a:schemeClr val="lt1"/>
        </a:solidFill>
      </a:ln>
    </cs:spPr>
  </cs:dataPoint>
  <cs:dataPoint3D>
    <cs:lnRef idx="0"/>
    <cs:fillRef idx="0">
      <cs:styleClr val="auto"/>
    </cs:fillRef>
    <cs:effectRef idx="0"/>
    <cs:fontRef idx="minor">
      <a:schemeClr val="tx1"/>
    </cs:fontRef>
    <cs:spPr>
      <a:solidFill>
        <a:schemeClr val="phClr"/>
      </a:solidFill>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5"/>
  <cs:dataPointWireframe>
    <cs:lnRef idx="0">
      <cs:styleClr val="auto"/>
    </cs:lnRef>
    <cs:fillRef idx="0"/>
    <cs:effectRef idx="0"/>
    <cs:fontRef idx="minor">
      <a:schemeClr val="tx1"/>
    </cs:fontRef>
    <cs:spPr>
      <a:ln w="2857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15000"/>
            <a:lumOff val="8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seriesAxis>
  <cs:seriesLine>
    <cs:lnRef idx="0"/>
    <cs:fillRef idx="0"/>
    <cs:effectRef idx="0"/>
    <cs:fontRef idx="minor">
      <a:schemeClr val="tx1"/>
    </cs:fontRef>
    <cs:spPr>
      <a:ln w="9525" cap="flat">
        <a:solidFill>
          <a:srgbClr val="D9D9D9"/>
        </a:solidFill>
        <a:round/>
      </a:ln>
    </cs:spPr>
  </cs:seriesLine>
  <cs:title>
    <cs:lnRef idx="0"/>
    <cs:fillRef idx="0"/>
    <cs:effectRef idx="0"/>
    <cs:fontRef idx="minor">
      <a:schemeClr val="tx1">
        <a:lumMod val="65000"/>
        <a:lumOff val="35000"/>
      </a:schemeClr>
    </cs:fontRef>
    <cs:defRPr sz="140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cs:valueAxis>
  <cs:wall>
    <cs:lnRef idx="0"/>
    <cs:fillRef idx="0"/>
    <cs:effectRef idx="0"/>
    <cs:fontRef idx="minor">
      <a:schemeClr val="tx1"/>
    </cs:fontRef>
  </cs:wall>
</cs:chartStyle>
</file>

<file path=word/charts/style7.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BC9502B-7FD5-4532-8A39-CDC79260C227}" type="doc">
      <dgm:prSet loTypeId="urn:microsoft.com/office/officeart/2005/8/layout/radial6" loCatId="cycle" qsTypeId="urn:microsoft.com/office/officeart/2005/8/quickstyle/simple1" qsCatId="simple" csTypeId="urn:microsoft.com/office/officeart/2005/8/colors/accent0_1" csCatId="mainScheme" phldr="1"/>
      <dgm:spPr/>
      <dgm:t>
        <a:bodyPr/>
        <a:lstStyle/>
        <a:p>
          <a:endParaRPr lang="en-US"/>
        </a:p>
      </dgm:t>
    </dgm:pt>
    <dgm:pt modelId="{4FD23195-1389-4BFF-828B-52094E5F2DC7}">
      <dgm:prSet phldrT="[Text]"/>
      <dgm:spPr>
        <a:xfrm>
          <a:off x="1143884" y="1203587"/>
          <a:ext cx="793224" cy="793224"/>
        </a:xfrm>
        <a:prstGeom prst="ellipse">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lang="en-US">
              <a:solidFill>
                <a:sysClr val="windowText" lastClr="000000">
                  <a:hueOff val="0"/>
                  <a:satOff val="0"/>
                  <a:lumOff val="0"/>
                  <a:alphaOff val="0"/>
                </a:sysClr>
              </a:solidFill>
              <a:latin typeface="Calibri" panose="020F0502020204030204"/>
              <a:ea typeface="+mn-ea"/>
              <a:cs typeface="+mn-cs"/>
            </a:rPr>
            <a:t>Empresas</a:t>
          </a:r>
        </a:p>
      </dgm:t>
    </dgm:pt>
    <dgm:pt modelId="{AF5711A8-B7FB-42C8-8C2C-47F458B1F3E6}" type="parTrans" cxnId="{5E7664BA-032B-4016-B9BB-065A9D216844}">
      <dgm:prSet/>
      <dgm:spPr/>
      <dgm:t>
        <a:bodyPr/>
        <a:lstStyle/>
        <a:p>
          <a:endParaRPr lang="en-US"/>
        </a:p>
      </dgm:t>
    </dgm:pt>
    <dgm:pt modelId="{5D8106AF-B3E8-4948-93A5-01372B37257F}" type="sibTrans" cxnId="{5E7664BA-032B-4016-B9BB-065A9D216844}">
      <dgm:prSet/>
      <dgm:spPr>
        <a:xfrm>
          <a:off x="1511940" y="368940"/>
          <a:ext cx="2462518" cy="2462518"/>
        </a:xfrm>
        <a:prstGeom prst="blockArc">
          <a:avLst>
            <a:gd name="adj1" fmla="val 10800000"/>
            <a:gd name="adj2" fmla="val 16200000"/>
            <a:gd name="adj3" fmla="val 4639"/>
          </a:avLst>
        </a:prstGeom>
        <a:solidFill>
          <a:sysClr val="windowText" lastClr="000000">
            <a:tint val="60000"/>
            <a:hueOff val="0"/>
            <a:satOff val="0"/>
            <a:lumOff val="0"/>
            <a:alphaOff val="0"/>
          </a:sysClr>
        </a:solidFill>
        <a:ln>
          <a:noFill/>
        </a:ln>
        <a:effectLst/>
      </dgm:spPr>
      <dgm:t>
        <a:bodyPr/>
        <a:lstStyle/>
        <a:p>
          <a:endParaRPr lang="en-US"/>
        </a:p>
      </dgm:t>
    </dgm:pt>
    <dgm:pt modelId="{890CA14C-397D-4CD7-A14C-C6EAE93B56FF}">
      <dgm:prSet phldrT="[Text]"/>
      <dgm:spPr>
        <a:xfrm>
          <a:off x="2346587" y="2406290"/>
          <a:ext cx="793224" cy="793224"/>
        </a:xfrm>
        <a:prstGeom prst="ellipse">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lang="en-US">
              <a:solidFill>
                <a:sysClr val="windowText" lastClr="000000">
                  <a:hueOff val="0"/>
                  <a:satOff val="0"/>
                  <a:lumOff val="0"/>
                  <a:alphaOff val="0"/>
                </a:sysClr>
              </a:solidFill>
              <a:latin typeface="Calibri" panose="020F0502020204030204"/>
              <a:ea typeface="+mn-ea"/>
              <a:cs typeface="+mn-cs"/>
            </a:rPr>
            <a:t>Mercado de Bienes</a:t>
          </a:r>
        </a:p>
      </dgm:t>
    </dgm:pt>
    <dgm:pt modelId="{F2EB4745-6CF8-47FC-95A0-31850EDED79B}" type="sibTrans" cxnId="{5E31F05F-13B6-4D7C-8581-49E9A5648172}">
      <dgm:prSet/>
      <dgm:spPr>
        <a:xfrm>
          <a:off x="1511940" y="368940"/>
          <a:ext cx="2462518" cy="2462518"/>
        </a:xfrm>
        <a:prstGeom prst="blockArc">
          <a:avLst>
            <a:gd name="adj1" fmla="val 5400000"/>
            <a:gd name="adj2" fmla="val 10800000"/>
            <a:gd name="adj3" fmla="val 4639"/>
          </a:avLst>
        </a:prstGeom>
        <a:solidFill>
          <a:sysClr val="windowText" lastClr="000000">
            <a:tint val="60000"/>
            <a:hueOff val="0"/>
            <a:satOff val="0"/>
            <a:lumOff val="0"/>
            <a:alphaOff val="0"/>
          </a:sysClr>
        </a:solidFill>
        <a:ln>
          <a:noFill/>
        </a:ln>
        <a:effectLst/>
      </dgm:spPr>
      <dgm:t>
        <a:bodyPr/>
        <a:lstStyle/>
        <a:p>
          <a:endParaRPr lang="en-US"/>
        </a:p>
      </dgm:t>
    </dgm:pt>
    <dgm:pt modelId="{292E2636-92A9-4120-ABE6-B0F909A002AD}" type="parTrans" cxnId="{5E31F05F-13B6-4D7C-8581-49E9A5648172}">
      <dgm:prSet/>
      <dgm:spPr/>
      <dgm:t>
        <a:bodyPr/>
        <a:lstStyle/>
        <a:p>
          <a:endParaRPr lang="en-US"/>
        </a:p>
      </dgm:t>
    </dgm:pt>
    <dgm:pt modelId="{EFFE8C82-2A73-4FC5-90AA-64094B15BABE}">
      <dgm:prSet phldrT="[Text]"/>
      <dgm:spPr>
        <a:xfrm>
          <a:off x="3549290" y="1203587"/>
          <a:ext cx="793224" cy="793224"/>
        </a:xfrm>
        <a:prstGeom prst="ellipse">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lang="en-US">
              <a:solidFill>
                <a:sysClr val="windowText" lastClr="000000">
                  <a:hueOff val="0"/>
                  <a:satOff val="0"/>
                  <a:lumOff val="0"/>
                  <a:alphaOff val="0"/>
                </a:sysClr>
              </a:solidFill>
              <a:latin typeface="Calibri" panose="020F0502020204030204"/>
              <a:ea typeface="+mn-ea"/>
              <a:cs typeface="+mn-cs"/>
            </a:rPr>
            <a:t>Hogares</a:t>
          </a:r>
        </a:p>
      </dgm:t>
    </dgm:pt>
    <dgm:pt modelId="{4F5B8D6B-DFF9-4A80-973F-554829B9C20F}" type="sibTrans" cxnId="{539E391D-FB08-4FA2-9E0E-FDF2E4F89F44}">
      <dgm:prSet/>
      <dgm:spPr>
        <a:xfrm>
          <a:off x="1511940" y="368940"/>
          <a:ext cx="2462518" cy="2462518"/>
        </a:xfrm>
        <a:prstGeom prst="blockArc">
          <a:avLst>
            <a:gd name="adj1" fmla="val 0"/>
            <a:gd name="adj2" fmla="val 5400000"/>
            <a:gd name="adj3" fmla="val 4639"/>
          </a:avLst>
        </a:prstGeom>
        <a:solidFill>
          <a:sysClr val="windowText" lastClr="000000">
            <a:tint val="60000"/>
            <a:hueOff val="0"/>
            <a:satOff val="0"/>
            <a:lumOff val="0"/>
            <a:alphaOff val="0"/>
          </a:sysClr>
        </a:solidFill>
        <a:ln>
          <a:noFill/>
        </a:ln>
        <a:effectLst/>
      </dgm:spPr>
      <dgm:t>
        <a:bodyPr/>
        <a:lstStyle/>
        <a:p>
          <a:endParaRPr lang="en-US"/>
        </a:p>
      </dgm:t>
    </dgm:pt>
    <dgm:pt modelId="{62C82FBF-5C1B-4865-A0AB-C8D6BECCB48F}" type="parTrans" cxnId="{539E391D-FB08-4FA2-9E0E-FDF2E4F89F44}">
      <dgm:prSet/>
      <dgm:spPr/>
      <dgm:t>
        <a:bodyPr/>
        <a:lstStyle/>
        <a:p>
          <a:endParaRPr lang="en-US"/>
        </a:p>
      </dgm:t>
    </dgm:pt>
    <dgm:pt modelId="{FADAD4D3-5018-4637-B463-F324E268CD37}">
      <dgm:prSet phldrT="[Text]"/>
      <dgm:spPr>
        <a:xfrm>
          <a:off x="2346587" y="884"/>
          <a:ext cx="793224" cy="793224"/>
        </a:xfrm>
        <a:prstGeom prst="ellipse">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lang="en-US">
              <a:solidFill>
                <a:sysClr val="windowText" lastClr="000000">
                  <a:hueOff val="0"/>
                  <a:satOff val="0"/>
                  <a:lumOff val="0"/>
                  <a:alphaOff val="0"/>
                </a:sysClr>
              </a:solidFill>
              <a:latin typeface="Calibri" panose="020F0502020204030204"/>
              <a:ea typeface="+mn-ea"/>
              <a:cs typeface="+mn-cs"/>
            </a:rPr>
            <a:t>Mercado de Factores</a:t>
          </a:r>
        </a:p>
      </dgm:t>
    </dgm:pt>
    <dgm:pt modelId="{88AA5FF2-FF2A-4B69-A4B4-8E8FA760D301}" type="sibTrans" cxnId="{CDA568A6-5DB7-451D-9449-0C36F57E3A1F}">
      <dgm:prSet/>
      <dgm:spPr>
        <a:xfrm>
          <a:off x="1511940" y="368940"/>
          <a:ext cx="2462518" cy="2462518"/>
        </a:xfrm>
        <a:prstGeom prst="blockArc">
          <a:avLst>
            <a:gd name="adj1" fmla="val 16200000"/>
            <a:gd name="adj2" fmla="val 0"/>
            <a:gd name="adj3" fmla="val 4639"/>
          </a:avLst>
        </a:prstGeom>
        <a:solidFill>
          <a:sysClr val="windowText" lastClr="000000">
            <a:tint val="60000"/>
            <a:hueOff val="0"/>
            <a:satOff val="0"/>
            <a:lumOff val="0"/>
            <a:alphaOff val="0"/>
          </a:sysClr>
        </a:solidFill>
        <a:ln>
          <a:noFill/>
        </a:ln>
        <a:effectLst/>
      </dgm:spPr>
      <dgm:t>
        <a:bodyPr/>
        <a:lstStyle/>
        <a:p>
          <a:endParaRPr lang="en-US"/>
        </a:p>
      </dgm:t>
    </dgm:pt>
    <dgm:pt modelId="{07F733CA-C74B-4346-839F-A464EA994E8C}" type="parTrans" cxnId="{CDA568A6-5DB7-451D-9449-0C36F57E3A1F}">
      <dgm:prSet/>
      <dgm:spPr/>
      <dgm:t>
        <a:bodyPr/>
        <a:lstStyle/>
        <a:p>
          <a:endParaRPr lang="en-US"/>
        </a:p>
      </dgm:t>
    </dgm:pt>
    <dgm:pt modelId="{491845FE-6F67-43A4-9345-B74FC254BC9C}">
      <dgm:prSet phldrT="[Text]"/>
      <dgm:spPr>
        <a:xfrm>
          <a:off x="2176611" y="1033611"/>
          <a:ext cx="1133177" cy="1133177"/>
        </a:xfrm>
        <a:prstGeom prst="ellipse">
          <a:avLst/>
        </a:prstGeom>
        <a:solidFill>
          <a:sysClr val="window" lastClr="FFFFFF">
            <a:hueOff val="0"/>
            <a:satOff val="0"/>
            <a:lumOff val="0"/>
            <a:alphaOff val="0"/>
          </a:sysClr>
        </a:solidFill>
        <a:ln w="12700" cap="flat" cmpd="sng" algn="ctr">
          <a:noFill/>
          <a:prstDash val="solid"/>
          <a:miter lim="800000"/>
        </a:ln>
        <a:effectLst/>
      </dgm:spPr>
      <dgm:t>
        <a:bodyPr/>
        <a:lstStyle/>
        <a:p>
          <a:pPr>
            <a:buNone/>
          </a:pPr>
          <a:r>
            <a:rPr lang="en-US">
              <a:solidFill>
                <a:sysClr val="windowText" lastClr="000000">
                  <a:hueOff val="0"/>
                  <a:satOff val="0"/>
                  <a:lumOff val="0"/>
                  <a:alphaOff val="0"/>
                </a:sysClr>
              </a:solidFill>
              <a:latin typeface="Calibri" panose="020F0502020204030204"/>
              <a:ea typeface="+mn-ea"/>
              <a:cs typeface="+mn-cs"/>
            </a:rPr>
            <a:t> </a:t>
          </a:r>
        </a:p>
      </dgm:t>
    </dgm:pt>
    <dgm:pt modelId="{4FBC11D3-C1E0-433C-908B-201E32CD8D21}" type="sibTrans" cxnId="{1742257C-DEC2-4789-A9A5-8574E9855D30}">
      <dgm:prSet/>
      <dgm:spPr/>
      <dgm:t>
        <a:bodyPr/>
        <a:lstStyle/>
        <a:p>
          <a:endParaRPr lang="en-US"/>
        </a:p>
      </dgm:t>
    </dgm:pt>
    <dgm:pt modelId="{09422FA3-A130-4B7F-AE96-1E80803D4779}" type="parTrans" cxnId="{1742257C-DEC2-4789-A9A5-8574E9855D30}">
      <dgm:prSet/>
      <dgm:spPr/>
      <dgm:t>
        <a:bodyPr/>
        <a:lstStyle/>
        <a:p>
          <a:endParaRPr lang="en-US"/>
        </a:p>
      </dgm:t>
    </dgm:pt>
    <dgm:pt modelId="{1AD3567B-FC99-45ED-B8C5-0791380FB5E8}" type="pres">
      <dgm:prSet presAssocID="{1BC9502B-7FD5-4532-8A39-CDC79260C227}" presName="Name0" presStyleCnt="0">
        <dgm:presLayoutVars>
          <dgm:chMax val="1"/>
          <dgm:dir/>
          <dgm:animLvl val="ctr"/>
          <dgm:resizeHandles val="exact"/>
        </dgm:presLayoutVars>
      </dgm:prSet>
      <dgm:spPr/>
    </dgm:pt>
    <dgm:pt modelId="{52804B47-10A9-4974-ADE3-01B75FC5F2BA}" type="pres">
      <dgm:prSet presAssocID="{491845FE-6F67-43A4-9345-B74FC254BC9C}" presName="centerShape" presStyleLbl="node0" presStyleIdx="0" presStyleCnt="1"/>
      <dgm:spPr/>
    </dgm:pt>
    <dgm:pt modelId="{9599FBBB-223D-4C3C-A7C7-A9EEC3DF6CC5}" type="pres">
      <dgm:prSet presAssocID="{FADAD4D3-5018-4637-B463-F324E268CD37}" presName="node" presStyleLbl="node1" presStyleIdx="0" presStyleCnt="4">
        <dgm:presLayoutVars>
          <dgm:bulletEnabled val="1"/>
        </dgm:presLayoutVars>
      </dgm:prSet>
      <dgm:spPr/>
    </dgm:pt>
    <dgm:pt modelId="{54C2D29C-237B-4498-A870-8A714F537013}" type="pres">
      <dgm:prSet presAssocID="{FADAD4D3-5018-4637-B463-F324E268CD37}" presName="dummy" presStyleCnt="0"/>
      <dgm:spPr/>
    </dgm:pt>
    <dgm:pt modelId="{C779865F-4C58-435C-9C55-F5218E72C497}" type="pres">
      <dgm:prSet presAssocID="{88AA5FF2-FF2A-4B69-A4B4-8E8FA760D301}" presName="sibTrans" presStyleLbl="sibTrans2D1" presStyleIdx="0" presStyleCnt="4"/>
      <dgm:spPr/>
    </dgm:pt>
    <dgm:pt modelId="{8BC4655F-6959-4A1C-B802-FC2A72CE888D}" type="pres">
      <dgm:prSet presAssocID="{EFFE8C82-2A73-4FC5-90AA-64094B15BABE}" presName="node" presStyleLbl="node1" presStyleIdx="1" presStyleCnt="4">
        <dgm:presLayoutVars>
          <dgm:bulletEnabled val="1"/>
        </dgm:presLayoutVars>
      </dgm:prSet>
      <dgm:spPr/>
    </dgm:pt>
    <dgm:pt modelId="{85E1F049-7F45-4A81-B3C2-F5AC44F62A11}" type="pres">
      <dgm:prSet presAssocID="{EFFE8C82-2A73-4FC5-90AA-64094B15BABE}" presName="dummy" presStyleCnt="0"/>
      <dgm:spPr/>
    </dgm:pt>
    <dgm:pt modelId="{8A69B1C6-AE29-4988-8FA8-A17CAB2C2543}" type="pres">
      <dgm:prSet presAssocID="{4F5B8D6B-DFF9-4A80-973F-554829B9C20F}" presName="sibTrans" presStyleLbl="sibTrans2D1" presStyleIdx="1" presStyleCnt="4"/>
      <dgm:spPr/>
    </dgm:pt>
    <dgm:pt modelId="{7787A967-2194-4876-A4C7-58B45BB789DD}" type="pres">
      <dgm:prSet presAssocID="{890CA14C-397D-4CD7-A14C-C6EAE93B56FF}" presName="node" presStyleLbl="node1" presStyleIdx="2" presStyleCnt="4">
        <dgm:presLayoutVars>
          <dgm:bulletEnabled val="1"/>
        </dgm:presLayoutVars>
      </dgm:prSet>
      <dgm:spPr/>
    </dgm:pt>
    <dgm:pt modelId="{7C42DA4D-931E-4767-82C3-3454625CB475}" type="pres">
      <dgm:prSet presAssocID="{890CA14C-397D-4CD7-A14C-C6EAE93B56FF}" presName="dummy" presStyleCnt="0"/>
      <dgm:spPr/>
    </dgm:pt>
    <dgm:pt modelId="{7595180F-D68C-4190-8C13-2BC1BABAC64A}" type="pres">
      <dgm:prSet presAssocID="{F2EB4745-6CF8-47FC-95A0-31850EDED79B}" presName="sibTrans" presStyleLbl="sibTrans2D1" presStyleIdx="2" presStyleCnt="4"/>
      <dgm:spPr/>
    </dgm:pt>
    <dgm:pt modelId="{DBDE81D5-529B-45E8-8A71-08CD2B50E238}" type="pres">
      <dgm:prSet presAssocID="{4FD23195-1389-4BFF-828B-52094E5F2DC7}" presName="node" presStyleLbl="node1" presStyleIdx="3" presStyleCnt="4">
        <dgm:presLayoutVars>
          <dgm:bulletEnabled val="1"/>
        </dgm:presLayoutVars>
      </dgm:prSet>
      <dgm:spPr/>
    </dgm:pt>
    <dgm:pt modelId="{F20AC320-A409-4B4B-B5C4-1BF1B15E2AB7}" type="pres">
      <dgm:prSet presAssocID="{4FD23195-1389-4BFF-828B-52094E5F2DC7}" presName="dummy" presStyleCnt="0"/>
      <dgm:spPr/>
    </dgm:pt>
    <dgm:pt modelId="{DEC4BEC3-21A0-4242-BE04-A92A691E49A8}" type="pres">
      <dgm:prSet presAssocID="{5D8106AF-B3E8-4948-93A5-01372B37257F}" presName="sibTrans" presStyleLbl="sibTrans2D1" presStyleIdx="3" presStyleCnt="4"/>
      <dgm:spPr/>
    </dgm:pt>
  </dgm:ptLst>
  <dgm:cxnLst>
    <dgm:cxn modelId="{B36D1510-B706-412E-A943-FA005B3EC920}" type="presOf" srcId="{EFFE8C82-2A73-4FC5-90AA-64094B15BABE}" destId="{8BC4655F-6959-4A1C-B802-FC2A72CE888D}" srcOrd="0" destOrd="0" presId="urn:microsoft.com/office/officeart/2005/8/layout/radial6"/>
    <dgm:cxn modelId="{539E391D-FB08-4FA2-9E0E-FDF2E4F89F44}" srcId="{491845FE-6F67-43A4-9345-B74FC254BC9C}" destId="{EFFE8C82-2A73-4FC5-90AA-64094B15BABE}" srcOrd="1" destOrd="0" parTransId="{62C82FBF-5C1B-4865-A0AB-C8D6BECCB48F}" sibTransId="{4F5B8D6B-DFF9-4A80-973F-554829B9C20F}"/>
    <dgm:cxn modelId="{7666D323-29DB-4A86-9EFA-6E4AD0F978DA}" type="presOf" srcId="{FADAD4D3-5018-4637-B463-F324E268CD37}" destId="{9599FBBB-223D-4C3C-A7C7-A9EEC3DF6CC5}" srcOrd="0" destOrd="0" presId="urn:microsoft.com/office/officeart/2005/8/layout/radial6"/>
    <dgm:cxn modelId="{7214A339-50F7-43C6-A6A1-242DD43B9484}" type="presOf" srcId="{4FD23195-1389-4BFF-828B-52094E5F2DC7}" destId="{DBDE81D5-529B-45E8-8A71-08CD2B50E238}" srcOrd="0" destOrd="0" presId="urn:microsoft.com/office/officeart/2005/8/layout/radial6"/>
    <dgm:cxn modelId="{5E31F05F-13B6-4D7C-8581-49E9A5648172}" srcId="{491845FE-6F67-43A4-9345-B74FC254BC9C}" destId="{890CA14C-397D-4CD7-A14C-C6EAE93B56FF}" srcOrd="2" destOrd="0" parTransId="{292E2636-92A9-4120-ABE6-B0F909A002AD}" sibTransId="{F2EB4745-6CF8-47FC-95A0-31850EDED79B}"/>
    <dgm:cxn modelId="{016D466F-CBCE-4991-8B9C-C6643F5B536E}" type="presOf" srcId="{F2EB4745-6CF8-47FC-95A0-31850EDED79B}" destId="{7595180F-D68C-4190-8C13-2BC1BABAC64A}" srcOrd="0" destOrd="0" presId="urn:microsoft.com/office/officeart/2005/8/layout/radial6"/>
    <dgm:cxn modelId="{D3385473-49AB-4186-8B9A-1456A0BDB4E1}" type="presOf" srcId="{890CA14C-397D-4CD7-A14C-C6EAE93B56FF}" destId="{7787A967-2194-4876-A4C7-58B45BB789DD}" srcOrd="0" destOrd="0" presId="urn:microsoft.com/office/officeart/2005/8/layout/radial6"/>
    <dgm:cxn modelId="{1742257C-DEC2-4789-A9A5-8574E9855D30}" srcId="{1BC9502B-7FD5-4532-8A39-CDC79260C227}" destId="{491845FE-6F67-43A4-9345-B74FC254BC9C}" srcOrd="0" destOrd="0" parTransId="{09422FA3-A130-4B7F-AE96-1E80803D4779}" sibTransId="{4FBC11D3-C1E0-433C-908B-201E32CD8D21}"/>
    <dgm:cxn modelId="{5991267C-3050-49DF-BAFF-8CCC62F63482}" type="presOf" srcId="{491845FE-6F67-43A4-9345-B74FC254BC9C}" destId="{52804B47-10A9-4974-ADE3-01B75FC5F2BA}" srcOrd="0" destOrd="0" presId="urn:microsoft.com/office/officeart/2005/8/layout/radial6"/>
    <dgm:cxn modelId="{274CB990-A667-49CA-8341-1060FD47209E}" type="presOf" srcId="{88AA5FF2-FF2A-4B69-A4B4-8E8FA760D301}" destId="{C779865F-4C58-435C-9C55-F5218E72C497}" srcOrd="0" destOrd="0" presId="urn:microsoft.com/office/officeart/2005/8/layout/radial6"/>
    <dgm:cxn modelId="{89C92893-E7B3-4596-BDC0-E3AD61BF8CC1}" type="presOf" srcId="{4F5B8D6B-DFF9-4A80-973F-554829B9C20F}" destId="{8A69B1C6-AE29-4988-8FA8-A17CAB2C2543}" srcOrd="0" destOrd="0" presId="urn:microsoft.com/office/officeart/2005/8/layout/radial6"/>
    <dgm:cxn modelId="{CDA568A6-5DB7-451D-9449-0C36F57E3A1F}" srcId="{491845FE-6F67-43A4-9345-B74FC254BC9C}" destId="{FADAD4D3-5018-4637-B463-F324E268CD37}" srcOrd="0" destOrd="0" parTransId="{07F733CA-C74B-4346-839F-A464EA994E8C}" sibTransId="{88AA5FF2-FF2A-4B69-A4B4-8E8FA760D301}"/>
    <dgm:cxn modelId="{A1EE01AD-3422-4F49-B100-7ED957F1A068}" type="presOf" srcId="{5D8106AF-B3E8-4948-93A5-01372B37257F}" destId="{DEC4BEC3-21A0-4242-BE04-A92A691E49A8}" srcOrd="0" destOrd="0" presId="urn:microsoft.com/office/officeart/2005/8/layout/radial6"/>
    <dgm:cxn modelId="{5E7664BA-032B-4016-B9BB-065A9D216844}" srcId="{491845FE-6F67-43A4-9345-B74FC254BC9C}" destId="{4FD23195-1389-4BFF-828B-52094E5F2DC7}" srcOrd="3" destOrd="0" parTransId="{AF5711A8-B7FB-42C8-8C2C-47F458B1F3E6}" sibTransId="{5D8106AF-B3E8-4948-93A5-01372B37257F}"/>
    <dgm:cxn modelId="{F58005C0-5111-402E-85DB-CC9798DF6545}" type="presOf" srcId="{1BC9502B-7FD5-4532-8A39-CDC79260C227}" destId="{1AD3567B-FC99-45ED-B8C5-0791380FB5E8}" srcOrd="0" destOrd="0" presId="urn:microsoft.com/office/officeart/2005/8/layout/radial6"/>
    <dgm:cxn modelId="{646AAF33-B0AA-4626-B99D-DBF89CD8C83B}" type="presParOf" srcId="{1AD3567B-FC99-45ED-B8C5-0791380FB5E8}" destId="{52804B47-10A9-4974-ADE3-01B75FC5F2BA}" srcOrd="0" destOrd="0" presId="urn:microsoft.com/office/officeart/2005/8/layout/radial6"/>
    <dgm:cxn modelId="{53D25988-16D6-42F4-852F-45909FBACF6E}" type="presParOf" srcId="{1AD3567B-FC99-45ED-B8C5-0791380FB5E8}" destId="{9599FBBB-223D-4C3C-A7C7-A9EEC3DF6CC5}" srcOrd="1" destOrd="0" presId="urn:microsoft.com/office/officeart/2005/8/layout/radial6"/>
    <dgm:cxn modelId="{BA12397E-6FC3-4240-A1B0-1B21FBD2A76D}" type="presParOf" srcId="{1AD3567B-FC99-45ED-B8C5-0791380FB5E8}" destId="{54C2D29C-237B-4498-A870-8A714F537013}" srcOrd="2" destOrd="0" presId="urn:microsoft.com/office/officeart/2005/8/layout/radial6"/>
    <dgm:cxn modelId="{C7B8FE60-9DA0-41D6-9734-E4E867CDDA17}" type="presParOf" srcId="{1AD3567B-FC99-45ED-B8C5-0791380FB5E8}" destId="{C779865F-4C58-435C-9C55-F5218E72C497}" srcOrd="3" destOrd="0" presId="urn:microsoft.com/office/officeart/2005/8/layout/radial6"/>
    <dgm:cxn modelId="{5F59C790-C28E-4263-B37E-3961F8D15757}" type="presParOf" srcId="{1AD3567B-FC99-45ED-B8C5-0791380FB5E8}" destId="{8BC4655F-6959-4A1C-B802-FC2A72CE888D}" srcOrd="4" destOrd="0" presId="urn:microsoft.com/office/officeart/2005/8/layout/radial6"/>
    <dgm:cxn modelId="{FA82B440-B9E0-4962-8A48-757B42CEEC2D}" type="presParOf" srcId="{1AD3567B-FC99-45ED-B8C5-0791380FB5E8}" destId="{85E1F049-7F45-4A81-B3C2-F5AC44F62A11}" srcOrd="5" destOrd="0" presId="urn:microsoft.com/office/officeart/2005/8/layout/radial6"/>
    <dgm:cxn modelId="{D3E6D955-D4AD-4F89-A717-C48C09A54DD4}" type="presParOf" srcId="{1AD3567B-FC99-45ED-B8C5-0791380FB5E8}" destId="{8A69B1C6-AE29-4988-8FA8-A17CAB2C2543}" srcOrd="6" destOrd="0" presId="urn:microsoft.com/office/officeart/2005/8/layout/radial6"/>
    <dgm:cxn modelId="{5CEFE864-DBA4-47CF-A8FF-04CDBB5843AC}" type="presParOf" srcId="{1AD3567B-FC99-45ED-B8C5-0791380FB5E8}" destId="{7787A967-2194-4876-A4C7-58B45BB789DD}" srcOrd="7" destOrd="0" presId="urn:microsoft.com/office/officeart/2005/8/layout/radial6"/>
    <dgm:cxn modelId="{A48494A3-4B5E-46F8-A9DF-E772C50C28C4}" type="presParOf" srcId="{1AD3567B-FC99-45ED-B8C5-0791380FB5E8}" destId="{7C42DA4D-931E-4767-82C3-3454625CB475}" srcOrd="8" destOrd="0" presId="urn:microsoft.com/office/officeart/2005/8/layout/radial6"/>
    <dgm:cxn modelId="{E21D117A-DEA3-4DED-B68B-93775D9406D9}" type="presParOf" srcId="{1AD3567B-FC99-45ED-B8C5-0791380FB5E8}" destId="{7595180F-D68C-4190-8C13-2BC1BABAC64A}" srcOrd="9" destOrd="0" presId="urn:microsoft.com/office/officeart/2005/8/layout/radial6"/>
    <dgm:cxn modelId="{1D65B0AA-84EB-44AA-A29C-F67D591D15AC}" type="presParOf" srcId="{1AD3567B-FC99-45ED-B8C5-0791380FB5E8}" destId="{DBDE81D5-529B-45E8-8A71-08CD2B50E238}" srcOrd="10" destOrd="0" presId="urn:microsoft.com/office/officeart/2005/8/layout/radial6"/>
    <dgm:cxn modelId="{E83B0DF1-0034-4F32-87EA-4F6A2E1EEFE8}" type="presParOf" srcId="{1AD3567B-FC99-45ED-B8C5-0791380FB5E8}" destId="{F20AC320-A409-4B4B-B5C4-1BF1B15E2AB7}" srcOrd="11" destOrd="0" presId="urn:microsoft.com/office/officeart/2005/8/layout/radial6"/>
    <dgm:cxn modelId="{866211F7-7888-4636-8154-EF74BC081E2D}" type="presParOf" srcId="{1AD3567B-FC99-45ED-B8C5-0791380FB5E8}" destId="{DEC4BEC3-21A0-4242-BE04-A92A691E49A8}" srcOrd="12" destOrd="0" presId="urn:microsoft.com/office/officeart/2005/8/layout/radial6"/>
  </dgm:cxnLst>
  <dgm:bg/>
  <dgm:whole/>
  <dgm:extLst>
    <a:ext uri="http://schemas.microsoft.com/office/drawing/2008/diagram">
      <dsp:dataModelExt xmlns:dsp="http://schemas.microsoft.com/office/drawing/2008/diagram" relId="rId2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EC4BEC3-21A0-4242-BE04-A92A691E49A8}">
      <dsp:nvSpPr>
        <dsp:cNvPr id="0" name=""/>
        <dsp:cNvSpPr/>
      </dsp:nvSpPr>
      <dsp:spPr>
        <a:xfrm>
          <a:off x="1511917" y="368948"/>
          <a:ext cx="2462564" cy="2462564"/>
        </a:xfrm>
        <a:prstGeom prst="blockArc">
          <a:avLst>
            <a:gd name="adj1" fmla="val 10800000"/>
            <a:gd name="adj2" fmla="val 16200000"/>
            <a:gd name="adj3" fmla="val 4639"/>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sp>
    <dsp:sp modelId="{7595180F-D68C-4190-8C13-2BC1BABAC64A}">
      <dsp:nvSpPr>
        <dsp:cNvPr id="0" name=""/>
        <dsp:cNvSpPr/>
      </dsp:nvSpPr>
      <dsp:spPr>
        <a:xfrm>
          <a:off x="1511917" y="368948"/>
          <a:ext cx="2462564" cy="2462564"/>
        </a:xfrm>
        <a:prstGeom prst="blockArc">
          <a:avLst>
            <a:gd name="adj1" fmla="val 5400000"/>
            <a:gd name="adj2" fmla="val 10800000"/>
            <a:gd name="adj3" fmla="val 4639"/>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sp>
    <dsp:sp modelId="{8A69B1C6-AE29-4988-8FA8-A17CAB2C2543}">
      <dsp:nvSpPr>
        <dsp:cNvPr id="0" name=""/>
        <dsp:cNvSpPr/>
      </dsp:nvSpPr>
      <dsp:spPr>
        <a:xfrm>
          <a:off x="1511917" y="368948"/>
          <a:ext cx="2462564" cy="2462564"/>
        </a:xfrm>
        <a:prstGeom prst="blockArc">
          <a:avLst>
            <a:gd name="adj1" fmla="val 0"/>
            <a:gd name="adj2" fmla="val 5400000"/>
            <a:gd name="adj3" fmla="val 4639"/>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sp>
    <dsp:sp modelId="{C779865F-4C58-435C-9C55-F5218E72C497}">
      <dsp:nvSpPr>
        <dsp:cNvPr id="0" name=""/>
        <dsp:cNvSpPr/>
      </dsp:nvSpPr>
      <dsp:spPr>
        <a:xfrm>
          <a:off x="1511917" y="368948"/>
          <a:ext cx="2462564" cy="2462564"/>
        </a:xfrm>
        <a:prstGeom prst="blockArc">
          <a:avLst>
            <a:gd name="adj1" fmla="val 16200000"/>
            <a:gd name="adj2" fmla="val 0"/>
            <a:gd name="adj3" fmla="val 4639"/>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sp>
    <dsp:sp modelId="{52804B47-10A9-4974-ADE3-01B75FC5F2BA}">
      <dsp:nvSpPr>
        <dsp:cNvPr id="0" name=""/>
        <dsp:cNvSpPr/>
      </dsp:nvSpPr>
      <dsp:spPr>
        <a:xfrm>
          <a:off x="2176611" y="1033642"/>
          <a:ext cx="1133177" cy="1133177"/>
        </a:xfrm>
        <a:prstGeom prst="ellipse">
          <a:avLst/>
        </a:prstGeom>
        <a:solidFill>
          <a:sysClr val="window" lastClr="FFFFFF">
            <a:hueOff val="0"/>
            <a:satOff val="0"/>
            <a:lumOff val="0"/>
            <a:alphaOff val="0"/>
          </a:sysClr>
        </a:solidFill>
        <a:ln w="12700" cap="flat" cmpd="sng" algn="ctr">
          <a:no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marL="0" lvl="0" indent="0" algn="ctr" defTabSz="2133600">
            <a:lnSpc>
              <a:spcPct val="90000"/>
            </a:lnSpc>
            <a:spcBef>
              <a:spcPct val="0"/>
            </a:spcBef>
            <a:spcAft>
              <a:spcPct val="35000"/>
            </a:spcAft>
            <a:buNone/>
          </a:pPr>
          <a:r>
            <a:rPr lang="en-US" sz="4800" kern="1200">
              <a:solidFill>
                <a:sysClr val="windowText" lastClr="000000">
                  <a:hueOff val="0"/>
                  <a:satOff val="0"/>
                  <a:lumOff val="0"/>
                  <a:alphaOff val="0"/>
                </a:sysClr>
              </a:solidFill>
              <a:latin typeface="Calibri" panose="020F0502020204030204"/>
              <a:ea typeface="+mn-ea"/>
              <a:cs typeface="+mn-cs"/>
            </a:rPr>
            <a:t> </a:t>
          </a:r>
        </a:p>
      </dsp:txBody>
      <dsp:txXfrm>
        <a:off x="2342561" y="1199592"/>
        <a:ext cx="801277" cy="801277"/>
      </dsp:txXfrm>
    </dsp:sp>
    <dsp:sp modelId="{9599FBBB-223D-4C3C-A7C7-A9EEC3DF6CC5}">
      <dsp:nvSpPr>
        <dsp:cNvPr id="0" name=""/>
        <dsp:cNvSpPr/>
      </dsp:nvSpPr>
      <dsp:spPr>
        <a:xfrm>
          <a:off x="2346587" y="892"/>
          <a:ext cx="793224" cy="793224"/>
        </a:xfrm>
        <a:prstGeom prst="ellipse">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en-US" sz="1000" kern="1200">
              <a:solidFill>
                <a:sysClr val="windowText" lastClr="000000">
                  <a:hueOff val="0"/>
                  <a:satOff val="0"/>
                  <a:lumOff val="0"/>
                  <a:alphaOff val="0"/>
                </a:sysClr>
              </a:solidFill>
              <a:latin typeface="Calibri" panose="020F0502020204030204"/>
              <a:ea typeface="+mn-ea"/>
              <a:cs typeface="+mn-cs"/>
            </a:rPr>
            <a:t>Mercado de Factores</a:t>
          </a:r>
        </a:p>
      </dsp:txBody>
      <dsp:txXfrm>
        <a:off x="2462752" y="117057"/>
        <a:ext cx="560894" cy="560894"/>
      </dsp:txXfrm>
    </dsp:sp>
    <dsp:sp modelId="{8BC4655F-6959-4A1C-B802-FC2A72CE888D}">
      <dsp:nvSpPr>
        <dsp:cNvPr id="0" name=""/>
        <dsp:cNvSpPr/>
      </dsp:nvSpPr>
      <dsp:spPr>
        <a:xfrm>
          <a:off x="3549314" y="1203618"/>
          <a:ext cx="793224" cy="793224"/>
        </a:xfrm>
        <a:prstGeom prst="ellipse">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en-US" sz="1000" kern="1200">
              <a:solidFill>
                <a:sysClr val="windowText" lastClr="000000">
                  <a:hueOff val="0"/>
                  <a:satOff val="0"/>
                  <a:lumOff val="0"/>
                  <a:alphaOff val="0"/>
                </a:sysClr>
              </a:solidFill>
              <a:latin typeface="Calibri" panose="020F0502020204030204"/>
              <a:ea typeface="+mn-ea"/>
              <a:cs typeface="+mn-cs"/>
            </a:rPr>
            <a:t>Hogares</a:t>
          </a:r>
        </a:p>
      </dsp:txBody>
      <dsp:txXfrm>
        <a:off x="3665479" y="1319783"/>
        <a:ext cx="560894" cy="560894"/>
      </dsp:txXfrm>
    </dsp:sp>
    <dsp:sp modelId="{7787A967-2194-4876-A4C7-58B45BB789DD}">
      <dsp:nvSpPr>
        <dsp:cNvPr id="0" name=""/>
        <dsp:cNvSpPr/>
      </dsp:nvSpPr>
      <dsp:spPr>
        <a:xfrm>
          <a:off x="2346587" y="2406345"/>
          <a:ext cx="793224" cy="793224"/>
        </a:xfrm>
        <a:prstGeom prst="ellipse">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en-US" sz="1000" kern="1200">
              <a:solidFill>
                <a:sysClr val="windowText" lastClr="000000">
                  <a:hueOff val="0"/>
                  <a:satOff val="0"/>
                  <a:lumOff val="0"/>
                  <a:alphaOff val="0"/>
                </a:sysClr>
              </a:solidFill>
              <a:latin typeface="Calibri" panose="020F0502020204030204"/>
              <a:ea typeface="+mn-ea"/>
              <a:cs typeface="+mn-cs"/>
            </a:rPr>
            <a:t>Mercado de Bienes</a:t>
          </a:r>
        </a:p>
      </dsp:txBody>
      <dsp:txXfrm>
        <a:off x="2462752" y="2522510"/>
        <a:ext cx="560894" cy="560894"/>
      </dsp:txXfrm>
    </dsp:sp>
    <dsp:sp modelId="{DBDE81D5-529B-45E8-8A71-08CD2B50E238}">
      <dsp:nvSpPr>
        <dsp:cNvPr id="0" name=""/>
        <dsp:cNvSpPr/>
      </dsp:nvSpPr>
      <dsp:spPr>
        <a:xfrm>
          <a:off x="1143861" y="1203618"/>
          <a:ext cx="793224" cy="793224"/>
        </a:xfrm>
        <a:prstGeom prst="ellipse">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en-US" sz="1000" kern="1200">
              <a:solidFill>
                <a:sysClr val="windowText" lastClr="000000">
                  <a:hueOff val="0"/>
                  <a:satOff val="0"/>
                  <a:lumOff val="0"/>
                  <a:alphaOff val="0"/>
                </a:sysClr>
              </a:solidFill>
              <a:latin typeface="Calibri" panose="020F0502020204030204"/>
              <a:ea typeface="+mn-ea"/>
              <a:cs typeface="+mn-cs"/>
            </a:rPr>
            <a:t>Empresas</a:t>
          </a:r>
        </a:p>
      </dsp:txBody>
      <dsp:txXfrm>
        <a:off x="1260026" y="1319783"/>
        <a:ext cx="560894" cy="560894"/>
      </dsp:txXfrm>
    </dsp:sp>
  </dsp:spTree>
</dsp:drawing>
</file>

<file path=word/diagrams/layout1.xml><?xml version="1.0" encoding="utf-8"?>
<dgm:layoutDef xmlns:dgm="http://schemas.openxmlformats.org/drawingml/2006/diagram" xmlns:a="http://schemas.openxmlformats.org/drawingml/2006/main" uniqueId="urn:microsoft.com/office/officeart/2005/8/layout/radial6">
  <dgm:title val=""/>
  <dgm:desc val=""/>
  <dgm:catLst>
    <dgm:cat type="cycle" pri="9000"/>
    <dgm:cat type="relationship" pri="2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choose name="Name3">
          <dgm:if name="Name4" axis="ch ch" ptType="node node" st="1 1" cnt="1 0" func="cnt" op="lte" val="1">
            <dgm:alg type="cycle">
              <dgm:param type="stAng" val="90"/>
              <dgm:param type="spanAng" val="360"/>
              <dgm:param type="ctrShpMap" val="fNode"/>
            </dgm:alg>
          </dgm:if>
          <dgm:else name="Name5">
            <dgm:alg type="cycle">
              <dgm:param type="stAng" val="0"/>
              <dgm:param type="spanAng" val="360"/>
              <dgm:param type="ctrShpMap" val="fNode"/>
            </dgm:alg>
          </dgm:else>
        </dgm:choose>
      </dgm:if>
      <dgm:else name="Name6">
        <dgm:choose name="Name7">
          <dgm:if name="Name8" axis="ch ch" ptType="node node" st="1 1" cnt="1 0" func="cnt" op="lte" val="1">
            <dgm:alg type="cycle">
              <dgm:param type="stAng" val="-90"/>
              <dgm:param type="spanAng" val="360"/>
              <dgm:param type="ctrShpMap" val="fNode"/>
            </dgm:alg>
          </dgm:if>
          <dgm:else name="Name9">
            <dgm:alg type="cycle">
              <dgm:param type="stAng" val="0"/>
              <dgm:param type="spanAng" val="-360"/>
              <dgm:param type="ctrShpMap" val="fNode"/>
            </dgm:alg>
          </dgm:else>
        </dgm:choose>
      </dgm:else>
    </dgm:choose>
    <dgm:shape xmlns:r="http://schemas.openxmlformats.org/officeDocument/2006/relationships" r:blip="">
      <dgm:adjLst/>
    </dgm:shape>
    <dgm:presOf/>
    <dgm:choose name="Name10">
      <dgm:if name="Name11" func="var" arg="dir" op="equ" val="norm">
        <dgm:choose name="Name12">
          <dgm:if name="Name13"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des" forName="oneNode" refType="primFontSz" refFor="ch" refForName="centerShape" op="lte" fact="0.95"/>
              <dgm:constr type="diam" for="ch" forName="singleconn" refType="diam" op="equ" fact="-1"/>
              <dgm:constr type="h" for="ch" forName="singleconn" refType="w" refFor="ch" refForName="oneComp" fact="0.24"/>
              <dgm:constr type="w" for="ch" forName="dummya" refType="w" refFor="ch" refForName="oneComp" op="equ"/>
              <dgm:constr type="w" for="ch" forName="dummyb" refType="w" refFor="ch" refForName="oneComp" op="equ"/>
              <dgm:constr type="w" for="ch" forName="dummyc" refType="w" refFor="ch" refForName="oneComp" op="equ"/>
            </dgm:constrLst>
          </dgm:if>
          <dgm:else name="Name14">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forName="sibTrans" refType="diam" op="equ"/>
              <dgm:constr type="h" for="ch" forName="sibTrans" refType="w" refFor="ch" refForName="node" fact="0.24"/>
              <dgm:constr type="w" for="ch" forName="dummy" val="1"/>
            </dgm:constrLst>
          </dgm:else>
        </dgm:choose>
      </dgm:if>
      <dgm:else name="Name15">
        <dgm:choose name="Name16">
          <dgm:if name="Name17"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ch" forName="oneNode" refType="primFontSz" refFor="ch" refForName="centerShape" op="lte" fact="0.95"/>
              <dgm:constr type="diam" for="ch" forName="singleconn" refType="diam"/>
              <dgm:constr type="h" for="ch" forName="singleconn" refType="w" refFor="ch" refForName="oneComp" fact="0.24"/>
              <dgm:constr type="diam" for="ch" refType="diam" op="equ"/>
              <dgm:constr type="w" for="ch" forName="dummya" refType="w" refFor="ch" refForName="oneComp" op="equ"/>
              <dgm:constr type="w" for="ch" forName="dummyb" refType="w" refFor="ch" refForName="oneComp" op="equ"/>
              <dgm:constr type="w" for="ch" forName="dummyc" refType="w" refFor="ch" refForName="oneComp" op="equ"/>
            </dgm:constrLst>
          </dgm:if>
          <dgm:else name="Name18">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ptType="sibTrans" refType="diam" fact="-1"/>
              <dgm:constr type="h" for="ch" forName="sibTrans" refType="w" refFor="ch" refForName="node" fact="0.24"/>
              <dgm:constr type="diam" for="ch" refType="diam" op="equ" fact="-1"/>
              <dgm:constr type="w" for="ch" forName="dummy" val="1"/>
            </dgm:constrLst>
          </dgm:else>
        </dgm:choose>
      </dgm:else>
    </dgm:choose>
    <dgm:ruleLst>
      <dgm:rule type="diam" val="INF" fact="NaN" max="NaN"/>
    </dgm:ruleLst>
    <dgm:forEach name="Name19"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20" axis="ch">
        <dgm:forEach name="Name21" axis="self" ptType="node">
          <dgm:choose name="Name22">
            <dgm:if name="Name23" axis="par ch" ptType="node node" func="cnt" op="gt" val="1">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dummy">
                <dgm:alg type="sp"/>
                <dgm:shape xmlns:r="http://schemas.openxmlformats.org/officeDocument/2006/relationships" r:blip="">
                  <dgm:adjLst/>
                </dgm:shape>
                <dgm:presOf/>
                <dgm:constrLst>
                  <dgm:constr type="h" refType="w"/>
                </dgm:constrLst>
                <dgm:ruleLst/>
              </dgm:layoutNode>
              <dgm:forEach name="sibTransForEach" axis="followSib" ptType="sibTrans" hideLastTrans="0" cnt="1">
                <dgm:layoutNode name="sibTrans" styleLbl="sibTrans2D1">
                  <dgm:alg type="conn">
                    <dgm:param type="connRout" val="curve"/>
                    <dgm:param type="begPts" val="ctr"/>
                    <dgm:param type="endPts" val="ctr"/>
                    <dgm:param type="begSty" val="noArr"/>
                    <dgm:param type="endSty" val="noArr"/>
                    <dgm:param type="dstNode" val="node"/>
                  </dgm:alg>
                  <dgm:shape xmlns:r="http://schemas.openxmlformats.org/officeDocument/2006/relationships" type="conn" r:blip="" zOrderOff="-999">
                    <dgm:adjLst/>
                  </dgm:shape>
                  <dgm:presOf axis="self"/>
                  <dgm:constrLst>
                    <dgm:constr type="begPad"/>
                    <dgm:constr type="endPad"/>
                  </dgm:constrLst>
                  <dgm:ruleLst/>
                </dgm:layoutNode>
              </dgm:forEach>
            </dgm:if>
            <dgm:if name="Name24" axis="par ch" ptType="node node" func="cnt" op="equ" val="1">
              <dgm:layoutNode name="oneComp">
                <dgm:alg type="composite">
                  <dgm:param type="ar" val="1"/>
                </dgm:alg>
                <dgm:shape xmlns:r="http://schemas.openxmlformats.org/officeDocument/2006/relationships" r:blip="">
                  <dgm:adjLst/>
                </dgm:shape>
                <dgm:presOf/>
                <dgm:constrLst>
                  <dgm:constr type="h" refType="w"/>
                  <dgm:constr type="l" for="ch" forName="dummyConnPt" refType="w" fact="0.5"/>
                  <dgm:constr type="t" for="ch" forName="dummyConnPt" refType="w" fact="0.5"/>
                  <dgm:constr type="l" for="ch" forName="oneNode"/>
                  <dgm:constr type="t" for="ch" forName="oneNode"/>
                  <dgm:constr type="h" for="ch" forName="oneNode" refType="h"/>
                  <dgm:constr type="w" for="ch" forName="oneNode" refType="w"/>
                </dgm:constrLst>
                <dgm:ruleLst/>
                <dgm:layoutNode name="dummyConnPt" styleLbl="node1">
                  <dgm:alg type="sp"/>
                  <dgm:shape xmlns:r="http://schemas.openxmlformats.org/officeDocument/2006/relationships" r:blip="">
                    <dgm:adjLst/>
                  </dgm:shape>
                  <dgm:presOf/>
                  <dgm:constrLst>
                    <dgm:constr type="w" val="1"/>
                    <dgm:constr type="h" val="1"/>
                  </dgm:constrLst>
                  <dgm:ruleLst/>
                </dgm:layoutNode>
                <dgm:layoutNode name="on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dgm:layoutNode name="dummya">
                <dgm:alg type="sp"/>
                <dgm:shape xmlns:r="http://schemas.openxmlformats.org/officeDocument/2006/relationships" r:blip="">
                  <dgm:adjLst/>
                </dgm:shape>
                <dgm:presOf/>
                <dgm:constrLst>
                  <dgm:constr type="h" refType="w"/>
                </dgm:constrLst>
                <dgm:ruleLst/>
              </dgm:layoutNode>
              <dgm:layoutNode name="dummyb">
                <dgm:alg type="sp"/>
                <dgm:shape xmlns:r="http://schemas.openxmlformats.org/officeDocument/2006/relationships" r:blip="">
                  <dgm:adjLst/>
                </dgm:shape>
                <dgm:presOf/>
                <dgm:constrLst>
                  <dgm:constr type="h" refType="w"/>
                </dgm:constrLst>
                <dgm:ruleLst/>
              </dgm:layoutNode>
              <dgm:layoutNode name="dummyc">
                <dgm:alg type="sp"/>
                <dgm:shape xmlns:r="http://schemas.openxmlformats.org/officeDocument/2006/relationships" r:blip="">
                  <dgm:adjLst/>
                </dgm:shape>
                <dgm:presOf/>
                <dgm:constrLst>
                  <dgm:constr type="h" refType="w"/>
                </dgm:constrLst>
                <dgm:ruleLst/>
              </dgm:layoutNode>
              <dgm:forEach name="sibTransForEach1" axis="followSib" ptType="sibTrans" hideLastTrans="0" cnt="1">
                <dgm:layoutNode name="singleconn" styleLbl="sibTrans2D1">
                  <dgm:alg type="conn">
                    <dgm:param type="connRout" val="longCurve"/>
                    <dgm:param type="begPts" val="bCtr"/>
                    <dgm:param type="endPts" val="tCtr"/>
                    <dgm:param type="begSty" val="noArr"/>
                    <dgm:param type="endSty" val="noArr"/>
                    <dgm:param type="srcNode" val="dummyConnPt"/>
                    <dgm:param type="dstNode" val="dummyConnPt"/>
                  </dgm:alg>
                  <dgm:shape xmlns:r="http://schemas.openxmlformats.org/officeDocument/2006/relationships" type="conn" r:blip="" zOrderOff="-999">
                    <dgm:adjLst/>
                  </dgm:shape>
                  <dgm:presOf axis="self"/>
                  <dgm:constrLst>
                    <dgm:constr type="begPad"/>
                    <dgm:constr type="endPad"/>
                  </dgm:constrLst>
                  <dgm:ruleLst/>
                </dgm:layoutNode>
              </dgm:forEach>
            </dgm:if>
            <dgm:else name="Name25"/>
          </dgm:choos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Custom 1">
    <a:dk1>
      <a:sysClr val="windowText" lastClr="000000"/>
    </a:dk1>
    <a:lt1>
      <a:sysClr val="window" lastClr="FFFFFF"/>
    </a:lt1>
    <a:dk2>
      <a:srgbClr val="1F497D"/>
    </a:dk2>
    <a:lt2>
      <a:srgbClr val="EEECE1"/>
    </a:lt2>
    <a:accent1>
      <a:srgbClr val="90AFC5"/>
    </a:accent1>
    <a:accent2>
      <a:srgbClr val="336B87"/>
    </a:accent2>
    <a:accent3>
      <a:srgbClr val="2A3132"/>
    </a:accent3>
    <a:accent4>
      <a:srgbClr val="763626"/>
    </a:accent4>
    <a:accent5>
      <a:srgbClr val="000000"/>
    </a:accent5>
    <a:accent6>
      <a:srgbClr val="8A8A8A"/>
    </a:accent6>
    <a:hlink>
      <a:srgbClr val="0096D2"/>
    </a:hlink>
    <a:folHlink>
      <a:srgbClr val="00578B"/>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Bold and cultured ">
    <a:dk1>
      <a:sysClr val="windowText" lastClr="000000"/>
    </a:dk1>
    <a:lt1>
      <a:sysClr val="window" lastClr="FFFFFF"/>
    </a:lt1>
    <a:dk2>
      <a:srgbClr val="1F497D"/>
    </a:dk2>
    <a:lt2>
      <a:srgbClr val="EEECE1"/>
    </a:lt2>
    <a:accent1>
      <a:srgbClr val="4C3F54"/>
    </a:accent1>
    <a:accent2>
      <a:srgbClr val="D13525"/>
    </a:accent2>
    <a:accent3>
      <a:srgbClr val="F2C057"/>
    </a:accent3>
    <a:accent4>
      <a:srgbClr val="486824"/>
    </a:accent4>
    <a:accent5>
      <a:srgbClr val="000000"/>
    </a:accent5>
    <a:accent6>
      <a:srgbClr val="8A8A8A"/>
    </a:accent6>
    <a:hlink>
      <a:srgbClr val="0096D2"/>
    </a:hlink>
    <a:folHlink>
      <a:srgbClr val="00578B"/>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Bold and cultured ">
    <a:dk1>
      <a:sysClr val="windowText" lastClr="000000"/>
    </a:dk1>
    <a:lt1>
      <a:sysClr val="window" lastClr="FFFFFF"/>
    </a:lt1>
    <a:dk2>
      <a:srgbClr val="1F497D"/>
    </a:dk2>
    <a:lt2>
      <a:srgbClr val="EEECE1"/>
    </a:lt2>
    <a:accent1>
      <a:srgbClr val="4C3F54"/>
    </a:accent1>
    <a:accent2>
      <a:srgbClr val="D13525"/>
    </a:accent2>
    <a:accent3>
      <a:srgbClr val="F2C057"/>
    </a:accent3>
    <a:accent4>
      <a:srgbClr val="486824"/>
    </a:accent4>
    <a:accent5>
      <a:srgbClr val="000000"/>
    </a:accent5>
    <a:accent6>
      <a:srgbClr val="8A8A8A"/>
    </a:accent6>
    <a:hlink>
      <a:srgbClr val="0096D2"/>
    </a:hlink>
    <a:folHlink>
      <a:srgbClr val="00578B"/>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Bold and cultured ">
    <a:dk1>
      <a:sysClr val="windowText" lastClr="000000"/>
    </a:dk1>
    <a:lt1>
      <a:sysClr val="window" lastClr="FFFFFF"/>
    </a:lt1>
    <a:dk2>
      <a:srgbClr val="1F497D"/>
    </a:dk2>
    <a:lt2>
      <a:srgbClr val="EEECE1"/>
    </a:lt2>
    <a:accent1>
      <a:srgbClr val="4C3F54"/>
    </a:accent1>
    <a:accent2>
      <a:srgbClr val="D13525"/>
    </a:accent2>
    <a:accent3>
      <a:srgbClr val="F2C057"/>
    </a:accent3>
    <a:accent4>
      <a:srgbClr val="486824"/>
    </a:accent4>
    <a:accent5>
      <a:srgbClr val="000000"/>
    </a:accent5>
    <a:accent6>
      <a:srgbClr val="8A8A8A"/>
    </a:accent6>
    <a:hlink>
      <a:srgbClr val="0096D2"/>
    </a:hlink>
    <a:folHlink>
      <a:srgbClr val="00578B"/>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Bold and cultured ">
    <a:dk1>
      <a:sysClr val="windowText" lastClr="000000"/>
    </a:dk1>
    <a:lt1>
      <a:sysClr val="window" lastClr="FFFFFF"/>
    </a:lt1>
    <a:dk2>
      <a:srgbClr val="1F497D"/>
    </a:dk2>
    <a:lt2>
      <a:srgbClr val="EEECE1"/>
    </a:lt2>
    <a:accent1>
      <a:srgbClr val="4C3F54"/>
    </a:accent1>
    <a:accent2>
      <a:srgbClr val="D13525"/>
    </a:accent2>
    <a:accent3>
      <a:srgbClr val="F2C057"/>
    </a:accent3>
    <a:accent4>
      <a:srgbClr val="486824"/>
    </a:accent4>
    <a:accent5>
      <a:srgbClr val="000000"/>
    </a:accent5>
    <a:accent6>
      <a:srgbClr val="8A8A8A"/>
    </a:accent6>
    <a:hlink>
      <a:srgbClr val="0096D2"/>
    </a:hlink>
    <a:folHlink>
      <a:srgbClr val="00578B"/>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Bold and cultured ">
    <a:dk1>
      <a:sysClr val="windowText" lastClr="000000"/>
    </a:dk1>
    <a:lt1>
      <a:sysClr val="window" lastClr="FFFFFF"/>
    </a:lt1>
    <a:dk2>
      <a:srgbClr val="1F497D"/>
    </a:dk2>
    <a:lt2>
      <a:srgbClr val="EEECE1"/>
    </a:lt2>
    <a:accent1>
      <a:srgbClr val="4C3F54"/>
    </a:accent1>
    <a:accent2>
      <a:srgbClr val="D13525"/>
    </a:accent2>
    <a:accent3>
      <a:srgbClr val="F2C057"/>
    </a:accent3>
    <a:accent4>
      <a:srgbClr val="486824"/>
    </a:accent4>
    <a:accent5>
      <a:srgbClr val="000000"/>
    </a:accent5>
    <a:accent6>
      <a:srgbClr val="8A8A8A"/>
    </a:accent6>
    <a:hlink>
      <a:srgbClr val="0096D2"/>
    </a:hlink>
    <a:folHlink>
      <a:srgbClr val="00578B"/>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6522EBD-17BE-4311-90E9-4E1EB22A5A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TotalTime>
  <Pages>82</Pages>
  <Words>37988</Words>
  <Characters>216535</Characters>
  <Application>Microsoft Office Word</Application>
  <DocSecurity>0</DocSecurity>
  <Lines>1804</Lines>
  <Paragraphs>508</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
  <LinksUpToDate>false</LinksUpToDate>
  <CharactersWithSpaces>254015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Marlon Molina Corella</dc:creator>
  <cp:keywords/>
  <dc:description/>
  <cp:lastModifiedBy>catalina</cp:lastModifiedBy>
  <cp:revision>2</cp:revision>
  <cp:lastPrinted>2018-10-15T05:22:00Z</cp:lastPrinted>
  <dcterms:created xsi:type="dcterms:W3CDTF">2022-02-10T22:05:00Z</dcterms:created>
  <dcterms:modified xsi:type="dcterms:W3CDTF">2022-02-10T22:05:00Z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c5012ea5-94eb-36cb-8204-21a44c8c0336</vt:lpwstr>
  </property>
  <property fmtid="{D5CDD505-2E9C-101B-9397-08002B2CF9AE}" pid="24" name="Mendeley Citation Style_1">
    <vt:lpwstr>http://www.zotero.org/styles/apa</vt:lpwstr>
  </property>
  <property fmtid="{D5CDD505-2E9C-101B-9397-08002B2CF9AE}" pid="25" name="MTWinEqns">
    <vt:bool>true</vt:bool>
  </property>
  <property fmtid="{D5CDD505-2E9C-101B-9397-08002B2CF9AE}" pid="26" name="MTEquationNumber2">
    <vt:lpwstr>(#S1.#E1)</vt:lpwstr>
  </property>
  <property fmtid="{D5CDD505-2E9C-101B-9397-08002B2CF9AE}" pid="27" name="MTEquationSection">
    <vt:lpwstr>1</vt:lpwstr>
  </property>
</Properties>
</file>